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35"/>
        <w:ind w:hanging="0" w:start="0" w:end="0"/>
        <w:jc w:val="end"/>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ENRON GUARANTY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 xml:space="preserve">This Enron Guaranty (this </w:t>
      </w:r>
      <w:r>
        <w:rPr>
          <w:i/>
        </w:rPr>
        <w:t>"Agreement"</w:t>
      </w:r>
      <w:r>
        <w:rPr/>
        <w:t xml:space="preserve">), dated effective as of </w:t>
      </w:r>
      <w:r>
        <w:rPr>
          <w:strike/>
        </w:rPr>
        <w:t>December__</w:t>
      </w:r>
      <w:r>
        <w:rPr>
          <w:b/>
          <w:u w:val="double"/>
        </w:rPr>
        <w:t>December 28</w:t>
      </w:r>
      <w:r>
        <w:rPr/>
        <w:t>, 2000, is made by ENRON CORP., an Oregon corporation (</w:t>
      </w:r>
      <w:r>
        <w:rPr>
          <w:i/>
        </w:rPr>
        <w:t>"Guarantor"</w:t>
      </w:r>
      <w:r>
        <w:rPr/>
        <w:t>) in favor of MAHONIA NATURAL GAS LIMITED, a company incorporated under the laws of Jersey (</w:t>
      </w:r>
      <w:r>
        <w:rPr>
          <w:i/>
        </w:rPr>
        <w:t>"Beneficiary"</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PRELIMINARY STATEMENTS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A.</w:t>
        <w:tab/>
        <w:t>Beneficiary has entered into the Forward Sale Contract (hereinafter defined) with Enron North America Corp., a Delaware corporation (</w:t>
      </w:r>
      <w:r>
        <w:rPr>
          <w:i/>
        </w:rPr>
        <w:t>"ENAC"</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B.</w:t>
        <w:tab/>
        <w:t>ENAC is a directly or indirectly wholly owned Subsidiary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C.</w:t>
        <w:tab/>
        <w:t>Pursuant to the Forward Sale Contract, ENAC agrees to deliver to Beneficiary certain volumes of Natural Gas deliverable at the Delivery Points.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D.</w:t>
        <w:tab/>
        <w:t>In order to induce the Beneficiary to enter into the Forward Sale Contract the Guarantor has agreed to enter into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NOW, THEREFORE, in consideration of the premises and in order to induce the Beneficiary to enter into the Forward Sale Contract with ENAC, the Guarantor hereby agrees as follows: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w:t>
      </w:r>
    </w:p>
    <w:p>
      <w:pPr>
        <w:pStyle w:val="Normal"/>
        <w:bidi w:val="0"/>
        <w:spacing w:lineRule="exact" w:line="235"/>
        <w:ind w:hanging="0" w:start="0" w:end="0"/>
        <w:jc w:val="center"/>
        <w:rPr/>
      </w:pPr>
      <w:r>
        <w:rPr>
          <w:b/>
        </w:rPr>
        <w:t>DEFINITIONS AND ACCOUNTING TERMS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1.01</w:t>
        <w:tab/>
      </w:r>
      <w:r>
        <w:rPr>
          <w:b/>
          <w:i/>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"Agreement"</w:t>
      </w:r>
      <w:r>
        <w:rPr/>
        <w:t xml:space="preserve"> means this Enron Guaranty, as the same may be amended or modified from time to time.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"Consolidated"</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"Debt"</w:t>
      </w:r>
      <w:r>
        <w:rPr/>
        <w:t xml:space="preserve"> has the meaning specified in the Margin Agreement.</w:t>
      </w:r>
    </w:p>
    <w:p>
      <w:pPr>
        <w:sectPr>
          <w:footerReference w:type="even" r:id="rId2"/>
          <w:footerReference w:type="default" r:id="rId3"/>
          <w:footerReference w:type="first" r:id="rId4"/>
          <w:type w:val="nextPage"/>
          <w:pgSz w:w="12240" w:h="15840"/>
          <w:pgMar w:left="1440" w:right="1440" w:gutter="0" w:header="0" w:top="1080" w:footer="2160" w:bottom="2217"/>
          <w:pgNumType w:fmt="decimal"/>
          <w:formProt w:val="false"/>
          <w:titlePg/>
          <w:textDirection w:val="lrTb"/>
        </w:sectPr>
      </w:pPr>
    </w:p>
    <w:p>
      <w:pPr>
        <w:pStyle w:val="Normal"/>
        <w:bidi w:val="0"/>
        <w:spacing w:lineRule="exact" w:line="235"/>
        <w:ind w:hanging="0" w:start="720" w:end="0"/>
        <w:jc w:val="both"/>
        <w:rPr/>
      </w:pPr>
      <w:r>
        <w:rPr/>
        <w:tab/>
      </w:r>
      <w:r>
        <w:rPr>
          <w:i/>
        </w:rPr>
        <w:t>"ENAC"</w:t>
      </w:r>
      <w:r>
        <w:rPr/>
        <w:t xml:space="preserve"> means Enron North America Corp. and any successor thereto or assignee thereof pursuant to Section 7.08 of the Forward Sale Contract.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"Enron Indenture"</w:t>
      </w:r>
      <w:r>
        <w:rPr/>
        <w:t xml:space="preserve"> means that certain indenture dated as of November 1, 1985, between the Guarantor (formerly InterNorth, Inc.) and Harris Trust and Savings Bank, as Trustee, without giving effect to any amendment or modification thereof.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"Events of Default"</w:t>
      </w:r>
      <w:r>
        <w:rPr/>
        <w:t xml:space="preserve"> has the meaning specified in Section 5.01.</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"GAAP"</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"Guarantor"</w:t>
      </w:r>
      <w:r>
        <w:rPr/>
        <w:t xml:space="preserve"> means Enron Corp., an Oregon corporation, and any successor thereto pursuant to Section 4.01 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 Houston Pipe Line Company, Transwestern Pipeline Company, Northern Natural Gas Company, Enron North America Corp. (formerly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rPr>
        <w:t>"Subsidiary"</w:t>
      </w:r>
      <w:r>
        <w:rPr/>
        <w:t xml:space="preserve"> when used herein shall refer to a Subsidiary of the Guarantor.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r>
      <w:r>
        <w:rPr>
          <w:i/>
        </w:rPr>
        <w:t>"Trigger Event"</w:t>
      </w:r>
      <w:r>
        <w:rPr/>
        <w:t xml:space="preserve"> has the meaning specified in the Margin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1.02</w:t>
        <w:tab/>
      </w:r>
      <w:r>
        <w:rPr>
          <w:b/>
          <w:i/>
        </w:rPr>
        <w:t>Other Definitions</w:t>
      </w:r>
      <w:r>
        <w:rPr/>
        <w:t>.  Other capitalized terms used in this Agreement, unless otherwise defined in Section 1.01 or in other provisions of this Agreement, shall have the meaning given such terms in the Forward Sale Contract.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1.03</w:t>
        <w:tab/>
      </w:r>
      <w:r>
        <w:rPr>
          <w:b/>
          <w:i/>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II</w:t>
      </w:r>
    </w:p>
    <w:p>
      <w:pPr>
        <w:pStyle w:val="Normal"/>
        <w:bidi w:val="0"/>
        <w:spacing w:lineRule="exact" w:line="235"/>
        <w:ind w:hanging="0" w:start="0" w:end="0"/>
        <w:jc w:val="center"/>
        <w:rPr/>
      </w:pPr>
      <w:r>
        <w:rPr>
          <w:b/>
        </w:rPr>
        <w:t>GUARANTY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2.01</w:t>
        <w:tab/>
      </w:r>
      <w:r>
        <w:rPr>
          <w:b/>
          <w:i/>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2.02</w:t>
        <w:tab/>
      </w:r>
      <w:r>
        <w:rPr>
          <w:b/>
          <w:i/>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w:t>
        <w:tab/>
        <w:t>any lack of validity or enforceability of the Forward Sale Contract or any other agreement or instru</w:t>
        <w:softHyphen/>
        <w:t>ment relating thereto;</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(iv)</w:t>
        <w:tab/>
        <w:t xml:space="preserve">the existence of, or any release or amendment or waiver of or consent to departure from, any other guaranty, for all or any of the Obligations; or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(v)</w:t>
        <w:tab/>
        <w:t xml:space="preserve">any assignment or merger by ENAC pursuant to clauses (i) and (ii) of Section 7.08 of the Forward Sale Contract.  </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2.03</w:t>
        <w:tab/>
      </w:r>
      <w:r>
        <w:rPr>
          <w:b/>
          <w:i/>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center"/>
        <w:rPr/>
      </w:pPr>
      <w:r>
        <w:rPr>
          <w:b/>
        </w:rPr>
        <w:t>ARTICLE III</w:t>
      </w:r>
    </w:p>
    <w:p>
      <w:pPr>
        <w:pStyle w:val="Normal"/>
        <w:keepNext w:val="true"/>
        <w:keepLines/>
        <w:bidi w:val="0"/>
        <w:spacing w:lineRule="exact" w:line="235"/>
        <w:ind w:hanging="0" w:start="0" w:end="0"/>
        <w:jc w:val="center"/>
        <w:rPr/>
      </w:pPr>
      <w:r>
        <w:rPr>
          <w:b/>
        </w:rPr>
        <w:t>REPRESENTATIONS AND WARRANTIES</w:t>
      </w:r>
    </w:p>
    <w:p>
      <w:pPr>
        <w:pStyle w:val="Normal"/>
        <w:keepNext w:val="true"/>
        <w:keepLines/>
        <w:bidi w:val="0"/>
        <w:spacing w:lineRule="exact" w:line="235"/>
        <w:ind w:hanging="0" w:start="0" w:end="0"/>
        <w:jc w:val="both"/>
        <w:rPr/>
      </w:pPr>
      <w:r>
        <w:rPr/>
      </w:r>
    </w:p>
    <w:p>
      <w:pPr>
        <w:pStyle w:val="Normal"/>
        <w:keepLines/>
        <w:bidi w:val="0"/>
        <w:spacing w:lineRule="exact" w:line="235"/>
        <w:ind w:hanging="0" w:start="0" w:end="0"/>
        <w:jc w:val="both"/>
        <w:rPr/>
      </w:pPr>
      <w:r>
        <w:rPr/>
        <w:tab/>
        <w:t>3.01</w:t>
        <w:tab/>
      </w:r>
      <w:r>
        <w:rPr>
          <w:b/>
          <w:i/>
        </w:rPr>
        <w:t>Representations and Warranties</w:t>
      </w:r>
      <w:r>
        <w:rPr/>
        <w:t xml:space="preserve"> </w:t>
      </w:r>
      <w:r>
        <w:fldChar w:fldCharType="begin"/>
      </w:r>
      <w:r>
        <w:rPr>
          <w:vanish/>
        </w:rPr>
        <w:instrText xml:space="preserve"> TC "3.01</w:instrText>
        <w:tab/>
        <w:instrText xml:space="preserve">Representations and Warranties " \l 1 </w:instrText>
      </w:r>
      <w:r>
        <w:rPr>
          <w:vanish/>
        </w:rPr>
        <w:fldChar w:fldCharType="separate"/>
      </w:r>
      <w:r>
        <w:rPr>
          <w:vanish/>
        </w:rPr>
      </w:r>
      <w:r>
        <w:rPr>
          <w:vanish/>
        </w:rPr>
        <w:fldChar w:fldCharType="end"/>
      </w:r>
      <w:r>
        <w:rPr/>
        <w:t>.  The Guarantor hereby represents and warrants as follows:</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t>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by-laws, as amended, of the Guarantor or any judgment, injunction, order, decree or material ("material" for the purposes of this representation meaning creating a liability of $100 million or more) agreement binding upon the Guarantor or result in the creation or imposition of any lien, security interest or other charge or encumbrance on any asset of the Guarantor.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September 30,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w:t>
        <w:tab/>
        <w:t>Except as disclosed in the Guarantor's Form 10-K for the year ended December 31, 1999, any Form 8-Ks subsequently filed, or the Guarantor's Form 10-Qs for the quarter ended September 30,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t>Except as disclosed in the Guarantor's Form 10-K for the year ended December 31, 1999, any Form 8-Ks subsequently filed, or the Guarantor's Form 10-Qs for the quarter ended September 30,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IV</w:t>
      </w:r>
    </w:p>
    <w:p>
      <w:pPr>
        <w:pStyle w:val="Normal"/>
        <w:bidi w:val="0"/>
        <w:spacing w:lineRule="exact" w:line="235"/>
        <w:ind w:hanging="0" w:start="0" w:end="0"/>
        <w:jc w:val="center"/>
        <w:rPr/>
      </w:pPr>
      <w:r>
        <w:rPr>
          <w:b/>
        </w:rPr>
        <w:t>COVENANTS OF THE GUARANTOR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4.01</w:t>
        <w:tab/>
      </w:r>
      <w:r>
        <w:rPr>
          <w:b/>
          <w:i/>
        </w:rPr>
        <w:t>Affirmative Covenants</w:t>
      </w:r>
      <w:r>
        <w:rPr/>
        <w:t>.  The Guarantor covenants and agrees that, so long as any part of the Obligations shall remain unpaid, the Guarantor will, unless the Beneficiary shall otherwise consent in writing:</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(a)</w:t>
        <w:tab/>
      </w:r>
      <w:r>
        <w:rPr>
          <w:i/>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r>
      <w:r>
        <w:rPr>
          <w:i/>
        </w:rPr>
        <w:t>Reporting Requirements</w:t>
      </w:r>
      <w:r>
        <w:rPr/>
        <w:t>.  Furnish to the Beneficiary:</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w:t>
        <w:tab/>
        <w:t>by making available either on “EDGAR” or the Guarantor’s home page on the “World Wide Web” at www.enron.com, or otherwise transmitting to the Beneficiary (A)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bidi w:val="0"/>
        <w:spacing w:lineRule="exact" w:line="235"/>
        <w:ind w:hanging="0" w:start="0" w:end="0"/>
        <w:jc w:val="both"/>
        <w:rPr/>
      </w:pPr>
      <w:r>
        <w:rPr/>
      </w:r>
    </w:p>
    <w:p>
      <w:pPr>
        <w:pStyle w:val="Normal"/>
        <w:bidi w:val="0"/>
        <w:spacing w:lineRule="exact" w:line="235"/>
        <w:ind w:hanging="0"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r>
      <w:r>
        <w:rPr>
          <w:i/>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(d)</w:t>
        <w:tab/>
      </w:r>
      <w:r>
        <w:rPr>
          <w:i/>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r>
      <w:r>
        <w:rPr>
          <w:i/>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4.02</w:t>
        <w:tab/>
      </w:r>
      <w:r>
        <w:rPr>
          <w:b/>
          <w:i/>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center"/>
        <w:rPr/>
      </w:pPr>
      <w:r>
        <w:rPr>
          <w:b/>
        </w:rPr>
        <w:t>ARTICLE V</w:t>
      </w:r>
    </w:p>
    <w:p>
      <w:pPr>
        <w:pStyle w:val="Normal"/>
        <w:keepNext w:val="true"/>
        <w:keepLines/>
        <w:bidi w:val="0"/>
        <w:spacing w:lineRule="exact" w:line="235"/>
        <w:ind w:hanging="0" w:start="0" w:end="0"/>
        <w:jc w:val="center"/>
        <w:rPr/>
      </w:pPr>
      <w:r>
        <w:rPr>
          <w:b/>
        </w:rPr>
        <w:t>EVENTS OF DEFAULT</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tab/>
        <w:t>5.01</w:t>
        <w:tab/>
      </w:r>
      <w:r>
        <w:rPr>
          <w:b/>
          <w:i/>
        </w:rPr>
        <w:t>Events of Default</w:t>
      </w:r>
      <w:r>
        <w:rPr/>
        <w:t xml:space="preserve">.  An </w:t>
      </w:r>
      <w:r>
        <w:rPr>
          <w:i/>
        </w:rPr>
        <w:t>"Event of Default"</w:t>
      </w:r>
      <w:r>
        <w:rPr/>
        <w:t xml:space="preserve"> shall exist if any of the following events shall occur and be continuing:</w:t>
      </w:r>
    </w:p>
    <w:p>
      <w:pPr>
        <w:pStyle w:val="Normal"/>
        <w:keepLines/>
        <w:bidi w:val="0"/>
        <w:spacing w:lineRule="exact" w:line="235"/>
        <w:ind w:hanging="0" w:start="0" w:end="0"/>
        <w:jc w:val="both"/>
        <w:rPr/>
      </w:pPr>
      <w:r>
        <w:rPr/>
      </w:r>
    </w:p>
    <w:p>
      <w:pPr>
        <w:pStyle w:val="Normal"/>
        <w:bidi w:val="0"/>
        <w:spacing w:lineRule="exact" w:line="235"/>
        <w:ind w:hanging="0"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bidi w:val="0"/>
        <w:spacing w:lineRule="exact" w:line="235"/>
        <w:ind w:hanging="0" w:start="0" w:end="0"/>
        <w:jc w:val="both"/>
        <w:rPr/>
      </w:pPr>
      <w:r>
        <w:rPr/>
      </w:r>
    </w:p>
    <w:p>
      <w:pPr>
        <w:pStyle w:val="Normal"/>
        <w:bidi w:val="0"/>
        <w:spacing w:lineRule="exact" w:line="235"/>
        <w:ind w:hanging="0" w:start="720" w:end="0"/>
        <w:jc w:val="both"/>
        <w:rPr/>
      </w:pPr>
      <w:r>
        <w:rPr/>
        <w:tab/>
        <w:t>(e)</w:t>
        <w:tab/>
        <w:t>The Guarantor or any of its Principal Subsidiaries shall (i) fail to pay any principal of or premium or interest on any Debt (other than Debt described in clause (iii) of the definition of Debt in the Margin Agreement) which is outstanding in the principal amount of at least $100,000,000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$100,000,000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r>
    </w:p>
    <w:p>
      <w:pPr>
        <w:pStyle w:val="Normal"/>
        <w:bidi w:val="0"/>
        <w:spacing w:lineRule="exact" w:line="235"/>
        <w:ind w:hanging="0" w:start="0" w:end="0"/>
        <w:jc w:val="center"/>
        <w:rPr/>
      </w:pPr>
      <w:r>
        <w:rPr>
          <w:b/>
        </w:rPr>
        <w:t>ARTICLE VI</w:t>
      </w:r>
    </w:p>
    <w:p>
      <w:pPr>
        <w:pStyle w:val="Normal"/>
        <w:bidi w:val="0"/>
        <w:spacing w:lineRule="exact" w:line="235"/>
        <w:ind w:hanging="0" w:start="0" w:end="0"/>
        <w:jc w:val="center"/>
        <w:rPr/>
      </w:pPr>
      <w:r>
        <w:rPr>
          <w:b/>
        </w:rPr>
        <w:t>MISCELLANEOUS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6.01</w:t>
        <w:tab/>
      </w:r>
      <w:r>
        <w:rPr>
          <w:b/>
          <w:i/>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6.02</w:t>
        <w:tab/>
      </w:r>
      <w:r>
        <w:rPr>
          <w:b/>
          <w:i/>
        </w:rPr>
        <w:t>Addresses for Notices</w:t>
      </w:r>
      <w:r>
        <w:rPr/>
        <w:t xml:space="preserve">.  All notices and other communications provided for hereunder shall be in writing and mailed, </w:t>
        <w:softHyphen/>
        <w:t>delivered or telecopied:</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If to the Guarantor,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Enron Corp.</w:t>
      </w:r>
    </w:p>
    <w:p>
      <w:pPr>
        <w:pStyle w:val="Normal"/>
        <w:keepNext w:val="true"/>
        <w:bidi w:val="0"/>
        <w:spacing w:lineRule="exact" w:line="235"/>
        <w:ind w:hanging="0" w:start="0" w:end="0"/>
        <w:jc w:val="both"/>
        <w:rPr/>
      </w:pPr>
      <w:r>
        <w:rPr/>
        <w:tab/>
        <w:tab/>
        <w:t>1400 Smith Street</w:t>
      </w:r>
    </w:p>
    <w:p>
      <w:pPr>
        <w:pStyle w:val="Normal"/>
        <w:keepNext w:val="true"/>
        <w:bidi w:val="0"/>
        <w:spacing w:lineRule="exact" w:line="235"/>
        <w:ind w:hanging="0" w:start="0" w:end="0"/>
        <w:jc w:val="both"/>
        <w:rPr/>
      </w:pPr>
      <w:r>
        <w:rPr/>
        <w:tab/>
        <w:tab/>
        <w:t>Houston, Texas 77002</w:t>
      </w:r>
    </w:p>
    <w:p>
      <w:pPr>
        <w:pStyle w:val="Normal"/>
        <w:keepNext w:val="true"/>
        <w:bidi w:val="0"/>
        <w:spacing w:lineRule="exact" w:line="235"/>
        <w:ind w:hanging="0" w:start="0" w:end="0"/>
        <w:jc w:val="both"/>
        <w:rPr/>
      </w:pPr>
      <w:r>
        <w:rPr/>
        <w:tab/>
        <w:tab/>
        <w:t xml:space="preserve">Attention: </w:t>
        <w:tab/>
        <w:t>Vice President, Finance and Treasurer</w:t>
      </w:r>
    </w:p>
    <w:p>
      <w:pPr>
        <w:pStyle w:val="Normal"/>
        <w:keepLines/>
        <w:bidi w:val="0"/>
        <w:spacing w:lineRule="exact" w:line="235"/>
        <w:ind w:hanging="0" w:start="0" w:end="0"/>
        <w:jc w:val="both"/>
        <w:rPr/>
      </w:pPr>
      <w:r>
        <w:rPr/>
        <w:tab/>
        <w:tab/>
        <w:t>Telecopy No.:</w:t>
        <w:tab/>
        <w:t>(713) 646-3422</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If to the Beneficiary,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Mahonia Natural Gas Limited</w:t>
      </w:r>
    </w:p>
    <w:p>
      <w:pPr>
        <w:pStyle w:val="Normal"/>
        <w:keepNext w:val="true"/>
        <w:bidi w:val="0"/>
        <w:spacing w:lineRule="exact" w:line="235"/>
        <w:ind w:hanging="0" w:start="0" w:end="0"/>
        <w:jc w:val="both"/>
        <w:rPr/>
      </w:pPr>
      <w:r>
        <w:rPr/>
        <w:tab/>
        <w:tab/>
        <w:t>22 Grenville Street</w:t>
      </w:r>
    </w:p>
    <w:p>
      <w:pPr>
        <w:pStyle w:val="Normal"/>
        <w:keepNext w:val="true"/>
        <w:bidi w:val="0"/>
        <w:spacing w:lineRule="exact" w:line="235"/>
        <w:ind w:hanging="0" w:start="0" w:end="0"/>
        <w:jc w:val="both"/>
        <w:rPr/>
      </w:pPr>
      <w:r>
        <w:rPr/>
        <w:tab/>
        <w:tab/>
        <w:t>St. Helier</w:t>
      </w:r>
    </w:p>
    <w:p>
      <w:pPr>
        <w:pStyle w:val="Normal"/>
        <w:keepLines/>
        <w:bidi w:val="0"/>
        <w:spacing w:lineRule="exact" w:line="235"/>
        <w:ind w:hanging="0" w:start="0" w:end="0"/>
        <w:jc w:val="both"/>
        <w:rPr/>
      </w:pPr>
      <w:r>
        <w:rPr/>
        <w:tab/>
        <w:tab/>
        <w:t>Jersey, Channel Islands JE4 8PX</w:t>
      </w:r>
    </w:p>
    <w:p>
      <w:pPr>
        <w:pStyle w:val="Normal"/>
        <w:bidi w:val="0"/>
        <w:spacing w:lineRule="exact" w:line="235"/>
        <w:ind w:hanging="0" w:start="0" w:end="0"/>
        <w:jc w:val="both"/>
        <w:rPr/>
      </w:pPr>
      <w:r>
        <w:rPr/>
        <w:tab/>
        <w:tab/>
        <w:t>Attention:</w:t>
        <w:tab/>
        <w:t>Ian James</w:t>
      </w:r>
    </w:p>
    <w:p>
      <w:pPr>
        <w:pStyle w:val="Normal"/>
        <w:bidi w:val="0"/>
        <w:spacing w:lineRule="exact" w:line="235"/>
        <w:ind w:hanging="0" w:start="0" w:end="0"/>
        <w:jc w:val="both"/>
        <w:rPr/>
      </w:pPr>
      <w:r>
        <w:rPr/>
        <w:tab/>
        <w:tab/>
        <w:t>Telecopy No.:</w:t>
        <w:tab/>
        <w:t>44-1534-609333</w:t>
      </w:r>
    </w:p>
    <w:p>
      <w:pPr>
        <w:pStyle w:val="Normal"/>
        <w:bidi w:val="0"/>
        <w:spacing w:lineRule="exact" w:line="235"/>
        <w:ind w:hanging="0" w:start="0" w:end="0"/>
        <w:jc w:val="both"/>
        <w:rPr/>
      </w:pPr>
      <w:r>
        <w:rPr/>
        <w:tab/>
        <w:tab/>
        <w:t>Phone No.:</w:t>
        <w:tab/>
        <w:t>44-1534-609000</w:t>
      </w:r>
    </w:p>
    <w:p>
      <w:pPr>
        <w:pStyle w:val="Normal"/>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with copy to:</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The Chase Manhattan Bank</w:t>
      </w:r>
    </w:p>
    <w:p>
      <w:pPr>
        <w:pStyle w:val="Normal"/>
        <w:keepNext w:val="true"/>
        <w:bidi w:val="0"/>
        <w:spacing w:lineRule="exact" w:line="235"/>
        <w:ind w:hanging="0" w:start="0" w:end="0"/>
        <w:jc w:val="both"/>
        <w:rPr/>
      </w:pPr>
      <w:r>
        <w:rPr/>
        <w:tab/>
        <w:tab/>
        <w:tab/>
        <w:tab/>
        <w:t>270 Park Avenue, 40th Floor</w:t>
      </w:r>
    </w:p>
    <w:p>
      <w:pPr>
        <w:pStyle w:val="Normal"/>
        <w:keepNext w:val="true"/>
        <w:bidi w:val="0"/>
        <w:spacing w:lineRule="exact" w:line="235"/>
        <w:ind w:hanging="0" w:start="0" w:end="0"/>
        <w:jc w:val="both"/>
        <w:rPr/>
      </w:pPr>
      <w:r>
        <w:rPr/>
        <w:tab/>
        <w:tab/>
        <w:tab/>
        <w:tab/>
        <w:t>New York, New York 10017</w:t>
      </w:r>
    </w:p>
    <w:p>
      <w:pPr>
        <w:pStyle w:val="Normal"/>
        <w:keepLines/>
        <w:bidi w:val="0"/>
        <w:spacing w:lineRule="exact" w:line="235"/>
        <w:ind w:hanging="0" w:start="0" w:end="0"/>
        <w:jc w:val="both"/>
        <w:rPr/>
      </w:pPr>
      <w:r>
        <w:rPr/>
        <w:tab/>
        <w:tab/>
        <w:tab/>
        <w:tab/>
        <w:t xml:space="preserve">Attention:  </w:t>
        <w:tab/>
        <w:t>Legal Department</w:t>
      </w:r>
    </w:p>
    <w:p>
      <w:pPr>
        <w:pStyle w:val="Normal"/>
        <w:bidi w:val="0"/>
        <w:spacing w:lineRule="exact" w:line="235"/>
        <w:ind w:hanging="0" w:start="0" w:end="0"/>
        <w:jc w:val="both"/>
        <w:rPr/>
      </w:pPr>
      <w:r>
        <w:rPr/>
        <w:tab/>
        <w:tab/>
        <w:tab/>
        <w:tab/>
        <w:t>Telecopy No.:</w:t>
        <w:tab/>
        <w:t>(212) 270-7368</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6.03</w:t>
        <w:tab/>
      </w:r>
      <w:r>
        <w:rPr>
          <w:b/>
          <w:i/>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6.04</w:t>
        <w:tab/>
      </w:r>
      <w:r>
        <w:rPr>
          <w:b/>
          <w:i/>
        </w:rPr>
        <w:t>Right of Set-Off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set-off and application.  The rights of Beneficiary under this Section are in addition to other rights and remedies (including, without limita</w:t>
        <w:softHyphen/>
        <w:t>tion, other rights of set-off) which Beneficiary may have.</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6.05</w:t>
        <w:tab/>
      </w:r>
      <w:r>
        <w:rPr>
          <w:b/>
          <w:i/>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6.06</w:t>
        <w:tab/>
      </w:r>
      <w:r>
        <w:rPr>
          <w:b/>
          <w:i/>
        </w:rPr>
        <w:t>Confidentiality</w:t>
      </w:r>
      <w:r>
        <w:rPr/>
        <w:t>.  The Beneficiary by accepting the benefits of this Agreement, agrees that it will use its reasonable efforts not to disclose without the prior consent of the Guarantor (other than to its employ</w:t>
        <w:softHyphen/>
        <w:t>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w:t>
      </w:r>
      <w:r>
        <w:rPr>
          <w:b/>
          <w:u w:val="double"/>
        </w:rPr>
        <w:t>;</w:t>
      </w:r>
      <w:r>
        <w:rPr/>
        <w:t xml:space="preserve"> or (d) to any person in whose favor the Beneficiary is considering granting a security interest in its rights and benefits hereunder, provided such person assumes the confidentiality obligations hereunder</w:t>
      </w:r>
      <w:r>
        <w:rPr>
          <w:b/>
          <w:u w:val="double"/>
        </w:rPr>
        <w:t>, or (e) to the extent properly requested by any regulatory authority having jurisdiction, or (f) in connection with the exercise of any remedies hereunder or any suit, action or proceeding relating to this Agreement or the enforcement of rights hereunder</w:t>
      </w:r>
      <w:r>
        <w:rPr/>
        <w: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6.07</w:t>
        <w:tab/>
      </w:r>
      <w:r>
        <w:rPr>
          <w:b/>
          <w:i/>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6.08</w:t>
        <w:tab/>
      </w:r>
      <w:r>
        <w:rPr>
          <w:b/>
          <w:i/>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6.09</w:t>
        <w:tab/>
      </w:r>
      <w:r>
        <w:rPr>
          <w:b/>
          <w:i/>
        </w:rPr>
        <w:t>Third Party Beneficiaries</w:t>
      </w:r>
      <w:r>
        <w:rPr/>
        <w:t>.  There are no third-party beneficiaries to this Agreement.</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ab/>
        <w:t>6.10</w:t>
        <w:tab/>
      </w:r>
      <w:r>
        <w:rPr>
          <w:b/>
          <w:i/>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bidi w:val="0"/>
        <w:spacing w:lineRule="exact" w:line="235"/>
        <w:ind w:hanging="0" w:start="0" w:end="0"/>
        <w:jc w:val="both"/>
        <w:rPr/>
      </w:pPr>
      <w:r>
        <w:rPr/>
      </w:r>
    </w:p>
    <w:p>
      <w:pPr>
        <w:pStyle w:val="Normal"/>
        <w:bidi w:val="0"/>
        <w:spacing w:lineRule="exact" w:line="235"/>
        <w:ind w:hanging="0" w:start="0" w:end="0"/>
        <w:jc w:val="both"/>
        <w:rPr/>
      </w:pPr>
      <w:r>
        <w:rPr/>
        <w:t>[Remainder of Page Intentionally Left Blank]</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IN WITNESS WHEREOF, the Guarantor has caused this Agreement to be duly executed and delivered by its officer thereunto duly authorized as of the date first above written.</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ab/>
        <w:tab/>
        <w:t>ENRON CORP.</w:t>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r>
    </w:p>
    <w:p>
      <w:pPr>
        <w:pStyle w:val="Normal"/>
        <w:keepNext w:val="true"/>
        <w:bidi w:val="0"/>
        <w:spacing w:lineRule="exact" w:line="235"/>
        <w:ind w:hanging="0" w:start="0" w:end="0"/>
        <w:jc w:val="both"/>
        <w:rPr/>
      </w:pPr>
      <w:r>
        <w:rPr/>
        <w:tab/>
        <w:tab/>
        <w:tab/>
        <w:tab/>
        <w:tab/>
        <w:tab/>
        <w:t>By:______________________________________</w:t>
      </w:r>
    </w:p>
    <w:p>
      <w:pPr>
        <w:pStyle w:val="Normal"/>
        <w:keepNext w:val="true"/>
        <w:bidi w:val="0"/>
        <w:spacing w:lineRule="exact" w:line="235"/>
        <w:ind w:hanging="0" w:start="0" w:end="0"/>
        <w:jc w:val="both"/>
        <w:rPr/>
      </w:pPr>
      <w:r>
        <w:rPr/>
        <w:tab/>
        <w:tab/>
        <w:tab/>
        <w:tab/>
        <w:tab/>
        <w:tab/>
        <w:t>Name:</w:t>
      </w:r>
      <w:r>
        <w:rPr>
          <w:u w:val="single"/>
        </w:rPr>
        <w:t>____________________________________</w:t>
      </w:r>
    </w:p>
    <w:p>
      <w:pPr>
        <w:pStyle w:val="Normal"/>
        <w:keepNext w:val="true"/>
        <w:bidi w:val="0"/>
        <w:spacing w:lineRule="exact" w:line="235"/>
        <w:ind w:hanging="0" w:start="0" w:end="0"/>
        <w:jc w:val="both"/>
        <w:rPr/>
      </w:pPr>
      <w:r>
        <w:rPr/>
        <w:tab/>
        <w:tab/>
        <w:tab/>
        <w:tab/>
        <w:tab/>
        <w:tab/>
        <w:t>Title:</w:t>
      </w:r>
      <w:r>
        <w:rPr>
          <w:u w:val="single"/>
        </w:rPr>
        <w:t>_____________________________________</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t>ACCEPTED:</w:t>
      </w:r>
    </w:p>
    <w:p>
      <w:pPr>
        <w:pStyle w:val="Normal"/>
        <w:keepNext w:val="true"/>
        <w:keepLines/>
        <w:bidi w:val="0"/>
        <w:spacing w:lineRule="exact" w:line="235"/>
        <w:ind w:hanging="0" w:start="0" w:end="0"/>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bidi w:val="0"/>
        <w:spacing w:lineRule="exact" w:line="235"/>
        <w:ind w:hanging="0" w:start="0" w:end="0"/>
        <w:jc w:val="both"/>
        <w:rPr/>
      </w:pPr>
      <w:r>
        <w:rPr/>
        <w:t>MAHONIA NATURAL GAS LIMITED</w:t>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pPr>
      <w:r>
        <w:rPr/>
      </w:r>
    </w:p>
    <w:p>
      <w:pPr>
        <w:pStyle w:val="Normal"/>
        <w:keepNext w:val="true"/>
        <w:keepLines/>
        <w:bidi w:val="0"/>
        <w:spacing w:lineRule="exact" w:line="235"/>
        <w:ind w:hanging="0" w:start="0" w:end="0"/>
        <w:jc w:val="both"/>
        <w:rPr>
          <w:u w:val="single"/>
        </w:rPr>
      </w:pPr>
      <w:r>
        <w:rPr/>
        <w:t>By:</w:t>
      </w:r>
      <w:r>
        <w:rPr>
          <w:u w:val="single"/>
        </w:rPr>
        <w:t>_______________________________</w:t>
      </w:r>
    </w:p>
    <w:p>
      <w:pPr>
        <w:pStyle w:val="Normal"/>
        <w:keepLines/>
        <w:bidi w:val="0"/>
        <w:spacing w:lineRule="exact" w:line="235"/>
        <w:ind w:hanging="0" w:start="0" w:end="0"/>
        <w:jc w:val="both"/>
        <w:rPr>
          <w:u w:val="single"/>
        </w:rPr>
      </w:pPr>
      <w:r>
        <w:rPr/>
        <w:t>Name:</w:t>
      </w:r>
      <w:r>
        <w:rPr>
          <w:u w:val="single"/>
        </w:rPr>
        <w:t>____________________________</w:t>
      </w:r>
    </w:p>
    <w:p>
      <w:pPr>
        <w:pStyle w:val="Normal"/>
        <w:bidi w:val="0"/>
        <w:spacing w:lineRule="exact" w:line="235"/>
        <w:ind w:hanging="0" w:start="0" w:end="0"/>
        <w:jc w:val="both"/>
        <w:rPr/>
      </w:pPr>
      <w:r>
        <w:rPr/>
        <w:t>Title:_____________________________</w:t>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both"/>
        <w:rPr>
          <w:sz w:val="23"/>
        </w:rPr>
      </w:pPr>
      <w:r>
        <w:rPr>
          <w:sz w:val="23"/>
        </w:rPr>
      </w:r>
    </w:p>
    <w:p>
      <w:pPr>
        <w:pStyle w:val="VEBodyTextBT"/>
        <w:bidi w:val="0"/>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Houston_418230_13.DOC</w:t>
      </w:r>
      <w:r>
        <w:rPr>
          <w:sz w:val="16"/>
          <w:lang w:val="en-CA" w:eastAsia="en-CA"/>
        </w:rPr>
        <w:fldChar w:fldCharType="end"/>
      </w:r>
    </w:p>
    <w:p>
      <w:pPr>
        <w:pStyle w:val="VEBodyTextBT"/>
        <w:bidi w:val="0"/>
        <w:rPr>
          <w:rFonts w:ascii="Times New Roman" w:hAnsi="Times New Roman"/>
        </w:rPr>
      </w:pPr>
      <w:r>
        <w:rPr/>
      </w:r>
    </w:p>
    <w:p>
      <w:pPr>
        <w:pStyle w:val="VEBodyTextBT"/>
        <w:bidi w:val="0"/>
        <w:rPr>
          <w:rFonts w:ascii="Times New Roman" w:hAnsi="Times New Roman"/>
        </w:rPr>
      </w:pPr>
      <w:r>
        <w:rPr/>
        <w:t>------------------ COMPARISON OF FOOTERS ------------------</w:t>
      </w:r>
    </w:p>
    <w:p>
      <w:pPr>
        <w:pStyle w:val="VEBodyTextBT"/>
        <w:bidi w:val="0"/>
        <w:rPr>
          <w:rFonts w:ascii="Times New Roman" w:hAnsi="Times New Roman"/>
        </w:rPr>
      </w:pPr>
      <w:r>
        <w:rPr/>
      </w:r>
    </w:p>
    <w:p>
      <w:pPr>
        <w:pStyle w:val="VEBodyTextBT"/>
        <w:bidi w:val="0"/>
        <w:rPr>
          <w:rFonts w:ascii="Times New Roman" w:hAnsi="Times New Roman"/>
        </w:rPr>
      </w:pPr>
      <w:r>
        <w:rPr/>
        <w:t>-FOOTER 1-</w:t>
      </w:r>
    </w:p>
    <w:p>
      <w:pPr>
        <w:pStyle w:val="VEBodyTextBT"/>
        <w:bidi w:val="0"/>
        <w:rPr>
          <w:rFonts w:ascii="Times New Roman" w:hAnsi="Times New Roman"/>
        </w:rPr>
      </w:pPr>
      <w:r>
        <w:rPr/>
      </w:r>
    </w:p>
    <w:p>
      <w:pPr>
        <w:pStyle w:val="VEBodyTextBT"/>
        <w:bidi w:val="0"/>
        <w:rPr>
          <w:rFonts w:ascii="Times New Roman" w:hAnsi="Times New Roman"/>
        </w:rPr>
      </w:pPr>
      <w:r>
        <w:rPr/>
        <w:t>--</w:t>
      </w:r>
    </w:p>
    <w:p>
      <w:pPr>
        <w:pStyle w:val="VEBodyTextBT"/>
        <w:bidi w:val="0"/>
        <w:spacing w:before="0" w:after="240"/>
        <w:rPr>
          <w:rFonts w:ascii="Times New Roman" w:hAnsi="Times New Roman"/>
        </w:rPr>
      </w:pPr>
      <w:r>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center"/>
      <w:rPr>
        <w:sz w:val="23"/>
      </w:rPr>
    </w:pPr>
    <w:r>
      <w:rPr>
        <w:sz w:val="23"/>
      </w:rPr>
      <w:t>-</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35"/>
      <w:ind w:hanging="0" w:start="0" w:end="0"/>
      <w:jc w:val="both"/>
      <w:rPr>
        <w:sz w:val="23"/>
      </w:rPr>
    </w:pPr>
    <w:r>
      <w:rPr>
        <w:sz w:val="23"/>
      </w:rPr>
    </w:r>
  </w:p>
  <w:p>
    <w:pPr>
      <w:pStyle w:val="Normal"/>
      <w:bidi w:val="0"/>
      <w:spacing w:lineRule="exact" w:line="235"/>
      <w:ind w:hanging="0" w:start="0" w:end="0"/>
      <w:jc w:val="center"/>
      <w:rPr>
        <w:sz w:val="23"/>
      </w:rPr>
    </w:pPr>
    <w:r>
      <w:rPr>
        <w:sz w:val="23"/>
      </w:rPr>
      <w:t>-</w:t>
    </w:r>
    <w:r>
      <w:rPr>
        <w:sz w:val="23"/>
      </w:rPr>
      <w:fldChar w:fldCharType="begin"/>
    </w:r>
    <w:r>
      <w:rPr>
        <w:sz w:val="23"/>
      </w:rPr>
      <w:instrText xml:space="preserve"> PAGE </w:instrText>
    </w:r>
    <w:r>
      <w:rPr>
        <w:sz w:val="23"/>
      </w:rPr>
      <w:fldChar w:fldCharType="separate"/>
    </w:r>
    <w:r>
      <w:rPr>
        <w:sz w:val="23"/>
      </w:rPr>
      <w:t>10</w:t>
    </w:r>
    <w:r>
      <w:rPr>
        <w:sz w:val="23"/>
      </w:rPr>
      <w:fldChar w:fldCharType="end"/>
    </w:r>
    <w:r>
      <w:rPr>
        <w:sz w:val="23"/>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rPr/>
    </w:lvl>
    <w:lvl w:ilvl="2">
      <w:start w:val="1"/>
      <w:numFmt w:val="lowerRoman"/>
      <w:lvlText w:val="%3."/>
      <w:lvlJc w:val="end"/>
      <w:pPr>
        <w:tabs>
          <w:tab w:val="num" w:pos="2880"/>
        </w:tabs>
        <w:ind w:start="2880" w:hanging="180"/>
      </w:pPr>
      <w:rPr/>
    </w:lvl>
    <w:lvl w:ilvl="3">
      <w:start w:val="1"/>
      <w:numFmt w:val="decimal"/>
      <w:lvlText w:val="%4."/>
      <w:lvlJc w:val="start"/>
      <w:pPr>
        <w:tabs>
          <w:tab w:val="num" w:pos="3600"/>
        </w:tabs>
        <w:ind w:start="3600" w:hanging="360"/>
      </w:pPr>
      <w:rPr/>
    </w:lvl>
    <w:lvl w:ilvl="4">
      <w:start w:val="1"/>
      <w:numFmt w:val="lowerLetter"/>
      <w:lvlText w:val="%5."/>
      <w:lvlJc w:val="start"/>
      <w:pPr>
        <w:tabs>
          <w:tab w:val="num" w:pos="4320"/>
        </w:tabs>
        <w:ind w:start="4320" w:hanging="360"/>
      </w:pPr>
      <w:rPr/>
    </w:lvl>
    <w:lvl w:ilvl="5">
      <w:start w:val="1"/>
      <w:numFmt w:val="lowerRoman"/>
      <w:lvlText w:val="%6."/>
      <w:lvlJc w:val="end"/>
      <w:pPr>
        <w:tabs>
          <w:tab w:val="num" w:pos="5040"/>
        </w:tabs>
        <w:ind w:start="5040" w:hanging="180"/>
      </w:pPr>
      <w:rPr/>
    </w:lvl>
    <w:lvl w:ilvl="6">
      <w:start w:val="1"/>
      <w:numFmt w:val="decimal"/>
      <w:lvlText w:val="%7."/>
      <w:lvlJc w:val="start"/>
      <w:pPr>
        <w:tabs>
          <w:tab w:val="num" w:pos="5760"/>
        </w:tabs>
        <w:ind w:start="5760" w:hanging="360"/>
      </w:pPr>
      <w:rPr/>
    </w:lvl>
    <w:lvl w:ilvl="7">
      <w:start w:val="1"/>
      <w:numFmt w:val="lowerLetter"/>
      <w:lvlText w:val="%8."/>
      <w:lvlJc w:val="start"/>
      <w:pPr>
        <w:tabs>
          <w:tab w:val="num" w:pos="6480"/>
        </w:tabs>
        <w:ind w:start="6480" w:hanging="360"/>
      </w:pPr>
      <w:rPr/>
    </w:lvl>
    <w:lvl w:ilvl="8">
      <w:start w:val="1"/>
      <w:numFmt w:val="lowerRoman"/>
      <w:lvlText w:val="%9."/>
      <w:lvlJc w:val="end"/>
      <w:pPr>
        <w:tabs>
          <w:tab w:val="num" w:pos="7200"/>
        </w:tabs>
        <w:ind w:start="7200" w:hanging="180"/>
      </w:pPr>
      <w:rPr/>
    </w:lvl>
  </w:abstractNum>
  <w:abstractNum w:abstractNumId="2">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rPr/>
    </w:lvl>
    <w:lvl w:ilvl="3">
      <w:start w:val="1"/>
      <w:numFmt w:val="decimal"/>
      <w:lvlText w:val="%4."/>
      <w:lvlJc w:val="start"/>
      <w:pPr>
        <w:tabs>
          <w:tab w:val="num" w:pos="14400"/>
        </w:tabs>
        <w:ind w:start="14400" w:hanging="360"/>
      </w:pPr>
      <w:rPr/>
    </w:lvl>
    <w:lvl w:ilvl="4">
      <w:start w:val="1"/>
      <w:numFmt w:val="lowerLetter"/>
      <w:lvlText w:val="%5."/>
      <w:lvlJc w:val="start"/>
      <w:pPr>
        <w:tabs>
          <w:tab w:val="num" w:pos="15120"/>
        </w:tabs>
        <w:ind w:start="15120" w:hanging="360"/>
      </w:pPr>
      <w:rPr/>
    </w:lvl>
    <w:lvl w:ilvl="5">
      <w:start w:val="1"/>
      <w:numFmt w:val="lowerRoman"/>
      <w:lvlText w:val="%6."/>
      <w:lvlJc w:val="end"/>
      <w:pPr>
        <w:tabs>
          <w:tab w:val="num" w:pos="15840"/>
        </w:tabs>
        <w:ind w:start="15840" w:hanging="180"/>
      </w:pPr>
      <w:rPr/>
    </w:lvl>
    <w:lvl w:ilvl="6">
      <w:start w:val="1"/>
      <w:numFmt w:val="decimal"/>
      <w:lvlText w:val="%7."/>
      <w:lvlJc w:val="start"/>
      <w:pPr>
        <w:tabs>
          <w:tab w:val="num" w:pos="16560"/>
        </w:tabs>
        <w:ind w:start="16560" w:hanging="360"/>
      </w:pPr>
      <w:rPr/>
    </w:lvl>
    <w:lvl w:ilvl="7">
      <w:start w:val="1"/>
      <w:numFmt w:val="lowerLetter"/>
      <w:lvlText w:val="%8."/>
      <w:lvlJc w:val="start"/>
      <w:pPr>
        <w:tabs>
          <w:tab w:val="num" w:pos="17280"/>
        </w:tabs>
        <w:ind w:start="17280" w:hanging="360"/>
      </w:pPr>
      <w:rPr/>
    </w:lvl>
    <w:lvl w:ilvl="8">
      <w:start w:val="1"/>
      <w:numFmt w:val="lowerRoman"/>
      <w:lvlText w:val="%9."/>
      <w:lvlJc w:val="end"/>
      <w:pPr>
        <w:tabs>
          <w:tab w:val="num" w:pos="18000"/>
        </w:tabs>
        <w:ind w:start="18000" w:hanging="180"/>
      </w:pPr>
      <w:rPr/>
    </w:lvl>
  </w:abstractNum>
  <w:abstractNum w:abstractNumId="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4">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5">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8">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9">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VEBoldItalicBI">
    <w:name w:val="VE Bold Italic,BI"/>
    <w:basedOn w:val="DefaultParagraphFont"/>
    <w:qFormat/>
    <w:rPr>
      <w:b/>
      <w:i/>
    </w:rPr>
  </w:style>
  <w:style w:type="character" w:styleId="VEBoldUnderlineItalicBUI">
    <w:name w:val="VE Bold Underline Italic,BUI"/>
    <w:basedOn w:val="DefaultParagraphFont"/>
    <w:qFormat/>
    <w:rPr>
      <w:b/>
      <w:i/>
      <w:u w:val="single"/>
    </w:rPr>
  </w:style>
  <w:style w:type="character" w:styleId="VEBoldUnderlineBU">
    <w:name w:val="VE Bold Underline,BU"/>
    <w:basedOn w:val="DefaultParagraphFont"/>
    <w:qFormat/>
    <w:rPr>
      <w:b/>
      <w:u w:val="single"/>
    </w:rPr>
  </w:style>
  <w:style w:type="character" w:styleId="VEBoldB">
    <w:name w:val="VE Bold,B"/>
    <w:basedOn w:val="DefaultParagraphFont"/>
    <w:qFormat/>
    <w:rPr>
      <w:b/>
    </w:rPr>
  </w:style>
  <w:style w:type="character" w:styleId="VEDoubleUnderlineDU">
    <w:name w:val="VE Double Underline,DU"/>
    <w:basedOn w:val="DefaultParagraphFont"/>
    <w:qFormat/>
    <w:rPr>
      <w:u w:val="double"/>
    </w:rPr>
  </w:style>
  <w:style w:type="character" w:styleId="VEItalicI">
    <w:name w:val="VE Italic,I"/>
    <w:basedOn w:val="DefaultParagraphFont"/>
    <w:qFormat/>
    <w:rPr>
      <w:i/>
    </w:rPr>
  </w:style>
  <w:style w:type="character" w:styleId="VESmallCapSC">
    <w:name w:val="VE Small Cap,SC"/>
    <w:basedOn w:val="DefaultParagraphFont"/>
    <w:qFormat/>
    <w:rPr>
      <w:smallCaps/>
    </w:rPr>
  </w:style>
  <w:style w:type="character" w:styleId="VEUnderlineItalicUI">
    <w:name w:val="VE Underline Italic,UI"/>
    <w:basedOn w:val="DefaultParagraphFont"/>
    <w:qFormat/>
    <w:rPr>
      <w:i/>
      <w:u w:val="single"/>
    </w:rPr>
  </w:style>
  <w:style w:type="character" w:styleId="VEUnderlineU">
    <w:name w:val="VE Underline,U"/>
    <w:basedOn w:val="DefaultParagraphFont"/>
    <w:qFormat/>
    <w:rPr>
      <w:u w:val="single"/>
    </w:rPr>
  </w:style>
  <w:style w:type="character" w:styleId="VEUnderlineWordsUW">
    <w:name w:val="VE Underline Words,UW"/>
    <w:basedOn w:val="DefaultParagraphFont"/>
    <w:qFormat/>
    <w:rPr>
      <w:u w:val="single"/>
    </w:rPr>
  </w:style>
  <w:style w:type="character" w:styleId="VEDocumentInformationDI">
    <w:name w:val="VE Document Information,DI"/>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Nor">
    <w:name w:val="VE Normal,Nor"/>
    <w:basedOn w:val="Normal"/>
    <w:qFormat/>
    <w:pPr>
      <w:widowControl/>
      <w:ind w:hanging="0" w:start="0" w:end="0"/>
      <w:jc w:val="both"/>
      <w:textAlignment w:val="auto"/>
    </w:pPr>
    <w:rPr>
      <w:sz w:val="24"/>
      <w:lang w:val="en-US" w:eastAsia="en-US"/>
    </w:rPr>
  </w:style>
  <w:style w:type="paragraph" w:styleId="VE123List123">
    <w:name w:val="VE 123 List,123"/>
    <w:basedOn w:val="VENormalNor"/>
    <w:qFormat/>
    <w:pPr>
      <w:widowControl/>
      <w:numPr>
        <w:ilvl w:val="0"/>
        <w:numId w:val="10"/>
      </w:numPr>
      <w:tabs>
        <w:tab w:val="clear" w:pos="720"/>
        <w:tab w:val="left" w:pos="1440" w:leader="none"/>
      </w:tabs>
      <w:spacing w:before="0" w:after="240"/>
      <w:ind w:hanging="720" w:start="1440" w:end="0"/>
      <w:jc w:val="both"/>
      <w:textAlignment w:val="auto"/>
    </w:pPr>
    <w:rPr>
      <w:sz w:val="24"/>
      <w:lang w:val="en-US" w:eastAsia="en-US"/>
    </w:rPr>
  </w:style>
  <w:style w:type="paragraph" w:styleId="VEABCListABC">
    <w:name w:val="VE ABC List,ABC"/>
    <w:basedOn w:val="VENormalNor"/>
    <w:qFormat/>
    <w:pPr>
      <w:widowControl/>
      <w:numPr>
        <w:ilvl w:val="0"/>
        <w:numId w:val="1"/>
      </w:numPr>
      <w:spacing w:before="0" w:after="240"/>
      <w:ind w:hanging="720" w:start="1440" w:end="0"/>
      <w:jc w:val="both"/>
      <w:textAlignment w:val="auto"/>
    </w:pPr>
    <w:rPr>
      <w:sz w:val="24"/>
      <w:lang w:val="en-US" w:eastAsia="en-US"/>
    </w:rPr>
  </w:style>
  <w:style w:type="paragraph" w:styleId="VEAlignedTextAT">
    <w:name w:val="VE Aligned Text,AT"/>
    <w:basedOn w:val="VENormalNor"/>
    <w:next w:val="Normal"/>
    <w:qFormat/>
    <w:pPr>
      <w:widowControl/>
      <w:tabs>
        <w:tab w:val="clear" w:pos="720"/>
        <w:tab w:val="center" w:pos="4680" w:leader="none"/>
        <w:tab w:val="right" w:pos="9360" w:leader="none"/>
      </w:tabs>
      <w:ind w:hanging="0" w:start="0" w:end="0"/>
      <w:jc w:val="both"/>
      <w:textAlignment w:val="auto"/>
    </w:pPr>
    <w:rPr>
      <w:sz w:val="24"/>
      <w:lang w:val="en-US" w:eastAsia="en-US"/>
    </w:rPr>
  </w:style>
  <w:style w:type="paragraph" w:styleId="VEBodyText1BT1">
    <w:name w:val="VE Body Text 1,BT1"/>
    <w:basedOn w:val="VENormalNor"/>
    <w:qFormat/>
    <w:pPr>
      <w:widowControl/>
      <w:spacing w:before="0" w:after="240"/>
      <w:ind w:firstLine="720" w:start="0" w:end="0"/>
      <w:jc w:val="both"/>
      <w:textAlignment w:val="auto"/>
    </w:pPr>
    <w:rPr>
      <w:sz w:val="24"/>
      <w:lang w:val="en-US" w:eastAsia="en-US"/>
    </w:rPr>
  </w:style>
  <w:style w:type="paragraph" w:styleId="VEBodyText2BT2">
    <w:name w:val="VE Body Text 2,BT2"/>
    <w:basedOn w:val="VENormalNor"/>
    <w:qFormat/>
    <w:pPr>
      <w:widowControl/>
      <w:spacing w:before="0" w:after="240"/>
      <w:ind w:firstLine="1440" w:start="0" w:end="0"/>
      <w:jc w:val="both"/>
      <w:textAlignment w:val="auto"/>
    </w:pPr>
    <w:rPr>
      <w:sz w:val="24"/>
      <w:lang w:val="en-US" w:eastAsia="en-US"/>
    </w:rPr>
  </w:style>
  <w:style w:type="paragraph" w:styleId="VEBodyText3BT3">
    <w:name w:val="VE Body Text 3,BT3"/>
    <w:basedOn w:val="VENormalNor"/>
    <w:qFormat/>
    <w:pPr>
      <w:widowControl/>
      <w:spacing w:before="0" w:after="240"/>
      <w:ind w:firstLine="2160" w:start="0" w:end="0"/>
      <w:jc w:val="both"/>
      <w:textAlignment w:val="auto"/>
    </w:pPr>
    <w:rPr>
      <w:sz w:val="24"/>
      <w:lang w:val="en-US" w:eastAsia="en-US"/>
    </w:rPr>
  </w:style>
  <w:style w:type="paragraph" w:styleId="VEBodyText4BT4">
    <w:name w:val="VE Body Text 4,BT4"/>
    <w:basedOn w:val="VENormalNor"/>
    <w:qFormat/>
    <w:pPr>
      <w:widowControl/>
      <w:spacing w:before="0" w:after="240"/>
      <w:ind w:firstLine="2880" w:start="0" w:end="0"/>
      <w:jc w:val="both"/>
      <w:textAlignment w:val="auto"/>
    </w:pPr>
    <w:rPr>
      <w:sz w:val="24"/>
      <w:lang w:val="en-US" w:eastAsia="en-US"/>
    </w:rPr>
  </w:style>
  <w:style w:type="paragraph" w:styleId="VEBodyText5BT5">
    <w:name w:val="VE Body Text 5,BT5"/>
    <w:basedOn w:val="VENormalNor"/>
    <w:qFormat/>
    <w:pPr>
      <w:widowControl/>
      <w:ind w:hanging="0" w:start="0" w:end="0"/>
      <w:jc w:val="both"/>
      <w:textAlignment w:val="auto"/>
    </w:pPr>
    <w:rPr>
      <w:sz w:val="24"/>
      <w:lang w:val="en-US" w:eastAsia="en-US"/>
    </w:rPr>
  </w:style>
  <w:style w:type="paragraph" w:styleId="VEBodyText6BT6">
    <w:name w:val="VE Body Text 6,BT6"/>
    <w:basedOn w:val="VENormalNor"/>
    <w:qFormat/>
    <w:pPr>
      <w:widowControl/>
      <w:ind w:hanging="0" w:start="0" w:end="0"/>
      <w:jc w:val="both"/>
      <w:textAlignment w:val="auto"/>
    </w:pPr>
    <w:rPr>
      <w:sz w:val="24"/>
      <w:lang w:val="en-US" w:eastAsia="en-US"/>
    </w:rPr>
  </w:style>
  <w:style w:type="paragraph" w:styleId="VEBodyText7BT7">
    <w:name w:val="VE Body Text 7,BT7"/>
    <w:basedOn w:val="VENormalNor"/>
    <w:qFormat/>
    <w:pPr>
      <w:widowControl/>
      <w:ind w:hanging="0" w:start="0" w:end="0"/>
      <w:jc w:val="both"/>
      <w:textAlignment w:val="auto"/>
    </w:pPr>
    <w:rPr>
      <w:sz w:val="24"/>
      <w:lang w:val="en-US" w:eastAsia="en-US"/>
    </w:rPr>
  </w:style>
  <w:style w:type="paragraph" w:styleId="VEBodyText8BT8">
    <w:name w:val="VE Body Text 8,BT8"/>
    <w:basedOn w:val="VENormalNor"/>
    <w:qFormat/>
    <w:pPr>
      <w:widowControl/>
      <w:ind w:hanging="0" w:start="0" w:end="0"/>
      <w:jc w:val="both"/>
      <w:textAlignment w:val="auto"/>
    </w:pPr>
    <w:rPr>
      <w:sz w:val="24"/>
      <w:lang w:val="en-US" w:eastAsia="en-US"/>
    </w:rPr>
  </w:style>
  <w:style w:type="paragraph" w:styleId="VEBodyText9BT9">
    <w:name w:val="VE Body Text 9,BT9"/>
    <w:basedOn w:val="VENormalNor"/>
    <w:qFormat/>
    <w:pPr>
      <w:widowControl/>
      <w:ind w:hanging="0" w:start="0" w:end="0"/>
      <w:jc w:val="both"/>
      <w:textAlignment w:val="auto"/>
    </w:pPr>
    <w:rPr>
      <w:sz w:val="24"/>
      <w:lang w:val="en-US" w:eastAsia="en-US"/>
    </w:rPr>
  </w:style>
  <w:style w:type="paragraph" w:styleId="VEBodyTextDoubleFLIBTDFL">
    <w:name w:val="VE Body Text Double FLI,BTDFL"/>
    <w:basedOn w:val="VENormalNor"/>
    <w:qFormat/>
    <w:pPr>
      <w:widowControl/>
      <w:spacing w:lineRule="auto" w:line="480" w:before="0" w:after="240"/>
      <w:ind w:firstLine="720" w:start="0" w:end="0"/>
      <w:jc w:val="both"/>
      <w:textAlignment w:val="auto"/>
    </w:pPr>
    <w:rPr>
      <w:sz w:val="24"/>
      <w:lang w:val="en-US" w:eastAsia="en-US"/>
    </w:rPr>
  </w:style>
  <w:style w:type="paragraph" w:styleId="VEBodyTextDoubleBTD">
    <w:name w:val="VE Body Text Double,BTD"/>
    <w:basedOn w:val="VENormalNor"/>
    <w:qFormat/>
    <w:pPr>
      <w:widowControl/>
      <w:spacing w:lineRule="auto" w:line="480" w:before="0" w:after="240"/>
      <w:ind w:hanging="0" w:start="0" w:end="0"/>
      <w:jc w:val="both"/>
      <w:textAlignment w:val="auto"/>
    </w:pPr>
    <w:rPr>
      <w:sz w:val="24"/>
      <w:lang w:val="en-US" w:eastAsia="en-US"/>
    </w:rPr>
  </w:style>
  <w:style w:type="paragraph" w:styleId="VEBodyTextFLI1BTFL1">
    <w:name w:val="VE Body Text FLI 1,BTFL1"/>
    <w:basedOn w:val="VENormalNor"/>
    <w:qFormat/>
    <w:pPr>
      <w:widowControl/>
      <w:spacing w:before="0" w:after="240"/>
      <w:ind w:firstLine="1440" w:start="0" w:end="0"/>
      <w:jc w:val="both"/>
      <w:textAlignment w:val="auto"/>
    </w:pPr>
    <w:rPr>
      <w:sz w:val="24"/>
      <w:lang w:val="en-US" w:eastAsia="en-US"/>
    </w:rPr>
  </w:style>
  <w:style w:type="paragraph" w:styleId="VEBodyTextFLIBTFL">
    <w:name w:val="VE Body Text FLI,BTFL"/>
    <w:basedOn w:val="VENormalNor"/>
    <w:qFormat/>
    <w:pPr>
      <w:widowControl/>
      <w:spacing w:before="0" w:after="240"/>
      <w:ind w:firstLine="720" w:start="0" w:end="0"/>
      <w:jc w:val="both"/>
      <w:textAlignment w:val="auto"/>
    </w:pPr>
    <w:rPr>
      <w:sz w:val="24"/>
      <w:lang w:val="en-US" w:eastAsia="en-US"/>
    </w:rPr>
  </w:style>
  <w:style w:type="paragraph" w:styleId="VEBodyTextLeftIndent5BTLI">
    <w:name w:val="VE Body Text Left Indent .5,BTLI"/>
    <w:basedOn w:val="VENormalNor"/>
    <w:qFormat/>
    <w:pPr>
      <w:widowControl/>
      <w:spacing w:before="0" w:after="240"/>
      <w:ind w:hanging="0" w:start="720" w:end="0"/>
      <w:jc w:val="both"/>
      <w:textAlignment w:val="auto"/>
    </w:pPr>
    <w:rPr>
      <w:sz w:val="24"/>
      <w:lang w:val="en-US" w:eastAsia="en-US"/>
    </w:rPr>
  </w:style>
  <w:style w:type="paragraph" w:styleId="VEBodyTextLeftIndent1BTLI1">
    <w:name w:val="VE Body Text Left Indent 1,BTLI1"/>
    <w:basedOn w:val="VENormalNor"/>
    <w:qFormat/>
    <w:pPr>
      <w:widowControl/>
      <w:spacing w:before="0" w:after="240"/>
      <w:ind w:hanging="0" w:start="1440" w:end="0"/>
      <w:jc w:val="both"/>
      <w:textAlignment w:val="auto"/>
    </w:pPr>
    <w:rPr>
      <w:sz w:val="24"/>
      <w:lang w:val="en-US" w:eastAsia="en-US"/>
    </w:rPr>
  </w:style>
  <w:style w:type="paragraph" w:styleId="VEBodyTextNoSpaceBTNS">
    <w:name w:val="VE Body Text No Space,BTNS"/>
    <w:basedOn w:val="VENormalNor"/>
    <w:qFormat/>
    <w:pPr>
      <w:widowControl/>
      <w:ind w:hanging="0" w:start="0" w:end="0"/>
      <w:jc w:val="both"/>
      <w:textAlignment w:val="auto"/>
    </w:pPr>
    <w:rPr>
      <w:sz w:val="24"/>
      <w:lang w:val="en-US" w:eastAsia="en-US"/>
    </w:rPr>
  </w:style>
  <w:style w:type="paragraph" w:styleId="VEBodyTextNumberedBTN">
    <w:name w:val="VE Body Text Numbered,BTN"/>
    <w:basedOn w:val="VENormalNor"/>
    <w:qFormat/>
    <w:pPr>
      <w:widowControl/>
      <w:spacing w:before="0" w:after="240"/>
      <w:ind w:hanging="0" w:start="0" w:end="0"/>
      <w:jc w:val="both"/>
      <w:textAlignment w:val="auto"/>
    </w:pPr>
    <w:rPr>
      <w:sz w:val="24"/>
      <w:lang w:val="en-US" w:eastAsia="en-US"/>
    </w:rPr>
  </w:style>
  <w:style w:type="paragraph" w:styleId="VEBodyTextQuote5Q5">
    <w:name w:val="VE Body Text Quote .5,Q.5"/>
    <w:basedOn w:val="VENormalNor"/>
    <w:next w:val="VENormalNor"/>
    <w:qFormat/>
    <w:pPr>
      <w:widowControl/>
      <w:spacing w:before="0" w:after="240"/>
      <w:ind w:hanging="0" w:start="720" w:end="720"/>
      <w:jc w:val="both"/>
      <w:textAlignment w:val="auto"/>
    </w:pPr>
    <w:rPr>
      <w:sz w:val="24"/>
      <w:lang w:val="en-US" w:eastAsia="en-US"/>
    </w:rPr>
  </w:style>
  <w:style w:type="paragraph" w:styleId="VEBodyTextQuote1Q1">
    <w:name w:val="VE Body Text Quote 1,Q1"/>
    <w:basedOn w:val="VENormalNor"/>
    <w:next w:val="VENormalNor"/>
    <w:qFormat/>
    <w:pPr>
      <w:widowControl/>
      <w:spacing w:before="0" w:after="240"/>
      <w:ind w:hanging="0" w:start="1440" w:end="1440"/>
      <w:jc w:val="both"/>
      <w:textAlignment w:val="auto"/>
    </w:pPr>
    <w:rPr>
      <w:sz w:val="24"/>
      <w:lang w:val="en-US" w:eastAsia="en-US"/>
    </w:rPr>
  </w:style>
  <w:style w:type="paragraph" w:styleId="VEBodyTextBT">
    <w:name w:val="VE Body Text,BT"/>
    <w:basedOn w:val="VENormalNor"/>
    <w:qFormat/>
    <w:pPr>
      <w:widowControl/>
      <w:spacing w:before="0" w:after="240"/>
      <w:ind w:hanging="0" w:start="0" w:end="0"/>
      <w:jc w:val="both"/>
      <w:textAlignment w:val="auto"/>
    </w:pPr>
    <w:rPr>
      <w:sz w:val="24"/>
      <w:lang w:val="en-US" w:eastAsia="en-US"/>
    </w:rPr>
  </w:style>
  <w:style w:type="paragraph" w:styleId="VEBulletListBL">
    <w:name w:val="VE Bullet List,BL"/>
    <w:basedOn w:val="VENormalNor"/>
    <w:qFormat/>
    <w:pPr>
      <w:widowControl/>
      <w:numPr>
        <w:ilvl w:val="0"/>
        <w:numId w:val="2"/>
      </w:numPr>
      <w:spacing w:before="0" w:after="240"/>
      <w:ind w:hanging="720" w:start="1440" w:end="0"/>
      <w:jc w:val="both"/>
      <w:textAlignment w:val="auto"/>
    </w:pPr>
    <w:rPr>
      <w:sz w:val="24"/>
      <w:lang w:val="en-US" w:eastAsia="en-US"/>
    </w:rPr>
  </w:style>
  <w:style w:type="paragraph" w:styleId="VECenteredTextCT">
    <w:name w:val="VE Centered Text,CT"/>
    <w:basedOn w:val="VENormalNor"/>
    <w:next w:val="VEBodyTextBT"/>
    <w:qFormat/>
    <w:pPr>
      <w:widowControl/>
      <w:spacing w:before="0" w:after="240"/>
      <w:ind w:hanging="0" w:start="0" w:end="0"/>
      <w:jc w:val="center"/>
      <w:textAlignment w:val="auto"/>
    </w:pPr>
    <w:rPr>
      <w:sz w:val="24"/>
      <w:lang w:val="en-US" w:eastAsia="en-US"/>
    </w:rPr>
  </w:style>
  <w:style w:type="paragraph" w:styleId="VEHangingIndentHI">
    <w:name w:val="VE Hanging Indent,HI"/>
    <w:basedOn w:val="VENormalNor"/>
    <w:qFormat/>
    <w:pPr>
      <w:widowControl/>
      <w:spacing w:before="0" w:after="240"/>
      <w:ind w:hanging="720" w:start="720" w:end="0"/>
      <w:jc w:val="both"/>
      <w:textAlignment w:val="auto"/>
    </w:pPr>
    <w:rPr>
      <w:sz w:val="24"/>
      <w:lang w:val="en-US" w:eastAsia="en-US"/>
    </w:rPr>
  </w:style>
  <w:style w:type="paragraph" w:styleId="VEHeading1H1">
    <w:name w:val="VE Heading 1,H1"/>
    <w:basedOn w:val="VENormalNor"/>
    <w:next w:val="VEBodyText1BT1"/>
    <w:qFormat/>
    <w:pPr>
      <w:keepNext w:val="true"/>
      <w:widowControl/>
      <w:spacing w:before="0" w:after="240"/>
      <w:ind w:hanging="0" w:start="0" w:end="0"/>
      <w:jc w:val="both"/>
      <w:textAlignment w:val="auto"/>
      <w:outlineLvl w:val="0"/>
    </w:pPr>
    <w:rPr>
      <w:b/>
      <w:sz w:val="24"/>
      <w:lang w:val="en-US" w:eastAsia="en-US"/>
    </w:rPr>
  </w:style>
  <w:style w:type="paragraph" w:styleId="VEHeading2H2">
    <w:name w:val="VE Heading 2,H2"/>
    <w:basedOn w:val="VENormalNor"/>
    <w:next w:val="VEBodyText2BT2"/>
    <w:qFormat/>
    <w:pPr>
      <w:keepNext w:val="true"/>
      <w:widowControl/>
      <w:spacing w:before="0" w:after="240"/>
      <w:ind w:hanging="0" w:start="720" w:end="0"/>
      <w:jc w:val="both"/>
      <w:textAlignment w:val="auto"/>
      <w:outlineLvl w:val="1"/>
    </w:pPr>
    <w:rPr>
      <w:sz w:val="24"/>
      <w:lang w:val="en-US" w:eastAsia="en-US"/>
    </w:rPr>
  </w:style>
  <w:style w:type="paragraph" w:styleId="VEHeading3H3">
    <w:name w:val="VE Heading 3,H3"/>
    <w:basedOn w:val="VENormalNor"/>
    <w:next w:val="VEBodyText3BT3"/>
    <w:qFormat/>
    <w:pPr>
      <w:keepNext w:val="true"/>
      <w:widowControl/>
      <w:spacing w:before="0" w:after="240"/>
      <w:ind w:hanging="0" w:start="1440" w:end="0"/>
      <w:jc w:val="both"/>
      <w:textAlignment w:val="auto"/>
      <w:outlineLvl w:val="2"/>
    </w:pPr>
    <w:rPr>
      <w:sz w:val="24"/>
      <w:lang w:val="en-US" w:eastAsia="en-US"/>
    </w:rPr>
  </w:style>
  <w:style w:type="paragraph" w:styleId="VEHeading4H4">
    <w:name w:val="VE Heading 4,H4"/>
    <w:basedOn w:val="VENormalNor"/>
    <w:next w:val="VEBodyText4BT4"/>
    <w:qFormat/>
    <w:pPr>
      <w:keepNext w:val="true"/>
      <w:widowControl/>
      <w:spacing w:before="0" w:after="240"/>
      <w:ind w:hanging="0" w:start="2160" w:end="0"/>
      <w:jc w:val="both"/>
      <w:textAlignment w:val="auto"/>
      <w:outlineLvl w:val="3"/>
    </w:pPr>
    <w:rPr>
      <w:sz w:val="24"/>
      <w:lang w:val="en-US" w:eastAsia="en-US"/>
    </w:rPr>
  </w:style>
  <w:style w:type="paragraph" w:styleId="VELeftIndentHangingLIH">
    <w:name w:val="VE Left Indent Hanging,LIH"/>
    <w:basedOn w:val="VENormalNor"/>
    <w:qFormat/>
    <w:pPr>
      <w:widowControl/>
      <w:spacing w:before="0" w:after="240"/>
      <w:ind w:hanging="720" w:start="1440" w:end="0"/>
      <w:jc w:val="both"/>
      <w:textAlignment w:val="auto"/>
    </w:pPr>
    <w:rPr>
      <w:sz w:val="24"/>
      <w:lang w:val="en-US" w:eastAsia="en-US"/>
    </w:rPr>
  </w:style>
  <w:style w:type="paragraph" w:styleId="VENumbered1N1">
    <w:name w:val="VE Numbered 1,N1"/>
    <w:basedOn w:val="VENormalNor"/>
    <w:next w:val="VEBodyText1BT1"/>
    <w:qFormat/>
    <w:pPr>
      <w:keepNext w:val="true"/>
      <w:widowControl/>
      <w:numPr>
        <w:ilvl w:val="0"/>
        <w:numId w:val="3"/>
      </w:numPr>
      <w:spacing w:before="0" w:after="240"/>
      <w:ind w:hanging="0" w:start="0" w:end="0"/>
      <w:jc w:val="center"/>
      <w:textAlignment w:val="auto"/>
      <w:outlineLvl w:val="0"/>
    </w:pPr>
    <w:rPr>
      <w:b/>
      <w:sz w:val="24"/>
      <w:lang w:val="en-US" w:eastAsia="en-US"/>
    </w:rPr>
  </w:style>
  <w:style w:type="paragraph" w:styleId="VENumbered2N2">
    <w:name w:val="VE Numbered 2,N2"/>
    <w:basedOn w:val="VENormalNor"/>
    <w:next w:val="VEBodyText2BT2"/>
    <w:qFormat/>
    <w:pPr>
      <w:widowControl/>
      <w:numPr>
        <w:ilvl w:val="1"/>
        <w:numId w:val="4"/>
      </w:numPr>
      <w:spacing w:before="0" w:after="240"/>
      <w:ind w:firstLine="720" w:start="0" w:end="0"/>
      <w:jc w:val="both"/>
      <w:textAlignment w:val="auto"/>
      <w:outlineLvl w:val="1"/>
    </w:pPr>
    <w:rPr>
      <w:sz w:val="24"/>
      <w:lang w:val="en-US" w:eastAsia="en-US"/>
    </w:rPr>
  </w:style>
  <w:style w:type="paragraph" w:styleId="VENumbered3N3">
    <w:name w:val="VE Numbered 3,N3"/>
    <w:basedOn w:val="VENormalNor"/>
    <w:next w:val="VEBodyText3BT3"/>
    <w:qFormat/>
    <w:pPr>
      <w:widowControl/>
      <w:numPr>
        <w:ilvl w:val="2"/>
        <w:numId w:val="5"/>
      </w:numPr>
      <w:spacing w:before="0" w:after="240"/>
      <w:ind w:firstLine="720" w:start="720" w:end="0"/>
      <w:jc w:val="both"/>
      <w:textAlignment w:val="auto"/>
      <w:outlineLvl w:val="2"/>
    </w:pPr>
    <w:rPr>
      <w:sz w:val="24"/>
      <w:lang w:val="en-US" w:eastAsia="en-US"/>
    </w:rPr>
  </w:style>
  <w:style w:type="paragraph" w:styleId="VENumbered4N4">
    <w:name w:val="VE Numbered 4,N4"/>
    <w:basedOn w:val="VENormalNor"/>
    <w:next w:val="VEBodyText4BT4"/>
    <w:qFormat/>
    <w:pPr>
      <w:widowControl/>
      <w:numPr>
        <w:ilvl w:val="3"/>
        <w:numId w:val="6"/>
      </w:numPr>
      <w:spacing w:before="0" w:after="240"/>
      <w:ind w:firstLine="720" w:start="1440" w:end="0"/>
      <w:jc w:val="both"/>
      <w:textAlignment w:val="auto"/>
      <w:outlineLvl w:val="3"/>
    </w:pPr>
    <w:rPr>
      <w:sz w:val="24"/>
      <w:lang w:val="en-US" w:eastAsia="en-US"/>
    </w:rPr>
  </w:style>
  <w:style w:type="paragraph" w:styleId="VENumbered5N5">
    <w:name w:val="VE Numbered 5,N5"/>
    <w:basedOn w:val="VENormalNor"/>
    <w:next w:val="VEBodyText5BT5"/>
    <w:qFormat/>
    <w:pPr>
      <w:widowControl/>
      <w:numPr>
        <w:ilvl w:val="4"/>
        <w:numId w:val="7"/>
      </w:numPr>
      <w:tabs>
        <w:tab w:val="clear" w:pos="720"/>
        <w:tab w:val="left" w:pos="360" w:leader="none"/>
      </w:tabs>
      <w:spacing w:before="0" w:after="240"/>
      <w:ind w:hanging="720" w:start="2880" w:end="0"/>
      <w:jc w:val="both"/>
      <w:textAlignment w:val="auto"/>
      <w:outlineLvl w:val="4"/>
    </w:pPr>
    <w:rPr>
      <w:sz w:val="24"/>
      <w:lang w:val="en-US" w:eastAsia="en-US"/>
    </w:rPr>
  </w:style>
  <w:style w:type="paragraph" w:styleId="VENumbered6N6">
    <w:name w:val="VE Numbered 6,N6"/>
    <w:basedOn w:val="VENormalNor"/>
    <w:next w:val="VEBodyText6BT6"/>
    <w:qFormat/>
    <w:pPr>
      <w:widowControl/>
      <w:spacing w:before="0" w:after="240"/>
      <w:ind w:firstLine="2880" w:start="0" w:end="0"/>
      <w:jc w:val="both"/>
      <w:textAlignment w:val="auto"/>
      <w:outlineLvl w:val="5"/>
    </w:pPr>
    <w:rPr>
      <w:sz w:val="24"/>
      <w:lang w:val="en-US" w:eastAsia="en-US"/>
    </w:rPr>
  </w:style>
  <w:style w:type="paragraph" w:styleId="VENumbered7N7">
    <w:name w:val="VE Numbered 7,N7"/>
    <w:basedOn w:val="VENormalNor"/>
    <w:next w:val="VEBodyText7BT7"/>
    <w:qFormat/>
    <w:pPr>
      <w:widowControl/>
      <w:spacing w:before="0" w:after="240"/>
      <w:ind w:firstLine="2880" w:start="0" w:end="0"/>
      <w:jc w:val="both"/>
      <w:textAlignment w:val="auto"/>
      <w:outlineLvl w:val="6"/>
    </w:pPr>
    <w:rPr>
      <w:sz w:val="24"/>
      <w:lang w:val="en-US" w:eastAsia="en-US"/>
    </w:rPr>
  </w:style>
  <w:style w:type="paragraph" w:styleId="VENumbered8N8">
    <w:name w:val="VE Numbered 8,N8"/>
    <w:basedOn w:val="VENormalNor"/>
    <w:next w:val="VEBodyText8BT8"/>
    <w:qFormat/>
    <w:pPr>
      <w:widowControl/>
      <w:spacing w:before="0" w:after="240"/>
      <w:ind w:firstLine="2880" w:start="0" w:end="0"/>
      <w:jc w:val="both"/>
      <w:textAlignment w:val="auto"/>
      <w:outlineLvl w:val="7"/>
    </w:pPr>
    <w:rPr>
      <w:sz w:val="24"/>
      <w:lang w:val="en-US" w:eastAsia="en-US"/>
    </w:rPr>
  </w:style>
  <w:style w:type="paragraph" w:styleId="VENumbered9N9">
    <w:name w:val="VE Numbered 9,N9"/>
    <w:basedOn w:val="VENormalNor"/>
    <w:next w:val="VEBodyText9BT9"/>
    <w:qFormat/>
    <w:pPr>
      <w:widowControl/>
      <w:spacing w:before="0" w:after="240"/>
      <w:ind w:firstLine="2880" w:start="0" w:end="0"/>
      <w:jc w:val="both"/>
      <w:textAlignment w:val="auto"/>
      <w:outlineLvl w:val="8"/>
    </w:pPr>
    <w:rPr>
      <w:sz w:val="24"/>
      <w:lang w:val="en-US" w:eastAsia="en-US"/>
    </w:rPr>
  </w:style>
  <w:style w:type="paragraph" w:styleId="VERightAlignRA">
    <w:name w:val="VE Right Align,RA"/>
    <w:basedOn w:val="VENormalNor"/>
    <w:next w:val="VEBodyTextBT"/>
    <w:qFormat/>
    <w:pPr>
      <w:widowControl/>
      <w:tabs>
        <w:tab w:val="clear" w:pos="720"/>
        <w:tab w:val="right" w:pos="9360" w:leader="none"/>
      </w:tabs>
      <w:spacing w:before="0" w:after="240"/>
      <w:ind w:hanging="0" w:start="0" w:end="0"/>
      <w:jc w:val="end"/>
      <w:textAlignment w:val="auto"/>
    </w:pPr>
    <w:rPr>
      <w:sz w:val="24"/>
      <w:lang w:val="en-US" w:eastAsia="en-US"/>
    </w:rPr>
  </w:style>
  <w:style w:type="paragraph" w:styleId="VESigBlock1SB1">
    <w:name w:val="VE Sig Block 1,SB1"/>
    <w:basedOn w:val="VENormalNor"/>
    <w:qFormat/>
    <w:pPr>
      <w:keepNext w:val="true"/>
      <w:widowControl/>
      <w:tabs>
        <w:tab w:val="clear" w:pos="720"/>
        <w:tab w:val="right" w:pos="4320" w:leader="none"/>
        <w:tab w:val="left" w:pos="5040" w:leader="none"/>
        <w:tab w:val="right" w:pos="9360" w:leader="none"/>
      </w:tabs>
      <w:ind w:hanging="0" w:start="0" w:end="0"/>
      <w:jc w:val="start"/>
      <w:textAlignment w:val="auto"/>
    </w:pPr>
    <w:rPr>
      <w:sz w:val="24"/>
      <w:lang w:val="en-US" w:eastAsia="en-US"/>
    </w:rPr>
  </w:style>
  <w:style w:type="paragraph" w:styleId="VESigBlock2SB2">
    <w:name w:val="VE Sig Block 2,SB2"/>
    <w:basedOn w:val="VENormalNor"/>
    <w:qFormat/>
    <w:pPr>
      <w:widowControl/>
      <w:tabs>
        <w:tab w:val="clear" w:pos="720"/>
        <w:tab w:val="left" w:pos="5400" w:leader="none"/>
        <w:tab w:val="right" w:pos="9360" w:leader="none"/>
      </w:tabs>
      <w:ind w:hanging="0" w:start="0" w:end="0"/>
      <w:jc w:val="start"/>
      <w:textAlignment w:val="auto"/>
    </w:pPr>
    <w:rPr>
      <w:sz w:val="24"/>
      <w:lang w:val="en-US" w:eastAsia="en-US"/>
    </w:rPr>
  </w:style>
  <w:style w:type="paragraph" w:styleId="VESubHeadingSH">
    <w:name w:val="VE Sub Heading,SH"/>
    <w:basedOn w:val="VENormalNor"/>
    <w:next w:val="VEBodyTextBT"/>
    <w:qFormat/>
    <w:pPr>
      <w:widowControl/>
      <w:spacing w:before="0" w:after="240"/>
      <w:ind w:hanging="0" w:start="0" w:end="0"/>
      <w:jc w:val="start"/>
      <w:textAlignment w:val="auto"/>
    </w:pPr>
    <w:rPr>
      <w:sz w:val="24"/>
      <w:lang w:val="en-US" w:eastAsia="en-US"/>
    </w:rPr>
  </w:style>
  <w:style w:type="paragraph" w:styleId="VESubTitleST">
    <w:name w:val="VE Sub Title,ST"/>
    <w:basedOn w:val="VENormalNor"/>
    <w:next w:val="VEBodyTextBT"/>
    <w:qFormat/>
    <w:pPr>
      <w:keepNext w:val="true"/>
      <w:widowControl/>
      <w:spacing w:before="0" w:after="240"/>
      <w:ind w:hanging="0" w:start="0" w:end="0"/>
      <w:jc w:val="center"/>
      <w:textAlignment w:val="auto"/>
    </w:pPr>
    <w:rPr>
      <w:b/>
      <w:sz w:val="24"/>
      <w:lang w:val="en-US" w:eastAsia="en-US"/>
    </w:rPr>
  </w:style>
  <w:style w:type="paragraph" w:styleId="VETable123T123">
    <w:name w:val="VE Table 123,T123"/>
    <w:basedOn w:val="VENormalNor"/>
    <w:qFormat/>
    <w:pPr>
      <w:widowControl/>
      <w:numPr>
        <w:ilvl w:val="0"/>
        <w:numId w:val="8"/>
      </w:numPr>
      <w:ind w:hanging="0" w:start="0" w:end="0"/>
      <w:jc w:val="both"/>
      <w:textAlignment w:val="auto"/>
    </w:pPr>
    <w:rPr>
      <w:sz w:val="24"/>
      <w:lang w:val="en-US" w:eastAsia="en-US"/>
    </w:rPr>
  </w:style>
  <w:style w:type="paragraph" w:styleId="VETableABCTABC">
    <w:name w:val="VE Table ABC,TABC"/>
    <w:basedOn w:val="VENormalNor"/>
    <w:qFormat/>
    <w:pPr>
      <w:widowControl/>
      <w:numPr>
        <w:ilvl w:val="0"/>
        <w:numId w:val="9"/>
      </w:numPr>
      <w:ind w:hanging="0" w:start="0" w:end="0"/>
      <w:jc w:val="both"/>
      <w:textAlignment w:val="auto"/>
    </w:pPr>
    <w:rPr>
      <w:sz w:val="24"/>
      <w:lang w:val="en-US" w:eastAsia="en-US"/>
    </w:rPr>
  </w:style>
  <w:style w:type="paragraph" w:styleId="VETableHeadingTH">
    <w:name w:val="VE Table Heading,TH"/>
    <w:basedOn w:val="VENormalNor"/>
    <w:qFormat/>
    <w:pPr>
      <w:keepNext w:val="true"/>
      <w:widowControl/>
      <w:spacing w:before="0" w:after="240"/>
      <w:ind w:hanging="0" w:start="0" w:end="0"/>
      <w:jc w:val="start"/>
      <w:textAlignment w:val="auto"/>
    </w:pPr>
    <w:rPr>
      <w:sz w:val="24"/>
      <w:lang w:val="en-US" w:eastAsia="en-US"/>
    </w:rPr>
  </w:style>
  <w:style w:type="paragraph" w:styleId="VETableTextTT">
    <w:name w:val="VE Table Text,TT"/>
    <w:basedOn w:val="VEBodyTextNoSpaceBTNS"/>
    <w:next w:val="VEBodyTextBT"/>
    <w:qFormat/>
    <w:pPr>
      <w:widowControl/>
      <w:ind w:hanging="0" w:start="0" w:end="0"/>
      <w:jc w:val="start"/>
      <w:textAlignment w:val="auto"/>
    </w:pPr>
    <w:rPr>
      <w:sz w:val="24"/>
      <w:lang w:val="en-US" w:eastAsia="en-US"/>
    </w:rPr>
  </w:style>
  <w:style w:type="paragraph" w:styleId="VETitleBoldCenterUnderlineTBCU">
    <w:name w:val="VE Title Bold Center Underline,TBCU"/>
    <w:basedOn w:val="VENormalNor"/>
    <w:next w:val="VESubTitleST"/>
    <w:qFormat/>
    <w:pPr>
      <w:keepNext w:val="true"/>
      <w:widowControl/>
      <w:spacing w:before="0" w:after="240"/>
      <w:ind w:hanging="0" w:start="0" w:end="0"/>
      <w:jc w:val="center"/>
      <w:textAlignment w:val="auto"/>
    </w:pPr>
    <w:rPr>
      <w:b/>
      <w:sz w:val="24"/>
      <w:u w:val="single"/>
      <w:lang w:val="en-US" w:eastAsia="en-US"/>
    </w:rPr>
  </w:style>
  <w:style w:type="paragraph" w:styleId="VETitleBoldCenterTBC">
    <w:name w:val="VE Title Bold Center,TBC"/>
    <w:basedOn w:val="VENormalNor"/>
    <w:next w:val="VESubTitleST"/>
    <w:qFormat/>
    <w:pPr>
      <w:keepNext w:val="true"/>
      <w:widowControl/>
      <w:spacing w:before="0" w:after="240"/>
      <w:ind w:hanging="0" w:start="0" w:end="0"/>
      <w:jc w:val="center"/>
      <w:textAlignment w:val="auto"/>
    </w:pPr>
    <w:rPr>
      <w:b/>
      <w:sz w:val="28"/>
      <w:lang w:val="en-US" w:eastAsia="en-US"/>
    </w:rPr>
  </w:style>
  <w:style w:type="paragraph" w:styleId="VETitleUnderlineCenterTUC">
    <w:name w:val="VE Title Underline Center,TUC"/>
    <w:basedOn w:val="VENormalNor"/>
    <w:next w:val="VESubTitleST"/>
    <w:qFormat/>
    <w:pPr>
      <w:keepNext w:val="true"/>
      <w:widowControl/>
      <w:spacing w:before="0" w:after="240"/>
      <w:ind w:hanging="0" w:start="0" w:end="0"/>
      <w:jc w:val="center"/>
      <w:textAlignment w:val="auto"/>
    </w:pPr>
    <w:rPr>
      <w:sz w:val="24"/>
      <w:u w:val="single"/>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VEInsideAddressIA">
    <w:name w:val="VE Inside Address,IA"/>
    <w:basedOn w:val="VEBodyTextBT"/>
    <w:qFormat/>
    <w:pPr>
      <w:widowControl/>
      <w:spacing w:before="0" w:after="240"/>
      <w:ind w:hanging="0" w:start="0" w:end="0"/>
      <w:jc w:val="start"/>
      <w:textAlignment w:val="auto"/>
    </w:pPr>
    <w:rPr>
      <w:sz w:val="24"/>
      <w:lang w:val="en-US" w:eastAsia="en-US"/>
    </w:rPr>
  </w:style>
  <w:style w:type="paragraph" w:styleId="VEInsideAddressNSIANS">
    <w:name w:val="VE Inside Address NS,IANS"/>
    <w:basedOn w:val="VEBodyTextBT"/>
    <w:qFormat/>
    <w:pPr>
      <w:widowControl/>
      <w:spacing w:before="0" w:after="0"/>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4926</Words>
  <Characters>31207</Characters>
  <CharactersWithSpaces>26213</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2000-12-22T15:14:00Z</dcterms:created>
  <dc:creator>Vinson &amp; Elkins L.L.P.</dc:creator>
  <dc:description/>
  <dc:language>en-CA</dc:language>
  <cp:lastModifiedBy/>
  <cp:lastPrinted>2000-12-22T15:13:00Z</cp:lastPrinted>
  <dcterms:modified xsi:type="dcterms:W3CDTF">2000-12-22T15:14:00Z</dcterms:modified>
  <cp:revision>2</cp:revision>
  <dc:subject/>
  <dc:title>ENRON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