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end"/>
        <w:rPr>
          <w:rFonts w:ascii="Times New Roman" w:hAnsi="Times New Roman"/>
          <w:b/>
        </w:rPr>
      </w:pPr>
      <w:r>
        <w:rPr>
          <w:rFonts w:ascii="Times New Roman" w:hAnsi="Times New Roman"/>
          <w:b/>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 xml:space="preserve">THIS MARGIN AGREEMENT (this </w:t>
      </w:r>
      <w:r>
        <w:rPr>
          <w:rFonts w:ascii="Times New Roman" w:hAnsi="Times New Roman"/>
          <w:i/>
        </w:rPr>
        <w:t>"Agreement"</w:t>
      </w:r>
      <w:r>
        <w:rPr>
          <w:rFonts w:ascii="Times New Roman" w:hAnsi="Times New Roman"/>
        </w:rPr>
        <w:t>) is made and entered into as of this ___ day of December, 2000, by and among ENRON NORTH AMERICA CORP., a Delaware corporation (</w:t>
      </w:r>
      <w:r>
        <w:rPr>
          <w:rFonts w:ascii="Times New Roman" w:hAnsi="Times New Roman"/>
          <w:i/>
        </w:rPr>
        <w:t>"Seller"</w:t>
      </w:r>
      <w:r>
        <w:rPr>
          <w:rFonts w:ascii="Times New Roman" w:hAnsi="Times New Roman"/>
        </w:rPr>
        <w:t>), MAHONIA NATURAL GAS LIMITED, a company incorporated under the laws of Jersey (</w:t>
      </w:r>
      <w:r>
        <w:rPr>
          <w:rFonts w:ascii="Times New Roman" w:hAnsi="Times New Roman"/>
          <w:i/>
        </w:rPr>
        <w:t>"Purchaser"</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1.</w:t>
        <w:tab/>
        <w:t xml:space="preserve">(a)  </w:t>
      </w:r>
      <w:r>
        <w:rPr>
          <w:rFonts w:ascii="Times New Roman" w:hAnsi="Times New Roman"/>
          <w:i/>
        </w:rPr>
        <w:t>Defined Terms</w:t>
      </w:r>
      <w:r>
        <w:rPr>
          <w:rFonts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"Calculated Exposure"</w:t>
      </w:r>
      <w:r>
        <w:rPr>
          <w:rFonts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w:t>
      </w:r>
      <w:r>
        <w:rPr>
          <w:rFonts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Net Worth"</w:t>
      </w:r>
      <w:r>
        <w:rPr>
          <w:rFonts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Tangible Net Worth"</w:t>
      </w:r>
      <w:r>
        <w:rPr>
          <w:rFonts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ascii="Times New Roman" w:hAnsi="Times New Roman"/>
          <w:i/>
        </w:rPr>
        <w:t>"intangible assets"</w:t>
      </w:r>
      <w:r>
        <w:rPr>
          <w:rFonts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"Debt"</w:t>
      </w:r>
      <w:r>
        <w:rPr>
          <w:rFonts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"Enron"</w:t>
      </w:r>
      <w:r>
        <w:rPr>
          <w:rFonts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"Event of Default"</w:t>
      </w:r>
      <w:r>
        <w:rPr>
          <w:rFonts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"Excess Market Exposure"</w:t>
      </w:r>
      <w:r>
        <w:rPr>
          <w:rFonts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"Fair Market Value"</w:t>
      </w:r>
      <w:r>
        <w:rPr>
          <w:rFonts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"FERC"</w:t>
      </w:r>
      <w:r>
        <w:rPr>
          <w:rFonts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"Fixed Undelivered Gas Volume"</w:t>
      </w:r>
      <w:r>
        <w:rPr>
          <w:rFonts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"Forward Sale Contract"</w:t>
      </w:r>
      <w:r>
        <w:rPr>
          <w:rFonts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"GAAP"</w:t>
      </w:r>
      <w:r>
        <w:rPr>
          <w:rFonts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"Henry Hub"</w:t>
      </w:r>
      <w:r>
        <w:rPr>
          <w:rFonts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"Interest Rate"</w:t>
      </w:r>
      <w:r>
        <w:rPr>
          <w:rFonts w:ascii="Times New Roman" w:hAnsi="Times New Roman"/>
        </w:rPr>
        <w:t xml:space="preserve"> shall mean , for any day, the rate set forth for that day opposite the caption "Federal Funds (Effective)" in the weekly statistical release designated "H.15(519)", or any successor publication, published by the Board of Governors of the Federal Reserve System,  </w:t>
      </w:r>
      <w:r>
        <w:rPr>
          <w:rFonts w:ascii="Times New Roman" w:hAnsi="Times New Roman"/>
          <w:u w:val="single"/>
        </w:rPr>
        <w:t>minus</w:t>
      </w:r>
      <w:r>
        <w:rPr>
          <w:rFonts w:ascii="Times New Roman" w:hAnsi="Times New Roman"/>
        </w:rPr>
        <w:t xml:space="preserve"> 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w:t>
      </w:r>
      <w:r>
        <w:rPr>
          <w:rFonts w:ascii="Times New Roman" w:hAnsi="Times New Roman"/>
        </w:rPr>
        <w:t xml:space="preserve"> means (i) cash; (ii) Securities;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Price Confirmation Letter"</w:t>
      </w:r>
      <w:r>
        <w:rPr>
          <w:rFonts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Reference Price"</w:t>
      </w:r>
      <w:r>
        <w:rPr>
          <w:rFonts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"Minimum Call"</w:t>
      </w:r>
      <w:r>
        <w:rPr>
          <w:rFonts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"NYMEX Gas Price"</w:t>
      </w:r>
      <w:r>
        <w:rPr>
          <w:rFonts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"Payment Obligations"</w:t>
      </w:r>
      <w:r>
        <w:rPr>
          <w:rFonts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"Person"</w:t>
      </w:r>
      <w:r>
        <w:rPr>
          <w:rFonts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"Preferred Stock"</w:t>
      </w:r>
      <w:r>
        <w:rPr>
          <w:rFonts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"Redeemable"</w:t>
      </w:r>
      <w:r>
        <w:rPr>
          <w:rFonts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"Regulated Subsidiary"</w:t>
      </w:r>
      <w:r>
        <w:rPr>
          <w:rFonts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"Release Certificate"</w:t>
      </w:r>
      <w:r>
        <w:rPr>
          <w:rFonts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"Revolving Credit Agreement"</w:t>
      </w:r>
      <w:r>
        <w:rPr>
          <w:rFonts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rPr>
        <w:t>“</w:t>
      </w:r>
      <w:r>
        <w:rPr>
          <w:rFonts w:ascii="Times New Roman" w:hAnsi="Times New Roman"/>
          <w:i/>
        </w:rPr>
        <w:t>Securities</w:t>
      </w:r>
      <w:r>
        <w:rPr>
          <w:rFonts w:ascii="Times New Roman" w:hAnsi="Times New Roman"/>
        </w:rPr>
        <w:t xml:space="preserve">” means, instruments listed in Exhibit B hereto maintained in the form of an entry on the records of (i) the Federal Reserve Bank of New York pursuant to 31 C.F.R.§306.115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as may be amended from time to time, and any successor regulations thereto or (ii) any other central depository or clearing system acceptable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"Subordinated Debt"</w:t>
      </w:r>
      <w:r>
        <w:rPr>
          <w:rFonts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"Subsidiary"</w:t>
      </w:r>
      <w:r>
        <w:rPr>
          <w:rFonts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"Threshold Amount"</w:t>
      </w:r>
      <w:r>
        <w:rPr>
          <w:rFonts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Capitalization"</w:t>
      </w:r>
      <w:r>
        <w:rPr>
          <w:rFonts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Market Exposure"</w:t>
      </w:r>
      <w:r>
        <w:rPr>
          <w:rFonts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Senior Debt"</w:t>
      </w:r>
      <w:r>
        <w:rPr>
          <w:rFonts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"Trigger Event"</w:t>
      </w:r>
      <w:r>
        <w:rPr>
          <w:rFonts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(b)</w:t>
        <w:tab/>
      </w:r>
      <w:r>
        <w:rPr>
          <w:rFonts w:ascii="Times New Roman" w:hAnsi="Times New Roman"/>
          <w:i/>
        </w:rPr>
        <w:t>Margin Price Confirmation Letter</w:t>
      </w:r>
      <w:r>
        <w:rPr>
          <w:rFonts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2.</w:t>
        <w:tab/>
      </w:r>
      <w:r>
        <w:rPr>
          <w:rFonts w:ascii="Times New Roman" w:hAnsi="Times New Roman"/>
          <w:b/>
          <w:i/>
        </w:rPr>
        <w:t>Trigger Event; Delivery of Margin</w:t>
      </w:r>
      <w:r>
        <w:rPr>
          <w:rFonts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3.</w:t>
        <w:tab/>
      </w:r>
      <w:r>
        <w:rPr>
          <w:rFonts w:ascii="Times New Roman" w:hAnsi="Times New Roman"/>
          <w:b/>
          <w:i/>
        </w:rPr>
        <w:t>Return and/or Release of Margin</w:t>
      </w:r>
      <w:r>
        <w:rPr>
          <w:rFonts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4.</w:t>
        <w:tab/>
      </w:r>
      <w:r>
        <w:rPr>
          <w:rFonts w:ascii="Times New Roman" w:hAnsi="Times New Roman"/>
          <w:b/>
          <w:i/>
        </w:rPr>
        <w:t>Substitution of Margin</w:t>
      </w:r>
      <w:r>
        <w:rPr>
          <w:rFonts w:ascii="Times New Roman" w:hAnsi="Times New Roman"/>
        </w:rPr>
        <w:t xml:space="preserve">.  As long as the Fair Market Value of all Margin then held by Purchaser is no less than the Margin </w:t>
      </w:r>
      <w:r>
        <w:rPr>
          <w:rFonts w:ascii="Times New Roman" w:hAnsi="Times New Roman"/>
          <w:b/>
          <w:u w:val="double"/>
        </w:rPr>
        <w:t>required</w:t>
      </w:r>
      <w:r>
        <w:rPr>
          <w:rFonts w:ascii="Times New Roman" w:hAnsi="Times New Roman"/>
        </w:rPr>
        <w:t xml:space="preserve"> to be delivered pursuant to Section 2 above, Seller may obtain the release of all or any portion of the Margin then held by the Purchaser by delivering Margin (herein called </w:t>
      </w:r>
      <w:r>
        <w:rPr>
          <w:rFonts w:ascii="Times New Roman" w:hAnsi="Times New Roman"/>
          <w:i/>
        </w:rPr>
        <w:t>"Replacement Margin"</w:t>
      </w:r>
      <w:r>
        <w:rPr>
          <w:rFonts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5.</w:t>
        <w:tab/>
      </w:r>
      <w:r>
        <w:rPr>
          <w:rFonts w:ascii="Times New Roman" w:hAnsi="Times New Roman"/>
          <w:b/>
          <w:i/>
        </w:rPr>
        <w:t>Proceeds of Margin</w:t>
      </w:r>
      <w:r>
        <w:rPr>
          <w:rFonts w:ascii="Times New Roman" w:hAnsi="Times New Roman"/>
          <w:b/>
        </w:rPr>
        <w:t>.</w:t>
      </w:r>
      <w:r>
        <w:rPr>
          <w:rFonts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6.</w:t>
        <w:tab/>
      </w:r>
      <w:r>
        <w:rPr>
          <w:rFonts w:ascii="Times New Roman" w:hAnsi="Times New Roman"/>
          <w:b/>
          <w:i/>
        </w:rPr>
        <w:t>Maintenance</w:t>
      </w:r>
      <w:r>
        <w:rPr>
          <w:rFonts w:ascii="Times New Roman" w:hAnsi="Times New Roman"/>
          <w:b/>
        </w:rPr>
        <w:t>.</w:t>
      </w:r>
      <w:r>
        <w:rPr>
          <w:rFonts w:ascii="Times New Roman" w:hAnsi="Times New Roman"/>
        </w:rPr>
        <w:t xml:space="preserve">  Purchaser agrees that it will cause all Margin received from Seller to be held in one or more accounts (each, a </w:t>
      </w:r>
      <w:r>
        <w:rPr>
          <w:rFonts w:ascii="Times New Roman" w:hAnsi="Times New Roman"/>
          <w:i/>
        </w:rPr>
        <w:t>"Collateral Account"</w:t>
      </w:r>
      <w:r>
        <w:rPr>
          <w:rFonts w:ascii="Times New Roman" w:hAnsi="Times New Roman"/>
        </w:rPr>
        <w:t xml:space="preserve">) with a domestic office of a commercial bank or trust company organized under the laws of the United States or a political subdivision thereof having assets of at least $1 Billion (a </w:t>
      </w:r>
      <w:r>
        <w:rPr>
          <w:rFonts w:ascii="Times New Roman" w:hAnsi="Times New Roman"/>
          <w:i/>
        </w:rPr>
        <w:t>"Qualified Institution"</w:t>
      </w:r>
      <w:r>
        <w:rPr>
          <w:rFonts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7.</w:t>
        <w:tab/>
      </w:r>
      <w:r>
        <w:rPr>
          <w:rFonts w:ascii="Times New Roman" w:hAnsi="Times New Roman"/>
          <w:b/>
          <w:i/>
        </w:rPr>
        <w:t>Security Interest</w:t>
      </w:r>
      <w:r>
        <w:rPr>
          <w:rFonts w:ascii="Times New Roman" w:hAnsi="Times New Roman"/>
        </w:rPr>
        <w:t xml:space="preserve">.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w:t>
      </w:r>
      <w:r>
        <w:rPr>
          <w:rFonts w:ascii="Times New Roman" w:hAnsi="Times New Roman"/>
          <w:strike/>
        </w:rPr>
        <w:t>Purchasers</w:t>
      </w:r>
      <w:r>
        <w:rPr>
          <w:rFonts w:ascii="Times New Roman" w:hAnsi="Times New Roman"/>
        </w:rPr>
        <w:t xml:space="preserve"> </w:t>
      </w:r>
      <w:r>
        <w:rPr>
          <w:rFonts w:ascii="Times New Roman" w:hAnsi="Times New Roman"/>
          <w:b/>
          <w:u w:val="double"/>
        </w:rPr>
        <w:t>Purchaser</w:t>
      </w:r>
      <w:r>
        <w:rPr>
          <w:rFonts w:ascii="Times New Roman" w:hAnsi="Times New Roman"/>
        </w:rPr>
        <w:t xml:space="preserve">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8.</w:t>
        <w:tab/>
      </w:r>
      <w:r>
        <w:rPr>
          <w:rFonts w:ascii="Times New Roman" w:hAnsi="Times New Roman"/>
          <w:b/>
          <w:i/>
        </w:rPr>
        <w:t>Failure of Payment</w:t>
      </w:r>
      <w:r>
        <w:rPr>
          <w:rFonts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9.</w:t>
        <w:tab/>
      </w:r>
      <w:r>
        <w:rPr>
          <w:rFonts w:ascii="Times New Roman" w:hAnsi="Times New Roman"/>
          <w:b/>
          <w:i/>
        </w:rPr>
        <w:t>Miscellaneous</w:t>
      </w:r>
      <w:r>
        <w:rPr>
          <w:rFonts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(a)</w:t>
        <w:tab/>
      </w:r>
      <w:r>
        <w:rPr>
          <w:rFonts w:ascii="Times New Roman" w:hAnsi="Times New Roman"/>
          <w:i/>
        </w:rPr>
        <w:t>Notices</w:t>
      </w:r>
      <w:r>
        <w:rPr>
          <w:rFonts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2"/>
        </w:rPr>
      </w:pPr>
      <w:r>
        <w:rPr>
          <w:rFonts w:ascii="Times New Roman" w:hAnsi="Times New Roman"/>
        </w:rPr>
        <w:tab/>
        <w:tab/>
        <w:tab/>
        <w:t>Fax No.:  (713) 646-3422</w:t>
        <w:tab/>
        <w:tab/>
        <w:tab/>
        <w:t xml:space="preserve">Telephone No.:  </w:t>
      </w:r>
      <w:r>
        <w:rPr>
          <w:rFonts w:ascii="Times New Roman" w:hAnsi="Times New Roman"/>
          <w:sz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Mahonia Natural Gas Limited</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22 Grenville Street</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St. Helier</w:t>
      </w:r>
    </w:p>
    <w:p>
      <w:pPr>
        <w:pStyle w:val="Normal"/>
        <w:keepLines/>
        <w:bidi w:val="0"/>
        <w:spacing w:lineRule="exact" w:line="235"/>
        <w:ind w:firstLine="720" w:start="0" w:end="0"/>
        <w:jc w:val="both"/>
        <w:rPr>
          <w:rFonts w:ascii="Times New Roman" w:hAnsi="Times New Roman"/>
        </w:rPr>
      </w:pPr>
      <w:r>
        <w:rPr>
          <w:rFonts w:ascii="Times New Roman" w:hAnsi="Times New Roman"/>
        </w:rPr>
        <w:tab/>
        <w:t>Jersey, Channel Islands JE4 8PX</w:t>
      </w:r>
    </w:p>
    <w:p>
      <w:pPr>
        <w:pStyle w:val="Normal"/>
        <w:bidi w:val="0"/>
        <w:spacing w:lineRule="exact" w:line="235"/>
        <w:ind w:hanging="0" w:start="0" w:end="0"/>
        <w:jc w:val="both"/>
        <w:rPr>
          <w:rFonts w:ascii="Times New Roman" w:hAnsi="Times New Roman"/>
        </w:rPr>
      </w:pPr>
      <w:r>
        <w:rPr>
          <w:rFonts w:ascii="Times New Roman" w:hAnsi="Times New Roman"/>
        </w:rPr>
        <w:tab/>
        <w:tab/>
        <w:t>Attention:</w:t>
        <w:tab/>
        <w:t>Ian James</w:t>
      </w:r>
    </w:p>
    <w:p>
      <w:pPr>
        <w:pStyle w:val="Normal"/>
        <w:bidi w:val="0"/>
        <w:spacing w:lineRule="exact" w:line="235"/>
        <w:ind w:firstLine="720" w:start="0" w:end="0"/>
        <w:jc w:val="both"/>
        <w:rPr>
          <w:rFonts w:ascii="Times New Roman" w:hAnsi="Times New Roman"/>
        </w:rPr>
      </w:pPr>
      <w:r>
        <w:rPr>
          <w:rFonts w:ascii="Times New Roman" w:hAnsi="Times New Roman"/>
        </w:rPr>
        <w:tab/>
        <w:t>Telecopy No.:</w:t>
        <w:tab/>
        <w:t>44-1534-609333</w:t>
      </w:r>
    </w:p>
    <w:p>
      <w:pPr>
        <w:pStyle w:val="Normal"/>
        <w:bidi w:val="0"/>
        <w:spacing w:lineRule="exact" w:line="235"/>
        <w:ind w:firstLine="720" w:start="0" w:end="0"/>
        <w:jc w:val="both"/>
        <w:rPr>
          <w:rFonts w:ascii="Times New Roman" w:hAnsi="Times New Roman"/>
        </w:rPr>
      </w:pPr>
      <w:r>
        <w:rPr>
          <w:rFonts w:ascii="Times New Roman" w:hAnsi="Times New Roman"/>
        </w:rPr>
        <w:tab/>
        <w:t>Phone No.:</w:t>
        <w:tab/>
        <w:t>44-1534-609000</w:t>
      </w:r>
    </w:p>
    <w:p>
      <w:pPr>
        <w:pStyle w:val="Normal"/>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with copy to:</w:t>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ab/>
        <w:t>The Chase Manhattan Bank</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 xml:space="preserve">270 Park Avenue, </w:t>
      </w:r>
      <w:r>
        <w:rPr>
          <w:rFonts w:ascii="Times New Roman" w:hAnsi="Times New Roman"/>
          <w:strike/>
        </w:rPr>
        <w:t>6th</w:t>
      </w:r>
      <w:r>
        <w:rPr>
          <w:rFonts w:ascii="Times New Roman" w:hAnsi="Times New Roman"/>
        </w:rPr>
        <w:t xml:space="preserve"> </w:t>
      </w:r>
      <w:r>
        <w:rPr>
          <w:rFonts w:ascii="Times New Roman" w:hAnsi="Times New Roman"/>
          <w:b/>
          <w:u w:val="double"/>
        </w:rPr>
        <w:t>40th</w:t>
      </w:r>
      <w:r>
        <w:rPr>
          <w:rFonts w:ascii="Times New Roman" w:hAnsi="Times New Roman"/>
        </w:rPr>
        <w:t xml:space="preserve"> Floor</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New York, New York 10017</w:t>
      </w:r>
    </w:p>
    <w:p>
      <w:pPr>
        <w:pStyle w:val="Normal"/>
        <w:keepLines/>
        <w:bidi w:val="0"/>
        <w:spacing w:lineRule="exact" w:line="235"/>
        <w:ind w:hanging="0" w:start="0" w:end="0"/>
        <w:jc w:val="both"/>
        <w:rPr>
          <w:rFonts w:ascii="Times New Roman" w:hAnsi="Times New Roman"/>
        </w:rPr>
      </w:pPr>
      <w:r>
        <w:rPr>
          <w:rFonts w:ascii="Times New Roman" w:hAnsi="Times New Roman"/>
        </w:rPr>
        <w:tab/>
        <w:tab/>
        <w:tab/>
        <w:t xml:space="preserve">Attention:  </w:t>
        <w:tab/>
      </w:r>
      <w:r>
        <w:rPr>
          <w:rFonts w:ascii="Times New Roman" w:hAnsi="Times New Roman"/>
          <w:strike/>
        </w:rPr>
        <w:t>Alex Mintcheff</w:t>
      </w:r>
      <w:r>
        <w:rPr>
          <w:rFonts w:ascii="Times New Roman" w:hAnsi="Times New Roman"/>
        </w:rPr>
        <w:t xml:space="preserve"> </w:t>
      </w:r>
      <w:r>
        <w:rPr>
          <w:rFonts w:ascii="Times New Roman" w:hAnsi="Times New Roman"/>
          <w:b/>
          <w:u w:val="double"/>
        </w:rPr>
        <w:t>Legal Department</w:t>
      </w:r>
    </w:p>
    <w:p>
      <w:pPr>
        <w:pStyle w:val="Normal"/>
        <w:bidi w:val="0"/>
        <w:spacing w:lineRule="exact" w:line="235"/>
        <w:ind w:hanging="0" w:start="0" w:end="0"/>
        <w:jc w:val="both"/>
        <w:rPr>
          <w:rFonts w:ascii="Times New Roman" w:hAnsi="Times New Roman"/>
        </w:rPr>
      </w:pPr>
      <w:r>
        <w:rPr>
          <w:rFonts w:ascii="Times New Roman" w:hAnsi="Times New Roman"/>
        </w:rPr>
        <w:tab/>
        <w:tab/>
        <w:tab/>
        <w:t>Telecopy No.:</w:t>
        <w:tab/>
        <w:t xml:space="preserve">(212) </w:t>
      </w:r>
      <w:r>
        <w:rPr>
          <w:rFonts w:ascii="Times New Roman" w:hAnsi="Times New Roman"/>
          <w:strike/>
        </w:rPr>
        <w:t>834-6084</w:t>
      </w:r>
      <w:r>
        <w:rPr>
          <w:rFonts w:ascii="Times New Roman" w:hAnsi="Times New Roman"/>
        </w:rPr>
        <w:t xml:space="preserve"> </w:t>
      </w:r>
      <w:r>
        <w:rPr>
          <w:rFonts w:ascii="Times New Roman" w:hAnsi="Times New Roman"/>
          <w:b/>
          <w:u w:val="double"/>
        </w:rPr>
        <w:t>270-7368</w:t>
      </w:r>
    </w:p>
    <w:p>
      <w:pPr>
        <w:pStyle w:val="Normal"/>
        <w:bidi w:val="0"/>
        <w:spacing w:lineRule="exact" w:line="235"/>
        <w:ind w:hanging="0" w:start="0" w:end="0"/>
        <w:jc w:val="both"/>
        <w:rPr>
          <w:rFonts w:ascii="Times New Roman" w:hAnsi="Times New Roman"/>
        </w:rPr>
      </w:pPr>
      <w:r>
        <w:rPr>
          <w:rFonts w:ascii="Times New Roman" w:hAnsi="Times New Roman"/>
        </w:rPr>
        <w:t xml:space="preserve"> </w:t>
      </w:r>
      <w:r>
        <w:rPr>
          <w:rFonts w:ascii="Times New Roman" w:hAnsi="Times New Roman"/>
          <w:strike/>
        </w:rPr>
        <w:t>Phone No.: (212) 834-5364</w:t>
      </w:r>
    </w:p>
    <w:p>
      <w:pPr>
        <w:pStyle w:val="Normal"/>
        <w:bidi w:val="0"/>
        <w:spacing w:lineRule="exact" w:line="235"/>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(b)</w:t>
        <w:tab/>
      </w:r>
      <w:r>
        <w:rPr>
          <w:rFonts w:ascii="Times New Roman" w:hAnsi="Times New Roman"/>
          <w:i/>
        </w:rPr>
        <w:t>Execution, Amendments, Binding Effect and Assignments</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1440" w:end="0"/>
        <w:jc w:val="both"/>
        <w:rPr>
          <w:rFonts w:ascii="Times New Roman" w:hAnsi="Times New Roman"/>
        </w:rPr>
      </w:pPr>
      <w:r>
        <w:rPr>
          <w:rFonts w:ascii="Times New Roman" w:hAnsi="Times New Roman"/>
        </w:rPr>
        <w:t>consent of the other party.  Without the consent of Seller, Purchaser may assign this Agreement as security for any financing or hedging provided to Purchaser.</w:t>
      </w:r>
      <w:r>
        <w:rPr>
          <w:rFonts w:ascii="Times New Roman" w:hAnsi="Times New Roman"/>
          <w:b/>
          <w:u w:val="double"/>
        </w:rPr>
        <w:t xml:space="preserve">  Upon notice to the seller of the foreclosure upon this Agreement, seller will agree to substitute the secured party or other purchaser for Purchaser hereunder.</w:t>
      </w:r>
      <w:r>
        <w:rPr>
          <w:rFonts w:ascii="Times New Roman" w:hAnsi="Times New Roman"/>
        </w:rPr>
        <w:t xml:space="preserve">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(c)</w:t>
        <w:tab/>
      </w:r>
      <w:r>
        <w:rPr>
          <w:rFonts w:ascii="Times New Roman" w:hAnsi="Times New Roman"/>
          <w:i/>
        </w:rPr>
        <w:t>Entire Agreement</w:t>
      </w:r>
      <w:r>
        <w:rPr>
          <w:rFonts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(d)</w:t>
        <w:tab/>
      </w:r>
      <w:r>
        <w:rPr>
          <w:rFonts w:ascii="Times New Roman" w:hAnsi="Times New Roman"/>
          <w:i/>
        </w:rPr>
        <w:t>Governing Law</w:t>
      </w:r>
      <w:r>
        <w:rPr>
          <w:rFonts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(e)</w:t>
        <w:tab/>
      </w:r>
      <w:r>
        <w:rPr>
          <w:rFonts w:ascii="Times New Roman" w:hAnsi="Times New Roman"/>
          <w:i/>
        </w:rPr>
        <w:t>Invalidity; Unenforceability</w:t>
      </w:r>
      <w:r>
        <w:rPr>
          <w:rFonts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center"/>
        <w:rPr>
          <w:rFonts w:ascii="Times New Roman" w:hAnsi="Times New Roman"/>
        </w:rPr>
      </w:pPr>
      <w:r>
        <w:rPr>
          <w:rFonts w:ascii="Times New Roman" w:hAnsi="Times New Roman"/>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720" w:bottom="77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6"/>
        <w:gridCol w:w="1479"/>
        <w:gridCol w:w="1588"/>
      </w:tblGrid>
      <w:tr>
        <w:trPr/>
        <w:tc>
          <w:tcPr>
            <w:tcW w:w="2586"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 xml:space="preserve">By Standard &amp; Poors   </w:t>
            </w:r>
          </w:p>
        </w:tc>
        <w:tc>
          <w:tcPr>
            <w:tcW w:w="1479"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Amount</w:t>
            </w:r>
          </w:p>
        </w:tc>
        <w:tc>
          <w:tcPr>
            <w:tcW w:w="1588"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Call Amount</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AAA</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 xml:space="preserve">AA </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 or lower</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bl>
    <w:p>
      <w:pPr>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start"/>
        <w:rPr>
          <w:rFonts w:ascii="Times New Roman" w:hAnsi="Times New Roman"/>
          <w:u w:val="single"/>
        </w:rPr>
      </w:pPr>
      <w:r>
        <w:rPr>
          <w:rFonts w:ascii="Times New Roman" w:hAnsi="Times New Roman"/>
          <w:u w:val="single"/>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center"/>
        <w:rPr>
          <w:rFonts w:ascii="Times New Roman" w:hAnsi="Times New Roman"/>
          <w:u w:val="single"/>
        </w:rPr>
      </w:pPr>
      <w:r>
        <w:rPr>
          <w:rFonts w:ascii="Times New Roman" w:hAnsi="Times New Roman"/>
          <w:u w:val="single"/>
        </w:rPr>
        <w:t>Exhibit B</w:t>
      </w:r>
    </w:p>
    <w:p>
      <w:pPr>
        <w:pStyle w:val="Normal"/>
        <w:tabs>
          <w:tab w:val="clear" w:pos="720"/>
          <w:tab w:val="center" w:pos="4680" w:leader="none"/>
        </w:tabs>
        <w:suppressAutoHyphens w:val="true"/>
        <w:bidi w:val="0"/>
        <w:ind w:hanging="0" w:start="0" w:end="0"/>
        <w:jc w:val="both"/>
        <w:rPr>
          <w:rFonts w:ascii="Times New Roman" w:hAnsi="Times New Roman"/>
        </w:rPr>
      </w:pPr>
      <w:r>
        <w:rPr>
          <w:rFonts w:ascii="Times New Roman" w:hAnsi="Times New Roman"/>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ab/>
      </w:r>
      <w:r>
        <w:rPr>
          <w:rFonts w:ascii="Times New Roman" w:hAnsi="Times New Roman"/>
          <w:u w:val="single"/>
        </w:rPr>
        <w:t>Security</w:t>
      </w:r>
      <w:r>
        <w:rPr>
          <w:rFonts w:ascii="Times New Roman" w:hAnsi="Times New Roman"/>
        </w:rPr>
        <w:tab/>
      </w:r>
      <w:r>
        <w:rPr>
          <w:rFonts w:ascii="Times New Roman" w:hAnsi="Times New Roman"/>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1.      Securities issued or directly and fully guaranteed or insured by the United States of America having maturities of five years or less from the date such Securities are delivered as Margin.</w:t>
            </w:r>
          </w:p>
        </w:tc>
        <w:tc>
          <w:tcPr>
            <w:tcW w:w="3959"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3.     Securities issued or directly and fully guaranteed or insured by the United States of America having maturities of ten years or more from the date such Securities are delivered as Margin.</w:t>
            </w:r>
          </w:p>
        </w:tc>
        <w:tc>
          <w:tcPr>
            <w:tcW w:w="3959"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 xml:space="preserve">                  </w:t>
            </w:r>
            <w:r>
              <w:rPr>
                <w:rFonts w:ascii="Times New Roman" w:hAnsi="Times New Roman"/>
              </w:rPr>
              <w:t>95%</w:t>
            </w:r>
          </w:p>
        </w:tc>
      </w:tr>
    </w:tbl>
    <w:p>
      <w:pPr>
        <w:pStyle w:val="Normal"/>
        <w:bidi w:val="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3"/>
        </w:rPr>
      </w:pPr>
      <w:r>
        <w:rPr>
          <w:rFonts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HEADERS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Discontinued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HOUSTON_404917_2</w:t>
      </w:r>
      <w:r>
        <w:rPr/>
        <w:t xml:space="preserve"> </w:t>
      </w:r>
      <w:r>
        <w:rPr>
          <w:b/>
          <w:u w:val="double"/>
        </w:rPr>
        <w:t>404917_3.DOC</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Margin Agreement between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Mahonia Limited]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3-</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Exhibit B</w:t>
      </w:r>
    </w:p>
    <w:sectPr>
      <w:headerReference w:type="default" r:id="rId19"/>
      <w:headerReference w:type="first" r:id="rId20"/>
      <w:footerReference w:type="default" r:id="rId21"/>
      <w:footerReference w:type="first" r:id="rId22"/>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Houston_414358_12.DOC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10</w:t>
    </w:r>
    <w:r>
      <w:rPr>
        <w:rStyle w:val="PageNumber"/>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Houston_414358_12.DOC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10</w:t>
    </w:r>
    <w:r>
      <w:rPr>
        <w:rStyle w:val="PageNumber"/>
        <w:rFonts w:ascii="Times New Roman" w:hAnsi="Times New Roman"/>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etter Gothic" w:hAnsi="Letter Gothic"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4915</Words>
  <Characters>31108</Characters>
  <CharactersWithSpaces>25708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2000-12-19T16:01:00Z</dcterms:created>
  <dc:creator>August E. Shouse</dc:creator>
  <dc:description/>
  <dc:language>en-CA</dc:language>
  <cp:lastModifiedBy/>
  <cp:lastPrinted>2000-12-19T16:00:00Z</cp:lastPrinted>
  <dcterms:modified xsi:type="dcterms:W3CDTF">2000-12-19T16:01:00Z</dcterms:modified>
  <cp:revision>2</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