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center"/>
        <w:rPr>
          <w:b/>
        </w:rPr>
      </w:pPr>
      <w:r>
        <w:rPr>
          <w:b/>
        </w:rPr>
        <w:t xml:space="preserve">CONFIRMATION LETTER OF NATURAL GAS </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center"/>
        <w:rPr>
          <w:b/>
        </w:rPr>
      </w:pPr>
      <w:r>
        <w:rPr>
          <w:b/>
        </w:rPr>
        <w:t xml:space="preserve">INVENTORY FORWARD SALE </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December ___, 2000</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Enron North America Corp.</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1400 Smith Street</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Houston, Texas 77002</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This is to confirm that under the terms of the Natural Gas Inventory Forward Sale Contract between Enron North America Corp. ("ENAC") and Mahonia Natural Gas Limited ("Mahonia") dated as of December ___, 2000 (the "Forward Sale Contract"; terms not defined herein having the meaning therein given), the following Required Delivery Quantities for each Delivery Month delivered at each Delivery Point and the Prepaid Price are hereby agreed between ENAC and Mahonia.</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b/>
        </w:rPr>
        <w:t>Prepaid Price:</w:t>
      </w:r>
      <w:r>
        <w:rPr/>
        <w:tab/>
        <w:tab/>
        <w:tab/>
        <w:tab/>
        <w:tab/>
        <w:t>$______________ payable on _____2000</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b/>
        </w:rPr>
        <w:t>Natural Gas Delivery Schedule:</w:t>
      </w:r>
      <w:r>
        <w:rPr/>
        <w:tab/>
        <w:tab/>
        <w:tab/>
        <w:t>See attached</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rPr>
      </w:pPr>
      <w:r>
        <w:rPr>
          <w:b/>
        </w:rPr>
        <w:t>MAHONIA NATURAL GAS LIMITED</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By:</w:t>
      </w:r>
      <w:r>
        <w:rPr>
          <w:u w:val="single"/>
        </w:rPr>
        <w:t>_________________________________</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Name:</w:t>
      </w:r>
      <w:r>
        <w:rPr>
          <w:u w:val="single"/>
        </w:rPr>
        <w:t>_______________________________</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Title:________________________________</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u w:val="single"/>
        </w:rPr>
      </w:pPr>
      <w:r>
        <w:rPr>
          <w:u w:val="single"/>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rPr>
      </w:pPr>
      <w:r>
        <w:rPr>
          <w:b/>
          <w:u w:val="single"/>
        </w:rPr>
        <w:t>Accepted and Agreed:</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rPr>
      </w:pPr>
      <w:r>
        <w:rPr>
          <w:b/>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rPr>
      </w:pPr>
      <w:r>
        <w:rPr>
          <w:b/>
        </w:rPr>
        <w:t>ENRON NORTH AMERICA CORP.</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rPr>
      </w:pPr>
      <w:r>
        <w:rPr>
          <w:b/>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By:_________________________________</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Name:</w:t>
      </w:r>
      <w:r>
        <w:rPr>
          <w:u w:val="single"/>
        </w:rPr>
        <w:t>_______________________________</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Title:</w:t>
      </w:r>
      <w:r>
        <w:rPr>
          <w:u w:val="single"/>
        </w:rPr>
        <w:t>________________________________</w:t>
      </w:r>
    </w:p>
    <w:p>
      <w:pPr>
        <w:sectPr>
          <w:footerReference w:type="default" r:id="rId2"/>
          <w:type w:val="nextPage"/>
          <w:pgSz w:w="12240" w:h="15840"/>
          <w:pgMar w:left="1440" w:right="1440" w:gutter="0" w:header="0" w:top="1440" w:footer="1440" w:bottom="1496"/>
          <w:pgNumType w:fmt="decimal"/>
          <w:formProt w:val="false"/>
          <w:textDirection w:val="lrTb"/>
          <w:docGrid w:type="default" w:linePitch="360" w:charSpace="0"/>
        </w:sect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clear" w:pos="720"/>
          <w:tab w:val="center" w:pos="468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rPr>
      </w:pPr>
      <w:r>
        <w:rPr>
          <w:b/>
        </w:rPr>
        <w:tab/>
        <w:t>Required Delivery Quantity for each Delivery Month at each Delivery Point</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sz w:val="22"/>
        </w:rPr>
      </w:pPr>
      <w:r>
        <w:rPr>
          <w:b/>
          <w:sz w:val="22"/>
        </w:rPr>
      </w:r>
    </w:p>
    <w:tbl>
      <w:tblPr>
        <w:tblW w:w="11040" w:type="dxa"/>
        <w:jc w:val="start"/>
        <w:tblInd w:w="0" w:type="dxa"/>
        <w:tblLayout w:type="fixed"/>
        <w:tblCellMar>
          <w:top w:w="0" w:type="dxa"/>
          <w:start w:w="120" w:type="dxa"/>
          <w:bottom w:w="0" w:type="dxa"/>
          <w:end w:w="120" w:type="dxa"/>
        </w:tblCellMar>
      </w:tblPr>
      <w:tblGrid>
        <w:gridCol w:w="2208"/>
        <w:gridCol w:w="2208"/>
        <w:gridCol w:w="2208"/>
        <w:gridCol w:w="2208"/>
        <w:gridCol w:w="2208"/>
      </w:tblGrid>
      <w:tr>
        <w:trPr>
          <w:tblHeader w:val="true"/>
        </w:trPr>
        <w:tc>
          <w:tcPr>
            <w:tcW w:w="2208" w:type="dxa"/>
            <w:tcBorders>
              <w:top w:val="single" w:sz="6" w:space="0" w:color="000000"/>
              <w:start w:val="single" w:sz="6" w:space="0" w:color="000000"/>
              <w:bottom w:val="single" w:sz="6" w:space="0" w:color="000000"/>
              <w:end w:val="single" w:sz="6" w:space="0" w:color="000000"/>
            </w:tcBorders>
          </w:tcPr>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napToGrid w:val="false"/>
              <w:spacing w:before="0" w:after="58"/>
              <w:rPr>
                <w:b/>
                <w:sz w:val="22"/>
                <w:u w:val="single"/>
              </w:rPr>
            </w:pPr>
            <w:r>
              <w:rPr>
                <w:b/>
                <w:sz w:val="22"/>
                <w:u w:val="single"/>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0" w:after="58"/>
              <w:rPr>
                <w:b/>
                <w:sz w:val="22"/>
                <w:u w:val="single"/>
              </w:rPr>
            </w:pPr>
            <w:r>
              <w:rPr>
                <w:b/>
                <w:sz w:val="22"/>
                <w:u w:val="single"/>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0" w:after="58"/>
              <w:rPr>
                <w:b/>
                <w:sz w:val="22"/>
                <w:u w:val="single"/>
              </w:rPr>
            </w:pPr>
            <w:r>
              <w:rPr>
                <w:b/>
                <w:sz w:val="22"/>
                <w:u w:val="single"/>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0" w:after="58"/>
              <w:rPr>
                <w:b/>
                <w:sz w:val="22"/>
              </w:rPr>
            </w:pPr>
            <w:r>
              <w:rPr>
                <w:b/>
                <w:sz w:val="22"/>
                <w:u w:val="single"/>
              </w:rPr>
              <w:t>Delivery Month</w:t>
            </w:r>
          </w:p>
        </w:tc>
        <w:tc>
          <w:tcPr>
            <w:tcW w:w="2208" w:type="dxa"/>
            <w:tcBorders>
              <w:top w:val="single" w:sz="6" w:space="0" w:color="000000"/>
              <w:start w:val="single" w:sz="6" w:space="0" w:color="000000"/>
              <w:bottom w:val="single" w:sz="6" w:space="0" w:color="000000"/>
              <w:end w:val="single" w:sz="6" w:space="0" w:color="000000"/>
            </w:tcBorders>
          </w:tcPr>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napToGrid w:val="false"/>
              <w:rPr>
                <w:b/>
                <w:sz w:val="22"/>
              </w:rPr>
            </w:pPr>
            <w:r>
              <w:rPr>
                <w:b/>
                <w:sz w:val="22"/>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b/>
                <w:sz w:val="22"/>
              </w:rPr>
            </w:pPr>
            <w:r>
              <w:rPr>
                <w:b/>
                <w:sz w:val="22"/>
              </w:rPr>
              <w:t>Transcontinental Gas Pipeline, Zone 3, (Station 65)</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0" w:after="58"/>
              <w:rPr>
                <w:b/>
                <w:sz w:val="22"/>
              </w:rPr>
            </w:pPr>
            <w:r>
              <w:rPr>
                <w:b/>
                <w:sz w:val="22"/>
                <w:u w:val="single"/>
              </w:rPr>
              <w:t>(MMBtu/day)</w:t>
            </w:r>
          </w:p>
        </w:tc>
        <w:tc>
          <w:tcPr>
            <w:tcW w:w="2208" w:type="dxa"/>
            <w:tcBorders>
              <w:top w:val="single" w:sz="6" w:space="0" w:color="000000"/>
              <w:start w:val="single" w:sz="6" w:space="0" w:color="000000"/>
              <w:bottom w:val="single" w:sz="6" w:space="0" w:color="000000"/>
              <w:end w:val="single" w:sz="6" w:space="0" w:color="000000"/>
            </w:tcBorders>
          </w:tcPr>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napToGrid w:val="false"/>
              <w:spacing w:before="0" w:after="58"/>
              <w:rPr>
                <w:b/>
                <w:sz w:val="22"/>
              </w:rPr>
            </w:pPr>
            <w:r>
              <w:rPr>
                <w:b/>
                <w:sz w:val="22"/>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0" w:after="58"/>
              <w:rPr>
                <w:b/>
                <w:sz w:val="22"/>
              </w:rPr>
            </w:pPr>
            <w:r>
              <w:rPr>
                <w:b/>
                <w:sz w:val="22"/>
              </w:rPr>
              <w:t xml:space="preserve">Texas Gas Transmission, Zone SL </w:t>
            </w:r>
            <w:r>
              <w:rPr>
                <w:b/>
                <w:sz w:val="22"/>
                <w:u w:val="single"/>
              </w:rPr>
              <w:t>(MMBtu/day)</w:t>
            </w:r>
          </w:p>
        </w:tc>
        <w:tc>
          <w:tcPr>
            <w:tcW w:w="2208" w:type="dxa"/>
            <w:tcBorders>
              <w:top w:val="single" w:sz="6" w:space="0" w:color="000000"/>
              <w:start w:val="single" w:sz="6" w:space="0" w:color="000000"/>
              <w:bottom w:val="single" w:sz="6" w:space="0" w:color="000000"/>
              <w:end w:val="single" w:sz="6" w:space="0" w:color="000000"/>
            </w:tcBorders>
          </w:tcPr>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napToGrid w:val="false"/>
              <w:rPr>
                <w:b/>
                <w:sz w:val="22"/>
              </w:rPr>
            </w:pPr>
            <w:r>
              <w:rPr>
                <w:b/>
                <w:sz w:val="22"/>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b/>
                <w:sz w:val="22"/>
              </w:rPr>
            </w:pPr>
            <w:r>
              <w:rPr>
                <w:b/>
                <w:sz w:val="22"/>
              </w:rPr>
              <w:t>Columbia Gulf Transmission, Louisiana Onshore</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b/>
                <w:sz w:val="22"/>
                <w:u w:val="single"/>
              </w:rPr>
            </w:pPr>
            <w:r>
              <w:rPr>
                <w:b/>
                <w:sz w:val="22"/>
                <w:u w:val="single"/>
              </w:rPr>
              <w:t>(MMBtu/day)</w:t>
            </w:r>
          </w:p>
          <w:p>
            <w:pPr>
              <w:pStyle w:val="Normal"/>
              <w:spacing w:lineRule="exact" w:line="120"/>
              <w:rPr>
                <w:b/>
                <w:sz w:val="22"/>
                <w:u w:val="single"/>
              </w:rPr>
            </w:pPr>
            <w:r>
              <w:rPr>
                <w:b/>
                <w:sz w:val="22"/>
                <w:u w:val="single"/>
              </w:rPr>
            </w:r>
          </w:p>
        </w:tc>
        <w:tc>
          <w:tcPr>
            <w:tcW w:w="2208" w:type="dxa"/>
            <w:tcBorders>
              <w:top w:val="single" w:sz="6" w:space="0" w:color="000000"/>
              <w:start w:val="single" w:sz="6" w:space="0" w:color="000000"/>
              <w:bottom w:val="single" w:sz="6" w:space="0" w:color="000000"/>
              <w:end w:val="single" w:sz="6" w:space="0" w:color="000000"/>
            </w:tcBorders>
          </w:tcPr>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0" w:after="58"/>
              <w:rPr>
                <w:b/>
                <w:sz w:val="22"/>
              </w:rPr>
            </w:pPr>
            <w:r>
              <w:rPr>
                <w:b/>
                <w:sz w:val="22"/>
              </w:rPr>
              <w:t>Texas Eastern Transmission Company, Eastern Louisiana</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0" w:after="58"/>
              <w:rPr>
                <w:b/>
                <w:sz w:val="22"/>
              </w:rPr>
            </w:pPr>
            <w:r>
              <w:rPr>
                <w:b/>
                <w:sz w:val="22"/>
                <w:u w:val="single"/>
              </w:rPr>
              <w:t>(MMBtu/day)</w:t>
            </w:r>
          </w:p>
        </w:tc>
      </w:tr>
    </w:tbl>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z w:val="22"/>
        </w:rPr>
      </w:pPr>
      <w:r>
        <w:rPr>
          <w:sz w:val="22"/>
        </w:rPr>
      </w:r>
    </w:p>
    <w:sectPr>
      <w:footerReference w:type="default" r:id="rId3"/>
      <w:footerReference w:type="first" r:id="rId4"/>
      <w:type w:val="nextPage"/>
      <w:pgSz w:w="12240" w:h="15840"/>
      <w:pgMar w:left="720" w:right="720" w:gutter="0" w:header="0" w:top="1440" w:footer="1440" w:bottom="1496"/>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6"/>
      </w:rPr>
    </w:pPr>
    <w:r>
      <w:rPr>
        <w:sz w:val="16"/>
      </w:rPr>
      <w:fldChar w:fldCharType="begin"/>
    </w:r>
    <w:r>
      <w:rPr>
        <w:sz w:val="16"/>
      </w:rPr>
      <w:instrText xml:space="preserve"> FILENAME </w:instrText>
    </w:r>
    <w:r>
      <w:rPr>
        <w:sz w:val="16"/>
      </w:rPr>
      <w:fldChar w:fldCharType="separate"/>
    </w:r>
    <w:r>
      <w:rPr>
        <w:sz w:val="16"/>
      </w:rPr>
      <w:t>Houston_404950_11.DOC</w:t>
    </w:r>
    <w:r>
      <w:rPr>
        <w:sz w:val="16"/>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6"/>
      </w:rPr>
    </w:pPr>
    <w:r>
      <w:rPr>
        <w:sz w:val="16"/>
      </w:rPr>
      <w:fldChar w:fldCharType="begin"/>
    </w:r>
    <w:r>
      <w:rPr>
        <w:sz w:val="16"/>
      </w:rPr>
      <w:instrText xml:space="preserve"> FILENAME </w:instrText>
    </w:r>
    <w:r>
      <w:rPr>
        <w:sz w:val="16"/>
      </w:rPr>
      <w:fldChar w:fldCharType="separate"/>
    </w:r>
    <w:r>
      <w:rPr>
        <w:sz w:val="16"/>
      </w:rPr>
      <w:t>Houston_404950_11.DOC</w:t>
    </w:r>
    <w:r>
      <w:rPr>
        <w:sz w:val="16"/>
      </w:rPr>
      <w:fldChar w:fldCharType="end"/>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settings.xml><?xml version="1.0" encoding="utf-8"?>
<w:settings xmlns:w="http://schemas.openxmlformats.org/wordprocessingml/2006/main">
  <w:zoom w:percent="100"/>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bidi w:val="0"/>
    </w:pPr>
    <w:rPr>
      <w:rFonts w:ascii="Times New Roman" w:hAnsi="Times New Roman" w:eastAsia="Times New Roman" w:cs="Times New Roman"/>
      <w:color w:val="auto"/>
      <w:sz w:val="24"/>
      <w:szCs w:val="20"/>
      <w:lang w:val="en-US" w:bidi="ar-SA" w:eastAsia="zh-CN"/>
    </w:rPr>
  </w:style>
  <w:style w:type="character" w:styleId="DefaultParagraphFont">
    <w:name w:val="Default Paragraph Font"/>
    <w:qFormat/>
    <w:rPr/>
  </w:style>
  <w:style w:type="character" w:styleId="FootnoteCharacters">
    <w:name w:val="Footnote Characters"/>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footer" Target="footer3.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2000-12-15T18:38:00Z</dcterms:created>
  <dc:creator>Vinson &amp; Elkins L.L.P.</dc:creator>
  <dc:description/>
  <dc:language>en-CA</dc:language>
  <cp:lastModifiedBy>Vinson &amp; Elkins L.L.P.</cp:lastModifiedBy>
  <cp:lastPrinted>2000-12-15T15:07:00Z</cp:lastPrinted>
  <dcterms:modified xsi:type="dcterms:W3CDTF">2000-12-15T18:38:00Z</dcterms:modified>
  <cp:revision>2</cp:revision>
  <dc:subject/>
  <dc:title>CONFIRMATION LETTER OF NATURAL GAS </dc:title>
</cp:coreProperties>
</file>