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t>dated as of 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Pursuant to Section 1(b) of the Margin Agreement by and between Enron North America Corp. ("ENAC") and Mahonia Natural Gas Limited ("Mahonia") dated as of December ___, 2000 (the "Margin Agreement"; terms not defined herein having the meaning therein given), this is to confirm that the Margin Reference Price for each Delivery Month as indicated on the attached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_____________________________</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blHeader w:val="true"/>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ab/>
            </w:r>
            <w:r>
              <w:rPr>
                <w:u w:val="single"/>
              </w:rPr>
              <w:t>Delivery Month</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Margin Reference</w:t>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ab/>
            </w:r>
            <w:r>
              <w:rPr>
                <w:u w:val="single"/>
              </w:rPr>
              <w:t>Price (Gas)</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Houston_404948_18.DOC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Houston_404948_18.DOC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2000-12-12T17:43:00Z</dcterms:created>
  <dc:creator>August E. Shouse</dc:creator>
  <dc:description/>
  <dc:language>en-CA</dc:language>
  <cp:lastModifiedBy>Vinson &amp; Elkins L.L.P.</cp:lastModifiedBy>
  <cp:lastPrinted>2000-12-12T14:13:00Z</cp:lastPrinted>
  <dcterms:modified xsi:type="dcterms:W3CDTF">2000-12-12T17:43:00Z</dcterms:modified>
  <cp:revision>2</cp:revision>
  <dc:subject/>
  <dc:title/>
</cp:coreProperties>
</file>