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5"/>
        <w:jc w:val="end"/>
        <w:rPr/>
      </w:pPr>
      <w:r>
        <w:rPr/>
      </w:r>
    </w:p>
    <w:p>
      <w:pPr>
        <w:pStyle w:val="Normal"/>
        <w:spacing w:lineRule="exact" w:line="235"/>
        <w:jc w:val="both"/>
        <w:rPr/>
      </w:pPr>
      <w:r>
        <w:rPr/>
      </w:r>
    </w:p>
    <w:p>
      <w:pPr>
        <w:pStyle w:val="Normal"/>
        <w:spacing w:lineRule="exact" w:line="235"/>
        <w:jc w:val="center"/>
        <w:rPr>
          <w:b/>
          <w:bCs/>
        </w:rPr>
      </w:pPr>
      <w:r>
        <w:rPr>
          <w:b/>
          <w:bCs/>
        </w:rPr>
        <w:t>ENRON GUARANTY</w:t>
      </w:r>
    </w:p>
    <w:p>
      <w:pPr>
        <w:pStyle w:val="Normal"/>
        <w:spacing w:lineRule="exact" w:line="235"/>
        <w:jc w:val="both"/>
        <w:rPr/>
      </w:pPr>
      <w:r>
        <w:rPr/>
      </w:r>
    </w:p>
    <w:p>
      <w:pPr>
        <w:pStyle w:val="Normal"/>
        <w:spacing w:lineRule="exact" w:line="235"/>
        <w:jc w:val="both"/>
        <w:rPr/>
      </w:pPr>
      <w:r>
        <w:rPr/>
      </w:r>
    </w:p>
    <w:p>
      <w:pPr>
        <w:pStyle w:val="Normal"/>
        <w:spacing w:lineRule="exact" w:line="235"/>
        <w:jc w:val="both"/>
        <w:rPr/>
      </w:pPr>
      <w:r>
        <w:rPr/>
        <w:tab/>
        <w:t xml:space="preserve">This Enron Guaranty (this </w:t>
      </w:r>
      <w:r>
        <w:rPr>
          <w:i/>
          <w:iCs/>
        </w:rPr>
        <w:t>"Agreement"</w:t>
      </w:r>
      <w:r>
        <w:rPr/>
        <w:t>), dated effective as of December__, 2000, is made by ENRON CORP., an Oregon corporation (</w:t>
      </w:r>
      <w:r>
        <w:rPr>
          <w:i/>
          <w:iCs/>
        </w:rPr>
        <w:t>"Guarantor"</w:t>
      </w:r>
      <w:r>
        <w:rPr/>
        <w:t>) in favor of MAHONIA NATURAL GAS LIMITED, a company incorporated under the laws of Jersey (</w:t>
      </w:r>
      <w:r>
        <w:rPr>
          <w:i/>
          <w:iCs/>
        </w:rPr>
        <w:t>"Beneficiary"</w:t>
      </w:r>
      <w:r>
        <w:rPr/>
        <w: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PRELIMINARY STATEMENTS</w:t>
      </w:r>
    </w:p>
    <w:p>
      <w:pPr>
        <w:pStyle w:val="Normal"/>
        <w:spacing w:lineRule="exact" w:line="235"/>
        <w:jc w:val="both"/>
        <w:rPr/>
      </w:pPr>
      <w:r>
        <w:rPr/>
      </w:r>
    </w:p>
    <w:p>
      <w:pPr>
        <w:pStyle w:val="Normal"/>
        <w:spacing w:lineRule="exact" w:line="235"/>
        <w:jc w:val="both"/>
        <w:rPr/>
      </w:pPr>
      <w:r>
        <w:rPr/>
        <w:tab/>
        <w:t>A.</w:t>
        <w:tab/>
        <w:t>Beneficiary has entered into the Forward Sale Contract (hereinafter defined) with Enron North America Corp., a Delaware corporation (</w:t>
      </w:r>
      <w:r>
        <w:rPr>
          <w:i/>
          <w:iCs/>
        </w:rPr>
        <w:t>"ENAC"</w:t>
      </w:r>
      <w:r>
        <w:rPr/>
        <w:t>).</w:t>
      </w:r>
    </w:p>
    <w:p>
      <w:pPr>
        <w:pStyle w:val="Normal"/>
        <w:spacing w:lineRule="exact" w:line="235"/>
        <w:jc w:val="both"/>
        <w:rPr/>
      </w:pPr>
      <w:r>
        <w:rPr/>
      </w:r>
    </w:p>
    <w:p>
      <w:pPr>
        <w:pStyle w:val="Normal"/>
        <w:spacing w:lineRule="exact" w:line="235"/>
        <w:jc w:val="both"/>
        <w:rPr/>
      </w:pPr>
      <w:r>
        <w:rPr/>
        <w:tab/>
        <w:t>B.</w:t>
        <w:tab/>
        <w:t>ENAC is a directly or indirectly wholly owned Subsidiary of the Guarantor.</w:t>
      </w:r>
    </w:p>
    <w:p>
      <w:pPr>
        <w:pStyle w:val="Normal"/>
        <w:spacing w:lineRule="exact" w:line="235"/>
        <w:jc w:val="both"/>
        <w:rPr/>
      </w:pPr>
      <w:r>
        <w:rPr/>
      </w:r>
    </w:p>
    <w:p>
      <w:pPr>
        <w:pStyle w:val="Normal"/>
        <w:spacing w:lineRule="exact" w:line="235"/>
        <w:jc w:val="both"/>
        <w:rPr/>
      </w:pPr>
      <w:r>
        <w:rPr/>
        <w:tab/>
        <w:t>C.</w:t>
        <w:tab/>
        <w:t>Pursuant to the Forward Sale Contract, ENAC agrees to deliver to Beneficiary certain volumes of Natural Gas deliverable at the Delivery Points.</w:t>
      </w:r>
    </w:p>
    <w:p>
      <w:pPr>
        <w:pStyle w:val="Normal"/>
        <w:spacing w:lineRule="exact" w:line="235"/>
        <w:jc w:val="both"/>
        <w:rPr/>
      </w:pPr>
      <w:r>
        <w:rPr/>
      </w:r>
    </w:p>
    <w:p>
      <w:pPr>
        <w:pStyle w:val="Normal"/>
        <w:spacing w:lineRule="exact" w:line="235"/>
        <w:jc w:val="both"/>
        <w:rPr/>
      </w:pPr>
      <w:r>
        <w:rPr/>
        <w:tab/>
        <w:t>D.</w:t>
        <w:tab/>
        <w:t>In order to induce the Beneficiary to enter into the Forward Sale Contract the Guarantor has agreed to enter into this Agreement.</w:t>
      </w:r>
    </w:p>
    <w:p>
      <w:pPr>
        <w:pStyle w:val="Normal"/>
        <w:spacing w:lineRule="exact" w:line="235"/>
        <w:jc w:val="both"/>
        <w:rPr/>
      </w:pPr>
      <w:r>
        <w:rPr/>
      </w:r>
    </w:p>
    <w:p>
      <w:pPr>
        <w:pStyle w:val="Normal"/>
        <w:spacing w:lineRule="exact" w:line="235"/>
        <w:jc w:val="both"/>
        <w:rPr/>
      </w:pPr>
      <w:r>
        <w:rPr/>
        <w:tab/>
        <w:t>E.</w:t>
        <w:tab/>
        <w:t>The guaranties provided in this Agreement are reasonably expected to benefit, directly or indirectly, the Guarantor.  Further, it is in the best interest of the Guarantor to provide the guaranties set forth hereunder, and such guaranties are necessary or convenient to the conduct, promotion or attainment of the business of the Guarantor and are also necessary or convenient to the conduct, promotion or attainment of the business of other directly or indirectly wholly-owned Subsidiaries of the Guarantor.</w:t>
      </w:r>
    </w:p>
    <w:p>
      <w:pPr>
        <w:pStyle w:val="Normal"/>
        <w:spacing w:lineRule="exact" w:line="235"/>
        <w:jc w:val="both"/>
        <w:rPr/>
      </w:pPr>
      <w:r>
        <w:rPr/>
      </w:r>
    </w:p>
    <w:p>
      <w:pPr>
        <w:pStyle w:val="Normal"/>
        <w:spacing w:lineRule="exact" w:line="235"/>
        <w:jc w:val="both"/>
        <w:rPr/>
      </w:pPr>
      <w:r>
        <w:rPr/>
        <w:tab/>
        <w:t>NOW, THEREFORE, in consideration of the premises and in order to induce the Beneficiary to enter into the Forward Sale Contract with ENAC, the Guarantor hereby agrees as follows:</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w:t>
      </w:r>
    </w:p>
    <w:p>
      <w:pPr>
        <w:pStyle w:val="Normal"/>
        <w:spacing w:lineRule="exact" w:line="235"/>
        <w:jc w:val="center"/>
        <w:rPr>
          <w:b/>
          <w:bCs/>
        </w:rPr>
      </w:pPr>
      <w:r>
        <w:rPr>
          <w:b/>
          <w:bCs/>
        </w:rPr>
        <w:t>DEFINITIONS AND ACCOUNTING TERMS</w:t>
      </w:r>
    </w:p>
    <w:p>
      <w:pPr>
        <w:pStyle w:val="Normal"/>
        <w:spacing w:lineRule="exact" w:line="235"/>
        <w:jc w:val="both"/>
        <w:rPr/>
      </w:pPr>
      <w:r>
        <w:rPr/>
      </w:r>
    </w:p>
    <w:p>
      <w:pPr>
        <w:pStyle w:val="Normal"/>
        <w:spacing w:lineRule="exact" w:line="235"/>
        <w:jc w:val="both"/>
        <w:rPr/>
      </w:pPr>
      <w:r>
        <w:rPr/>
        <w:tab/>
        <w:t>1.01</w:t>
        <w:tab/>
      </w:r>
      <w:r>
        <w:rPr>
          <w:b/>
          <w:bCs/>
          <w:i/>
          <w:iCs/>
        </w:rPr>
        <w:t>Certain Defined Terms</w:t>
      </w:r>
      <w:r>
        <w:rPr/>
        <w:t>.  As used in this Agreement, the following terms shall have the following meanings (such meanings to be equally applicable to both the singular and the plural forms of the terms defined and such meanings shall apply and be interpreted together when two or more of such terms are used together):</w:t>
      </w:r>
    </w:p>
    <w:p>
      <w:pPr>
        <w:pStyle w:val="Normal"/>
        <w:spacing w:lineRule="exact" w:line="235"/>
        <w:jc w:val="both"/>
        <w:rPr/>
      </w:pPr>
      <w:r>
        <w:rPr/>
      </w:r>
    </w:p>
    <w:p>
      <w:pPr>
        <w:pStyle w:val="Normal"/>
        <w:spacing w:lineRule="exact" w:line="235"/>
        <w:ind w:start="720" w:end="0"/>
        <w:jc w:val="both"/>
        <w:rPr/>
      </w:pPr>
      <w:r>
        <w:rPr/>
        <w:tab/>
      </w:r>
      <w:r>
        <w:rPr>
          <w:i/>
          <w:iCs/>
        </w:rPr>
        <w:t>"Agreement"</w:t>
      </w:r>
      <w:r>
        <w:rPr/>
        <w:t xml:space="preserve"> means this Enron Guaranty,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"Consolidated"</w:t>
      </w:r>
      <w:r>
        <w:rPr/>
        <w:t xml:space="preserve"> has the meaning specified in the Margin Agreement.</w:t>
      </w:r>
    </w:p>
    <w:p>
      <w:pPr>
        <w:pStyle w:val="Normal"/>
        <w:spacing w:lineRule="exact" w:line="235"/>
        <w:jc w:val="both"/>
        <w:rPr/>
      </w:pPr>
      <w:r>
        <w:rPr/>
      </w:r>
    </w:p>
    <w:p>
      <w:pPr>
        <w:sectPr>
          <w:footerReference w:type="default" r:id="rId2"/>
          <w:footerReference w:type="first" r:id="rId3"/>
          <w:type w:val="nextPage"/>
          <w:pgSz w:w="12240" w:h="15840"/>
          <w:pgMar w:left="1440" w:right="1440" w:gutter="0" w:header="0" w:top="1080" w:footer="2160" w:bottom="2216"/>
          <w:pgNumType w:fmt="decimal"/>
          <w:formProt w:val="false"/>
          <w:titlePg/>
          <w:textDirection w:val="lrTb"/>
          <w:docGrid w:type="default" w:linePitch="360" w:charSpace="0"/>
        </w:sectPr>
        <w:pStyle w:val="Normal"/>
        <w:spacing w:lineRule="exact" w:line="235"/>
        <w:ind w:start="720" w:end="0"/>
        <w:jc w:val="both"/>
        <w:rPr/>
      </w:pPr>
      <w:r>
        <w:rPr/>
        <w:tab/>
      </w:r>
      <w:r>
        <w:rPr>
          <w:i/>
          <w:iCs/>
        </w:rPr>
        <w:t>"Debt"</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"ENAC"</w:t>
      </w:r>
      <w:r>
        <w:rPr/>
        <w:t xml:space="preserve"> means Enron North America Corp. and any successor thereto or assignee thereof pursuant to Section 7.08 of the Forward Sale Contract.</w:t>
      </w:r>
    </w:p>
    <w:p>
      <w:pPr>
        <w:pStyle w:val="Normal"/>
        <w:spacing w:lineRule="exact" w:line="235"/>
        <w:jc w:val="both"/>
        <w:rPr/>
      </w:pPr>
      <w:r>
        <w:rPr/>
      </w:r>
    </w:p>
    <w:p>
      <w:pPr>
        <w:pStyle w:val="Normal"/>
        <w:spacing w:lineRule="exact" w:line="235"/>
        <w:ind w:start="720" w:end="0"/>
        <w:jc w:val="both"/>
        <w:rPr/>
      </w:pPr>
      <w:r>
        <w:rPr/>
        <w:tab/>
      </w:r>
      <w:r>
        <w:rPr>
          <w:i/>
          <w:iCs/>
        </w:rPr>
        <w:t>"Enron Indenture"</w:t>
      </w:r>
      <w:r>
        <w:rPr/>
        <w:t xml:space="preserve"> means that certain indenture dated as of November 1, 1985, between the Guarantor (formerly InterNorth, Inc.) and Harris Trust and Savings Bank, as Trustee, without giving effect to any amendment or modification thereof.</w:t>
      </w:r>
    </w:p>
    <w:p>
      <w:pPr>
        <w:pStyle w:val="Normal"/>
        <w:spacing w:lineRule="exact" w:line="235"/>
        <w:jc w:val="both"/>
        <w:rPr/>
      </w:pPr>
      <w:r>
        <w:rPr/>
      </w:r>
    </w:p>
    <w:p>
      <w:pPr>
        <w:pStyle w:val="Normal"/>
        <w:spacing w:lineRule="exact" w:line="235"/>
        <w:ind w:start="720" w:end="0"/>
        <w:jc w:val="both"/>
        <w:rPr/>
      </w:pPr>
      <w:r>
        <w:rPr/>
        <w:tab/>
      </w:r>
      <w:r>
        <w:rPr>
          <w:i/>
          <w:iCs/>
        </w:rPr>
        <w:t>"Events of Default"</w:t>
      </w:r>
      <w:r>
        <w:rPr/>
        <w:t xml:space="preserve"> has the meaning specified in Section 5.01.</w:t>
      </w:r>
    </w:p>
    <w:p>
      <w:pPr>
        <w:pStyle w:val="Normal"/>
        <w:spacing w:lineRule="exact" w:line="235"/>
        <w:jc w:val="both"/>
        <w:rPr/>
      </w:pPr>
      <w:r>
        <w:rPr/>
      </w:r>
    </w:p>
    <w:p>
      <w:pPr>
        <w:pStyle w:val="Normal"/>
        <w:spacing w:lineRule="exact" w:line="235"/>
        <w:ind w:start="720" w:end="0"/>
        <w:jc w:val="both"/>
        <w:rPr/>
      </w:pPr>
      <w:r>
        <w:rPr/>
        <w:tab/>
      </w:r>
      <w:r>
        <w:rPr>
          <w:i/>
          <w:iCs/>
        </w:rPr>
        <w:t>"Forward Sale Contract"</w:t>
      </w:r>
      <w:r>
        <w:rPr/>
        <w:t xml:space="preserve"> means the Natural Gas Inventory Forward Sale Contract dated of even date herewith between ENAC, as seller, and Beneficiary, as purchaser,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"GAAP"</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"Guarantor"</w:t>
      </w:r>
      <w:r>
        <w:rPr/>
        <w:t xml:space="preserve"> means Enron Corp., an Oregon corporation, and any successor thereto pursuant to Section 4.01 hereof.</w:t>
      </w:r>
    </w:p>
    <w:p>
      <w:pPr>
        <w:pStyle w:val="Normal"/>
        <w:spacing w:lineRule="exact" w:line="235"/>
        <w:jc w:val="both"/>
        <w:rPr/>
      </w:pPr>
      <w:r>
        <w:rPr/>
      </w:r>
    </w:p>
    <w:p>
      <w:pPr>
        <w:pStyle w:val="Normal"/>
        <w:spacing w:lineRule="exact" w:line="235"/>
        <w:ind w:start="720" w:end="0"/>
        <w:jc w:val="both"/>
        <w:rPr/>
      </w:pPr>
      <w:r>
        <w:rPr/>
        <w:tab/>
      </w:r>
      <w:r>
        <w:rPr>
          <w:i/>
          <w:iCs/>
        </w:rPr>
        <w:t>"Person"</w:t>
      </w:r>
      <w:r>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spacing w:lineRule="exact" w:line="235"/>
        <w:jc w:val="both"/>
        <w:rPr/>
      </w:pPr>
      <w:r>
        <w:rPr/>
      </w:r>
    </w:p>
    <w:p>
      <w:pPr>
        <w:pStyle w:val="Normal"/>
        <w:spacing w:lineRule="exact" w:line="235"/>
        <w:ind w:start="720" w:end="0"/>
        <w:jc w:val="both"/>
        <w:rPr/>
      </w:pPr>
      <w:r>
        <w:rPr/>
        <w:tab/>
      </w:r>
      <w:r>
        <w:rPr>
          <w:i/>
          <w:iCs/>
        </w:rPr>
        <w:t>"Principal Subsidiary"</w:t>
      </w:r>
      <w:r>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such date of determination) without regard to the consolidated assets test described above in this definition: Houston Pipe Line Company, Transwestern Pipeline Company, Northern Natural Gas Company, Enron North America Corp. (formerly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w:t>
        <w:softHyphen/>
        <w:t>solidated assets of the Guarantor shall be determined based on the most recent quarterly or annual consolidated financial statements of the Guarantor available prior to such determination.</w:t>
      </w:r>
    </w:p>
    <w:p>
      <w:pPr>
        <w:pStyle w:val="Normal"/>
        <w:spacing w:lineRule="exact" w:line="235"/>
        <w:jc w:val="both"/>
        <w:rPr/>
      </w:pPr>
      <w:r>
        <w:rPr/>
      </w:r>
    </w:p>
    <w:p>
      <w:pPr>
        <w:pStyle w:val="Normal"/>
        <w:spacing w:lineRule="exact" w:line="235"/>
        <w:ind w:start="720" w:end="0"/>
        <w:jc w:val="both"/>
        <w:rPr/>
      </w:pPr>
      <w:r>
        <w:rPr/>
        <w:tab/>
      </w:r>
      <w:r>
        <w:rPr>
          <w:i/>
          <w:iCs/>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w:t>
      </w:r>
      <w:r>
        <w:rPr>
          <w:i/>
          <w:iCs/>
        </w:rPr>
        <w:t>"Subsidiary"</w:t>
      </w:r>
      <w:r>
        <w:rPr/>
        <w:t xml:space="preserve"> when used herein shall refer to a Subsidiary of the Guarantor.</w:t>
      </w:r>
    </w:p>
    <w:p>
      <w:pPr>
        <w:pStyle w:val="Normal"/>
        <w:spacing w:lineRule="exact" w:line="235"/>
        <w:jc w:val="both"/>
        <w:rPr/>
      </w:pPr>
      <w:r>
        <w:rPr/>
      </w:r>
    </w:p>
    <w:p>
      <w:pPr>
        <w:pStyle w:val="Normal"/>
        <w:spacing w:lineRule="exact" w:line="235"/>
        <w:ind w:start="720" w:end="0"/>
        <w:jc w:val="both"/>
        <w:rPr/>
      </w:pPr>
      <w:r>
        <w:rPr/>
        <w:tab/>
      </w:r>
      <w:r>
        <w:rPr>
          <w:i/>
          <w:iCs/>
        </w:rPr>
        <w:t>"Trigger Event"</w:t>
      </w:r>
      <w:r>
        <w:rPr/>
        <w:t xml:space="preserve"> has the meaning specified in the Margin Agreement.</w:t>
      </w:r>
    </w:p>
    <w:p>
      <w:pPr>
        <w:pStyle w:val="Normal"/>
        <w:spacing w:lineRule="exact" w:line="235"/>
        <w:jc w:val="both"/>
        <w:rPr/>
      </w:pPr>
      <w:r>
        <w:rPr/>
      </w:r>
    </w:p>
    <w:p>
      <w:pPr>
        <w:pStyle w:val="Normal"/>
        <w:spacing w:lineRule="exact" w:line="235"/>
        <w:jc w:val="both"/>
        <w:rPr/>
      </w:pPr>
      <w:r>
        <w:rPr/>
        <w:tab/>
        <w:t>1.02</w:t>
        <w:tab/>
      </w:r>
      <w:r>
        <w:rPr>
          <w:b/>
          <w:bCs/>
          <w:i/>
          <w:iCs/>
        </w:rPr>
        <w:t>Other Definitions</w:t>
      </w:r>
      <w:r>
        <w:rPr/>
        <w:t>.  Other capitalized terms used in this Agreement, unless otherwise defined in Section 1.01 or in other provisions of this Agreement, shall have the meaning given such terms in the Forward Sale Contract.</w:t>
      </w:r>
    </w:p>
    <w:p>
      <w:pPr>
        <w:pStyle w:val="Normal"/>
        <w:spacing w:lineRule="exact" w:line="235"/>
        <w:jc w:val="both"/>
        <w:rPr/>
      </w:pPr>
      <w:r>
        <w:rPr/>
      </w:r>
    </w:p>
    <w:p>
      <w:pPr>
        <w:pStyle w:val="Normal"/>
        <w:spacing w:lineRule="exact" w:line="235"/>
        <w:jc w:val="both"/>
        <w:rPr/>
      </w:pPr>
      <w:r>
        <w:rPr/>
        <w:tab/>
        <w:t>1.03</w:t>
        <w:tab/>
      </w:r>
      <w:r>
        <w:rPr>
          <w:b/>
          <w:bCs/>
          <w:i/>
          <w:iCs/>
        </w:rPr>
        <w:t>Accounting Terms</w:t>
      </w:r>
      <w:r>
        <w:rPr/>
        <w:t>.  All accounting terms not specifically defined herein shall be constructed in accordance with, and certificates of compliance with financial covenants shall be based on, GAAP; provided, however, the financial statements and reports required pursuant to Sections 4.01(b) (i) and (iv) shall be prepared in accordance with generally accepted accounting principles consistently applied except to the extent stated therein.</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II</w:t>
      </w:r>
    </w:p>
    <w:p>
      <w:pPr>
        <w:pStyle w:val="Normal"/>
        <w:spacing w:lineRule="exact" w:line="235"/>
        <w:jc w:val="center"/>
        <w:rPr>
          <w:b/>
          <w:bCs/>
        </w:rPr>
      </w:pPr>
      <w:r>
        <w:rPr>
          <w:b/>
          <w:bCs/>
        </w:rPr>
        <w:t>GUARANTY</w:t>
      </w:r>
    </w:p>
    <w:p>
      <w:pPr>
        <w:pStyle w:val="Normal"/>
        <w:spacing w:lineRule="exact" w:line="235"/>
        <w:jc w:val="both"/>
        <w:rPr/>
      </w:pPr>
      <w:r>
        <w:rPr/>
      </w:r>
    </w:p>
    <w:p>
      <w:pPr>
        <w:pStyle w:val="Normal"/>
        <w:spacing w:lineRule="exact" w:line="235"/>
        <w:jc w:val="both"/>
        <w:rPr/>
      </w:pPr>
      <w:r>
        <w:rPr/>
        <w:tab/>
        <w:t>2.01</w:t>
        <w:tab/>
      </w:r>
      <w:r>
        <w:rPr>
          <w:b/>
          <w:bCs/>
          <w:i/>
          <w:iCs/>
        </w:rPr>
        <w:t>Guaranty</w:t>
      </w:r>
      <w:r>
        <w:rPr/>
        <w:t>.  The Guarantor hereby uncon</w:t>
        <w:softHyphen/>
        <w:t>ditionally guarantees to the Beneficiary, the punctual payment when due, whether at stated maturity, by accelera</w:t>
        <w:softHyphen/>
        <w:t>tion or other</w:t>
        <w:softHyphen/>
        <w:t xml:space="preserve">wise, of all payment obligations associated with the performance obligations of ENAC, now or hereafter existing under the Forward Sale Contract, (all of such payment obligations under the Forward Sale Contract, being referred to herein as the </w:t>
      </w:r>
      <w:r>
        <w:rPr>
          <w:i/>
          <w:iCs/>
        </w:rPr>
        <w:t>"Obliga</w:t>
        <w:softHyphen/>
        <w:t>tions"</w:t>
      </w:r>
      <w:r>
        <w:rPr/>
        <w:t>), and the Guarantor further agrees to pay any and all reasonable expenses (includ</w:t>
        <w:softHyphen/>
        <w:t>ing reasonable counsel fees and expenses) incurred by the Beneficiary in enforcing any rights under this Guaranty, provided that all payments by the Guarantor under this Section 2.01 shall be made in immediately available funds within five Business Days following the Beneficiary's demand therefor given in writing to the Guarantor (which demand will set forth the basis and calculation of the amount for which demand is made).</w:t>
      </w:r>
    </w:p>
    <w:p>
      <w:pPr>
        <w:pStyle w:val="Normal"/>
        <w:spacing w:lineRule="exact" w:line="235"/>
        <w:jc w:val="both"/>
        <w:rPr/>
      </w:pPr>
      <w:r>
        <w:rPr/>
      </w:r>
    </w:p>
    <w:p>
      <w:pPr>
        <w:pStyle w:val="Normal"/>
        <w:spacing w:lineRule="exact" w:line="235"/>
        <w:jc w:val="both"/>
        <w:rPr/>
      </w:pPr>
      <w:r>
        <w:rPr/>
        <w:tab/>
        <w:t>2.02</w:t>
        <w:tab/>
      </w:r>
      <w:r>
        <w:rPr>
          <w:b/>
          <w:bCs/>
          <w:i/>
          <w:iCs/>
        </w:rPr>
        <w:t>Guaranty Absolute</w:t>
      </w:r>
      <w:r>
        <w:rPr/>
        <w:t>.  (a) The Guarantor guarantees that the Obligations will be paid strictly in accordance with the terms of the relevant Forward Sale Contract (subject to the proviso in Section 2.01).  The liability of the Guarantor under this Agreement shall be absolute and unconditional irrespective of:</w:t>
      </w:r>
    </w:p>
    <w:p>
      <w:pPr>
        <w:pStyle w:val="Normal"/>
        <w:spacing w:lineRule="exact" w:line="235"/>
        <w:jc w:val="both"/>
        <w:rPr/>
      </w:pPr>
      <w:r>
        <w:rPr/>
      </w:r>
    </w:p>
    <w:p>
      <w:pPr>
        <w:pStyle w:val="Normal"/>
        <w:spacing w:lineRule="exact" w:line="235"/>
        <w:ind w:start="720" w:end="0"/>
        <w:jc w:val="both"/>
        <w:rPr/>
      </w:pPr>
      <w:r>
        <w:rPr/>
        <w:tab/>
        <w:t>(i)</w:t>
        <w:tab/>
        <w:t>any lack of validity or enforceability of the Forward Sale Contract or any other agreement or instru</w:t>
        <w:softHyphen/>
        <w:t>ment relating thereto;</w:t>
      </w:r>
    </w:p>
    <w:p>
      <w:pPr>
        <w:pStyle w:val="Normal"/>
        <w:spacing w:lineRule="exact" w:line="235"/>
        <w:jc w:val="both"/>
        <w:rPr/>
      </w:pPr>
      <w:r>
        <w:rPr/>
      </w:r>
    </w:p>
    <w:p>
      <w:pPr>
        <w:pStyle w:val="Normal"/>
        <w:spacing w:lineRule="exact" w:line="235"/>
        <w:ind w:start="720" w:end="0"/>
        <w:jc w:val="both"/>
        <w:rPr/>
      </w:pPr>
      <w:r>
        <w:rPr/>
        <w:tab/>
        <w:t>(ii)</w:t>
        <w:tab/>
        <w:t>any law, regulation or order now or hereafter in effect in any jurisdiction affecting any of the terms of the Forward Sale Contract or the rights of the Beneficiary with respect thereto;</w:t>
      </w:r>
    </w:p>
    <w:p>
      <w:pPr>
        <w:pStyle w:val="Normal"/>
        <w:spacing w:lineRule="exact" w:line="235"/>
        <w:jc w:val="both"/>
        <w:rPr/>
      </w:pPr>
      <w:r>
        <w:rPr/>
      </w:r>
    </w:p>
    <w:p>
      <w:pPr>
        <w:pStyle w:val="Normal"/>
        <w:spacing w:lineRule="exact" w:line="235"/>
        <w:ind w:start="720" w:end="0"/>
        <w:jc w:val="both"/>
        <w:rPr/>
      </w:pPr>
      <w:r>
        <w:rPr/>
        <w:tab/>
        <w:t>(iii)</w:t>
        <w:tab/>
        <w:t xml:space="preserve">any change in the time, manner or place of performance or payment of, or in any other term of, the Obligations, or any other amendment, extension or waiver of or any consent to departure from the Forward Sale Contract; </w:t>
      </w:r>
    </w:p>
    <w:p>
      <w:pPr>
        <w:pStyle w:val="Normal"/>
        <w:spacing w:lineRule="exact" w:line="235"/>
        <w:jc w:val="both"/>
        <w:rPr/>
      </w:pPr>
      <w:r>
        <w:rPr/>
      </w:r>
    </w:p>
    <w:p>
      <w:pPr>
        <w:pStyle w:val="Normal"/>
        <w:spacing w:lineRule="exact" w:line="235"/>
        <w:ind w:start="720" w:end="0"/>
        <w:jc w:val="both"/>
        <w:rPr/>
      </w:pPr>
      <w:r>
        <w:rPr/>
        <w:tab/>
        <w:t>(iv)</w:t>
        <w:tab/>
        <w:t xml:space="preserve">the existence of, or any release or amendment or waiver of or consent to departure from, any other guaranty, for all or any of the Obligations; or </w:t>
      </w:r>
    </w:p>
    <w:p>
      <w:pPr>
        <w:pStyle w:val="Normal"/>
        <w:spacing w:lineRule="exact" w:line="235"/>
        <w:jc w:val="both"/>
        <w:rPr/>
      </w:pPr>
      <w:r>
        <w:rPr/>
      </w:r>
    </w:p>
    <w:p>
      <w:pPr>
        <w:pStyle w:val="Normal"/>
        <w:spacing w:lineRule="exact" w:line="235"/>
        <w:ind w:start="720" w:end="0"/>
        <w:jc w:val="both"/>
        <w:rPr/>
      </w:pPr>
      <w:r>
        <w:rPr/>
        <w:tab/>
        <w:t>(v)</w:t>
        <w:tab/>
        <w:t xml:space="preserve">any assignment or merger by ENAC pursuant to clauses (i) and (ii) of Section 7.08 of the Forward Sale Contract.  </w:t>
      </w:r>
    </w:p>
    <w:p>
      <w:pPr>
        <w:pStyle w:val="Normal"/>
        <w:spacing w:lineRule="exact" w:line="235"/>
        <w:jc w:val="both"/>
        <w:rPr/>
      </w:pPr>
      <w:r>
        <w:rPr/>
      </w:r>
    </w:p>
    <w:p>
      <w:pPr>
        <w:pStyle w:val="Normal"/>
        <w:spacing w:lineRule="exact" w:line="235"/>
        <w:jc w:val="both"/>
        <w:rPr/>
      </w:pPr>
      <w:r>
        <w:rPr/>
        <w:t>This Agreement shall continue to be effective or be rein</w:t>
        <w:softHyphen/>
        <w:t>stated, as the case may be, if at any time any payment of any of the Obligations is rescinded or must otherwise be returned by the Beneficiary for any reason, including, without limitation, the insolvency, bank</w:t>
        <w:softHyphen/>
        <w:t>ruptcy or reorganiza</w:t>
        <w:softHyphen/>
        <w:t>tion of ENAC or otherwise, all as though such payment had not been made, and, in such event, the Guarantor will pay to the Beneficiary an amount equal to any such payment that has been rescinded or returned.  This Guaranty shall be absolute and unconditional notwithstanding the occurrence of any event or the existence of any other circumstances which might constitute a defense available to a guarantor or ENAC or a legal or equitable discharge of a surety or guarantor except indefeasible payment in full of the Obligations.  The provisions of this paragraph will survive any release or termination of this Agreement.</w:t>
      </w:r>
    </w:p>
    <w:p>
      <w:pPr>
        <w:pStyle w:val="Normal"/>
        <w:spacing w:lineRule="exact" w:line="235"/>
        <w:jc w:val="both"/>
        <w:rPr/>
      </w:pPr>
      <w:r>
        <w:rPr/>
      </w:r>
    </w:p>
    <w:p>
      <w:pPr>
        <w:pStyle w:val="Normal"/>
        <w:spacing w:lineRule="exact" w:line="235"/>
        <w:jc w:val="both"/>
        <w:rPr/>
      </w:pPr>
      <w:r>
        <w:rPr/>
        <w:tab/>
        <w:t>(b)</w:t>
        <w:tab/>
        <w:t>If and to the extent that the Guarantor makes any payment to the Beneficiary or to any other Person pursuant to or in respect of this Guaranty, any claim which the Guarantor may have against ENAC by reason thereof shall be subject and subordinate to the prior indefeasible payment in full in cash of the Obligations.</w:t>
      </w:r>
    </w:p>
    <w:p>
      <w:pPr>
        <w:pStyle w:val="Normal"/>
        <w:spacing w:lineRule="exact" w:line="235"/>
        <w:jc w:val="both"/>
        <w:rPr/>
      </w:pPr>
      <w:r>
        <w:rPr/>
      </w:r>
    </w:p>
    <w:p>
      <w:pPr>
        <w:pStyle w:val="Normal"/>
        <w:spacing w:lineRule="exact" w:line="235"/>
        <w:jc w:val="both"/>
        <w:rPr/>
      </w:pPr>
      <w:r>
        <w:rPr/>
        <w:tab/>
        <w:t>2.03</w:t>
        <w:tab/>
      </w:r>
      <w:r>
        <w:rPr>
          <w:b/>
          <w:bCs/>
          <w:i/>
          <w:iCs/>
        </w:rPr>
        <w:t>Waiver</w:t>
      </w:r>
      <w:r>
        <w:rPr/>
        <w:t>.  Except as otherwise set forth herein, the Guarantor hereby waives, to the extent permitted by law, promptness, diligence, notice of acceptance and any other notice with respect to any of the Obligations and this Agreement and any requirement that the Beneficiary protect, secure, perfect or insure any collateral or exhaust any right or take any action against ENAC or any other Person or any collateral.</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III</w:t>
      </w:r>
    </w:p>
    <w:p>
      <w:pPr>
        <w:pStyle w:val="Normal"/>
        <w:keepNext w:val="true"/>
        <w:keepLines/>
        <w:spacing w:lineRule="exact" w:line="235"/>
        <w:jc w:val="center"/>
        <w:rPr>
          <w:b/>
          <w:bCs/>
        </w:rPr>
      </w:pPr>
      <w:r>
        <w:rPr>
          <w:b/>
          <w:bCs/>
        </w:rPr>
        <w:t>REPRESENTATIONS AND WARRANTIES</w:t>
      </w:r>
    </w:p>
    <w:p>
      <w:pPr>
        <w:pStyle w:val="Normal"/>
        <w:keepNext w:val="true"/>
        <w:keepLines/>
        <w:spacing w:lineRule="exact" w:line="235"/>
        <w:jc w:val="both"/>
        <w:rPr/>
      </w:pPr>
      <w:r>
        <w:rPr/>
      </w:r>
    </w:p>
    <w:p>
      <w:pPr>
        <w:pStyle w:val="Normal"/>
        <w:keepLines/>
        <w:spacing w:lineRule="exact" w:line="235"/>
        <w:jc w:val="both"/>
        <w:rPr/>
      </w:pPr>
      <w:r>
        <w:rPr/>
        <w:tab/>
        <w:t>3.01</w:t>
        <w:tab/>
      </w:r>
      <w:r>
        <w:rPr>
          <w:b/>
          <w:bCs/>
          <w:i/>
          <w:iCs/>
        </w:rPr>
        <w:t>Representations and Warranties</w:t>
      </w:r>
      <w:r>
        <w:rPr/>
        <w:t xml:space="preserve"> </w:t>
      </w:r>
      <w:r>
        <w:fldChar w:fldCharType="begin"/>
      </w:r>
      <w:r>
        <w:rPr/>
        <w:instrText xml:space="preserve"> TC "3.01</w:instrText>
        <w:tab/>
        <w:instrText xml:space="preserve">Representations and Warranties " \l 2 </w:instrText>
      </w:r>
      <w:r>
        <w:rPr/>
        <w:fldChar w:fldCharType="separate"/>
      </w:r>
      <w:r>
        <w:rPr/>
      </w:r>
      <w:r>
        <w:rPr/>
        <w:fldChar w:fldCharType="end"/>
      </w:r>
      <w:r>
        <w:rPr/>
        <w:t>.  The Guarantor hereby represents and warrants as follows:</w:t>
      </w:r>
    </w:p>
    <w:p>
      <w:pPr>
        <w:pStyle w:val="Normal"/>
        <w:spacing w:lineRule="exact" w:line="235"/>
        <w:jc w:val="both"/>
        <w:rPr/>
      </w:pPr>
      <w:r>
        <w:rPr/>
      </w:r>
    </w:p>
    <w:p>
      <w:pPr>
        <w:pStyle w:val="Normal"/>
        <w:spacing w:lineRule="exact" w:line="235"/>
        <w:ind w:start="720" w:end="0"/>
        <w:jc w:val="both"/>
        <w:rPr/>
      </w:pPr>
      <w:r>
        <w:rPr/>
        <w:tab/>
        <w:t>(a)</w:t>
        <w:tab/>
        <w:t>The Guarantor is a corporation duly incor</w:t>
        <w:softHyphen/>
        <w:t>porated, validly existing and in good standing under the laws of the jurisdiction of its incorporation and has all requisite corporate powers and all material governmental licenses, authorizations, consents and approvals required to own its properties and carry on its business as now conducted.</w:t>
      </w:r>
    </w:p>
    <w:p>
      <w:pPr>
        <w:pStyle w:val="Normal"/>
        <w:spacing w:lineRule="exact" w:line="235"/>
        <w:jc w:val="both"/>
        <w:rPr/>
      </w:pPr>
      <w:r>
        <w:rPr/>
      </w:r>
    </w:p>
    <w:p>
      <w:pPr>
        <w:pStyle w:val="Normal"/>
        <w:spacing w:lineRule="exact" w:line="235"/>
        <w:ind w:start="720" w:end="0"/>
        <w:jc w:val="both"/>
        <w:rPr/>
      </w:pPr>
      <w:r>
        <w:rPr/>
        <w:tab/>
        <w:t>(b)</w:t>
        <w:tab/>
        <w:t>The execution, delivery and performance by the Guarantor of this Agreement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applicable to the Guarantor or the amended and restated articles of incorporation, as amended, or by</w:t>
        <w:noBreakHyphen/>
        <w:t>laws, as amended, of the Guarantor or any judgment, injunction, order, decree or material ("material" for the purposes of this representation meaning creating a liability of $100 million or more) agreement binding upon the Guarantor or result in the creation or imposition of any lien, security interest or other charge or encumbrance on any asset of the Guarantor.</w:t>
      </w:r>
    </w:p>
    <w:p>
      <w:pPr>
        <w:pStyle w:val="Normal"/>
        <w:spacing w:lineRule="exact" w:line="235"/>
        <w:jc w:val="both"/>
        <w:rPr/>
      </w:pPr>
      <w:r>
        <w:rPr/>
      </w:r>
    </w:p>
    <w:p>
      <w:pPr>
        <w:pStyle w:val="Normal"/>
        <w:spacing w:lineRule="exact" w:line="235"/>
        <w:ind w:start="720" w:end="0"/>
        <w:jc w:val="both"/>
        <w:rPr/>
      </w:pPr>
      <w:r>
        <w:rPr/>
        <w:tab/>
        <w:t>(c)</w:t>
        <w:tab/>
        <w:t>This Agreement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235"/>
        <w:jc w:val="both"/>
        <w:rPr/>
      </w:pPr>
      <w:r>
        <w:rPr/>
      </w:r>
    </w:p>
    <w:p>
      <w:pPr>
        <w:pStyle w:val="Normal"/>
        <w:spacing w:lineRule="exact" w:line="235"/>
        <w:ind w:start="1440" w:end="0"/>
        <w:jc w:val="both"/>
        <w:rPr/>
      </w:pPr>
      <w:r>
        <w:rPr/>
        <w:t>(d)</w:t>
        <w:tab/>
        <w:t>(i)</w:t>
        <w:tab/>
        <w:t>The audited consolidated balance sheet of the Guarantor and its subsidi</w:t>
        <w:softHyphen/>
        <w:t>aries as of December 31, 1999, and the related audited consolidated statements of income, cash flows and changes in stock</w:t>
        <w:softHyphen/>
        <w:t>holders' equity accounts for the fiscal year then ended, and the unaudited consolidated balance sheet of the Guarantor and its subsidiaries as of September 30, 2000, and the related unaudited consolidated statements of income, cash flows and changes in stockholders' equity accounts for the fiscal quarter then ended, copies of which have been delivered to Beneficiary, fairly present, in conformity with GAAP, except as otherwise expressly noted therein, the consolidated financial position of the Guarantor and its subsi</w:t>
        <w:softHyphen/>
        <w:t>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spacing w:lineRule="exact" w:line="235"/>
        <w:jc w:val="both"/>
        <w:rPr/>
      </w:pPr>
      <w:r>
        <w:rPr/>
      </w:r>
    </w:p>
    <w:p>
      <w:pPr>
        <w:pStyle w:val="Normal"/>
        <w:spacing w:lineRule="exact" w:line="235"/>
        <w:ind w:start="1440" w:end="0"/>
        <w:jc w:val="both"/>
        <w:rPr/>
      </w:pPr>
      <w:r>
        <w:rPr/>
        <w:tab/>
        <w:t>(ii)</w:t>
        <w:tab/>
        <w:t>Except as disclosed in the Guarantor's Form 10</w:t>
        <w:noBreakHyphen/>
        <w:t>K for the year ended December 31, 1999, any Form 8-Ks subsequently filed, or the Guarantor's Form 10</w:t>
        <w:noBreakHyphen/>
        <w:t>Qs for the quarter ended September 30, 2000, which were delivered to the Beneficiary prior to the date hereof, since December 31, 1999, and through the date hereof there has been no material adverse change in the business, consolidated financial position or consolidated results of operations of the Guarantor and its Subsidiaries, consid</w:t>
        <w:softHyphen/>
        <w:t>ered as a whole.</w:t>
      </w:r>
    </w:p>
    <w:p>
      <w:pPr>
        <w:pStyle w:val="Normal"/>
        <w:spacing w:lineRule="exact" w:line="235"/>
        <w:jc w:val="both"/>
        <w:rPr/>
      </w:pPr>
      <w:r>
        <w:rPr/>
      </w:r>
    </w:p>
    <w:p>
      <w:pPr>
        <w:pStyle w:val="Normal"/>
        <w:spacing w:lineRule="exact" w:line="235"/>
        <w:ind w:start="720" w:end="0"/>
        <w:jc w:val="both"/>
        <w:rPr/>
      </w:pPr>
      <w:r>
        <w:rPr/>
        <w:tab/>
        <w:t>(e)</w:t>
        <w:tab/>
        <w:t>Except as disclosed in the Guarantor's Form 10</w:t>
        <w:noBreakHyphen/>
        <w:t>K for the year ended December 31, 1999, any Form 8-Ks subsequently filed, or the Guarantor's Form 10</w:t>
        <w:noBreakHyphen/>
        <w:t>Qs for the quarter ended September 30, 2000, which were delivered to the Beneficiary prior to the date hereof, there is no action, suit or proceeding pending against the Guarantor or any of its Subsidiaries, or to the knowledge of the Guarantor threatened against the Guarantor or any of its Subsidiaries, before any court or arbitrator or any governmen</w:t>
        <w:softHyphen/>
        <w:t>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Agreement.</w:t>
      </w:r>
    </w:p>
    <w:p>
      <w:pPr>
        <w:pStyle w:val="Normal"/>
        <w:spacing w:lineRule="exact" w:line="235"/>
        <w:jc w:val="both"/>
        <w:rPr/>
      </w:pPr>
      <w:r>
        <w:rPr/>
      </w:r>
    </w:p>
    <w:p>
      <w:pPr>
        <w:pStyle w:val="Normal"/>
        <w:spacing w:lineRule="exact" w:line="235"/>
        <w:jc w:val="center"/>
        <w:rPr>
          <w:b/>
          <w:bCs/>
        </w:rPr>
      </w:pPr>
      <w:r>
        <w:rPr>
          <w:b/>
          <w:bCs/>
        </w:rPr>
        <w:t>ARTICLE IV</w:t>
      </w:r>
    </w:p>
    <w:p>
      <w:pPr>
        <w:pStyle w:val="Normal"/>
        <w:spacing w:lineRule="exact" w:line="235"/>
        <w:jc w:val="center"/>
        <w:rPr>
          <w:b/>
          <w:bCs/>
        </w:rPr>
      </w:pPr>
      <w:r>
        <w:rPr>
          <w:b/>
          <w:bCs/>
        </w:rPr>
        <w:t>COVENANTS OF THE GUARANTOR</w:t>
      </w:r>
    </w:p>
    <w:p>
      <w:pPr>
        <w:pStyle w:val="Normal"/>
        <w:spacing w:lineRule="exact" w:line="235"/>
        <w:jc w:val="both"/>
        <w:rPr/>
      </w:pPr>
      <w:r>
        <w:rPr/>
      </w:r>
    </w:p>
    <w:p>
      <w:pPr>
        <w:pStyle w:val="Normal"/>
        <w:spacing w:lineRule="exact" w:line="235"/>
        <w:jc w:val="both"/>
        <w:rPr/>
      </w:pPr>
      <w:r>
        <w:rPr/>
        <w:tab/>
        <w:t>4.01</w:t>
        <w:tab/>
      </w:r>
      <w:r>
        <w:rPr>
          <w:b/>
          <w:bCs/>
          <w:i/>
          <w:iCs/>
        </w:rPr>
        <w:t>Affirmative Covenants</w:t>
      </w:r>
      <w:r>
        <w:rPr/>
        <w:t>.  The Guarantor covenants and agrees that, so long as any part of the Obligations shall remain unpaid, the Guarantor will, unless the Beneficiary shall otherwise consent in writing:</w:t>
      </w:r>
    </w:p>
    <w:p>
      <w:pPr>
        <w:pStyle w:val="Normal"/>
        <w:spacing w:lineRule="exact" w:line="235"/>
        <w:jc w:val="both"/>
        <w:rPr/>
      </w:pPr>
      <w:r>
        <w:rPr/>
      </w:r>
    </w:p>
    <w:p>
      <w:pPr>
        <w:pStyle w:val="Normal"/>
        <w:spacing w:lineRule="exact" w:line="235"/>
        <w:ind w:start="720" w:end="0"/>
        <w:jc w:val="both"/>
        <w:rPr/>
      </w:pPr>
      <w:r>
        <w:rPr/>
        <w:tab/>
        <w:t>(a)</w:t>
        <w:tab/>
      </w:r>
      <w:r>
        <w:rPr>
          <w:i/>
          <w:iCs/>
        </w:rPr>
        <w:t>Compliance with Laws, Etc.</w:t>
      </w:r>
      <w:r>
        <w:rPr/>
        <w:t xml:space="preserve">  Comply in all material respects with all applicable laws, rules, regulations and orders of any governmental authority to the extent non</w:t>
        <w:softHyphen/>
        <w:t>compliance therewith would have a material adverse effect on the Guarantor and its Subsidiaries taken as a whole, such compliance to include, without limitation, paying before the same become delinquent all taxes, assessments and govern</w:t>
        <w:softHyphen/>
        <w:t>mental charges imposed upon it or upon its property except to the extent contested in good faith.</w:t>
      </w:r>
    </w:p>
    <w:p>
      <w:pPr>
        <w:pStyle w:val="Normal"/>
        <w:spacing w:lineRule="exact" w:line="235"/>
        <w:jc w:val="both"/>
        <w:rPr/>
      </w:pPr>
      <w:r>
        <w:rPr/>
      </w:r>
    </w:p>
    <w:p>
      <w:pPr>
        <w:pStyle w:val="Normal"/>
        <w:spacing w:lineRule="exact" w:line="235"/>
        <w:ind w:start="720" w:end="0"/>
        <w:jc w:val="both"/>
        <w:rPr/>
      </w:pPr>
      <w:r>
        <w:rPr/>
        <w:tab/>
        <w:t>(b)</w:t>
        <w:tab/>
      </w:r>
      <w:r>
        <w:rPr>
          <w:i/>
          <w:iCs/>
        </w:rPr>
        <w:t>Reporting Requirements</w:t>
      </w:r>
      <w:r>
        <w:rPr/>
        <w:t>.  Furnish to the Beneficiary:</w:t>
      </w:r>
    </w:p>
    <w:p>
      <w:pPr>
        <w:pStyle w:val="Normal"/>
        <w:spacing w:lineRule="exact" w:line="235"/>
        <w:jc w:val="both"/>
        <w:rPr/>
      </w:pPr>
      <w:r>
        <w:rPr/>
      </w:r>
    </w:p>
    <w:p>
      <w:pPr>
        <w:pStyle w:val="Normal"/>
        <w:spacing w:lineRule="exact" w:line="235"/>
        <w:ind w:start="1440" w:end="0"/>
        <w:jc w:val="both"/>
        <w:rPr/>
      </w:pPr>
      <w:r>
        <w:rPr/>
        <w:tab/>
        <w:t>(i)</w:t>
        <w:tab/>
        <w:t>by making available either on “EDGAR” or the Guarantor’s home page on the “World Wide Web” at www.enron.com, or otherwise transmitting to the Beneficiary (A) promptly after the sending or filing thereof, a copy of each of the Guarantor's reports on Form 8-K (or any comparable form), (B)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(C)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spacing w:lineRule="exact" w:line="235"/>
        <w:jc w:val="both"/>
        <w:rPr/>
      </w:pPr>
      <w:r>
        <w:rPr/>
      </w:r>
    </w:p>
    <w:p>
      <w:pPr>
        <w:pStyle w:val="Normal"/>
        <w:spacing w:lineRule="exact" w:line="235"/>
        <w:ind w:start="1440" w:end="0"/>
        <w:jc w:val="both"/>
        <w:rPr/>
      </w:pPr>
      <w:r>
        <w:rPr/>
        <w:tab/>
        <w:t>(ii)</w:t>
        <w:tab/>
        <w:t>simultaneously with the delivery of each of the annual or quarterly reports referred to in clause (i) above, a certificate of the chief financial officer or the chief accounting officer of the Guarantor in a form acceptable to the Beneficiary, (A) setting forth in reasonable detail the calculations required to establish whether a Trigger Event exists on the date of the financial statements contained in such report and (B) stating whether there exists on the date of such certificate any Event of Default or Trigger Event or event, which, with the giving of notice or lapse of time, or both, would constitute an Event of Default or Trigger Event, and, if so, setting forth the details thereof and the action which the Guarantor has taken and proposes to take with respect thereto;</w:t>
      </w:r>
    </w:p>
    <w:p>
      <w:pPr>
        <w:pStyle w:val="Normal"/>
        <w:spacing w:lineRule="exact" w:line="235"/>
        <w:jc w:val="both"/>
        <w:rPr/>
      </w:pPr>
      <w:r>
        <w:rPr/>
      </w:r>
    </w:p>
    <w:p>
      <w:pPr>
        <w:pStyle w:val="Normal"/>
        <w:spacing w:lineRule="exact" w:line="235"/>
        <w:ind w:start="1440" w:end="0"/>
        <w:jc w:val="both"/>
        <w:rPr/>
      </w:pPr>
      <w:r>
        <w:rPr/>
        <w:tab/>
        <w:t>(iii)</w:t>
        <w:tab/>
        <w:t>as soon as possible and in any event within five days after an executive officer of the Guarantor having obtained knowledge thereof, notice of the occurrence of any Event of Default or any event which, with the giving of notice or lapse of time, or both, would constitute an Event of Default, continuing on the date of such notice, and a statement of the chief financial officer of the Guarantor setting forth details of such Event of Default or event and the action which the Guarantor has taken and proposes to take with respect thereto; and</w:t>
      </w:r>
    </w:p>
    <w:p>
      <w:pPr>
        <w:pStyle w:val="Normal"/>
        <w:spacing w:lineRule="exact" w:line="235"/>
        <w:jc w:val="both"/>
        <w:rPr/>
      </w:pPr>
      <w:r>
        <w:rPr/>
      </w:r>
    </w:p>
    <w:p>
      <w:pPr>
        <w:pStyle w:val="Normal"/>
        <w:spacing w:lineRule="exact" w:line="235"/>
        <w:ind w:start="1440" w:end="0"/>
        <w:jc w:val="both"/>
        <w:rPr/>
      </w:pPr>
      <w:r>
        <w:rPr/>
        <w:tab/>
        <w:t>(iv)</w:t>
        <w:tab/>
        <w:t>such other information respecting the condition or operations, financial or otherwise relevant to this Agreement and the Forward Sale Contract and Guarantor's ability to perform its obligations hereunder, as the Beneficiary may from time to time reason</w:t>
        <w:softHyphen/>
        <w:t>ably request.</w:t>
      </w:r>
    </w:p>
    <w:p>
      <w:pPr>
        <w:pStyle w:val="Normal"/>
        <w:spacing w:lineRule="exact" w:line="235"/>
        <w:jc w:val="both"/>
        <w:rPr/>
      </w:pPr>
      <w:r>
        <w:rPr/>
      </w:r>
    </w:p>
    <w:p>
      <w:pPr>
        <w:pStyle w:val="Normal"/>
        <w:spacing w:lineRule="exact" w:line="235"/>
        <w:ind w:start="720" w:end="0"/>
        <w:jc w:val="both"/>
        <w:rPr/>
      </w:pPr>
      <w:r>
        <w:rPr/>
        <w:tab/>
        <w:t>(c)</w:t>
        <w:tab/>
      </w:r>
      <w:r>
        <w:rPr>
          <w:i/>
          <w:iCs/>
        </w:rPr>
        <w:t>Preservation of Corporate Existence, Etc</w:t>
      </w:r>
      <w:r>
        <w:rPr/>
        <w:t xml:space="preserve">.  Preserve and maintain its legal existence, rights (charter, if applicable, and statutory) and franchises; provided, however, that this Section 4.01(c) shall not apply to any transactions or matters permitted by Section 4.02 or to the termination of rights or franchises of the Guarantor pursuant to any lease, sale, transfer or other disposition of assets by the Guarantor, and provided, further, that the Guarantor shall not be required to preserve any right or franchise if the Guarantor shall determine that the preservation thereof is no longer desirable in the conduct of the business of the Guarantor and that the loss thereof is not disadvantageous in any material respect to the Beneficiary.  </w:t>
      </w:r>
    </w:p>
    <w:p>
      <w:pPr>
        <w:pStyle w:val="Normal"/>
        <w:spacing w:lineRule="exact" w:line="235"/>
        <w:jc w:val="both"/>
        <w:rPr/>
      </w:pPr>
      <w:r>
        <w:rPr/>
      </w:r>
    </w:p>
    <w:p>
      <w:pPr>
        <w:pStyle w:val="Normal"/>
        <w:spacing w:lineRule="exact" w:line="235"/>
        <w:ind w:start="720" w:end="0"/>
        <w:jc w:val="both"/>
        <w:rPr/>
      </w:pPr>
      <w:r>
        <w:rPr/>
        <w:tab/>
        <w:t>(d)</w:t>
        <w:tab/>
      </w:r>
      <w:r>
        <w:rPr>
          <w:i/>
          <w:iCs/>
        </w:rPr>
        <w:t>Ownership of ENAC</w:t>
      </w:r>
      <w:r>
        <w:rPr/>
        <w:t>.  Continue to be the direct or indirect beneficial owner of a majority of the issued and outstanding shares of the capital stock of ENAC, except that the Guarantor may directly or indirectly own 50% or less of the issued and outstanding shares of the capital stock of ENAC if and so long as the business of ENAC is operated and the assets of ENAC are managed by the Guarantor or a Subsidiary in accordance with an operating and management agreement in form and substance to the reasonable satisfaction of the Beneficiary.</w:t>
      </w:r>
    </w:p>
    <w:p>
      <w:pPr>
        <w:pStyle w:val="Normal"/>
        <w:spacing w:lineRule="exact" w:line="235"/>
        <w:jc w:val="both"/>
        <w:rPr/>
      </w:pPr>
      <w:r>
        <w:rPr/>
      </w:r>
    </w:p>
    <w:p>
      <w:pPr>
        <w:pStyle w:val="Normal"/>
        <w:spacing w:lineRule="exact" w:line="235"/>
        <w:ind w:start="720" w:end="0"/>
        <w:jc w:val="both"/>
        <w:rPr/>
      </w:pPr>
      <w:r>
        <w:rPr/>
        <w:tab/>
        <w:t>(e)</w:t>
        <w:tab/>
      </w:r>
      <w:r>
        <w:rPr>
          <w:i/>
          <w:iCs/>
        </w:rPr>
        <w:t>Negative Pledge</w:t>
      </w:r>
      <w:r>
        <w:rPr/>
        <w:t>.  Perform and comply with in all respects Section 1007 of the Enron Indenture (as modified for purposes hereof as set forth in the proviso to the next sentence hereof).  For the purposes of this Section 4.01(e), Section 1007, and the definitions of all terms defined in the Enron Indenture and used in or otherwise applicable to such Section 1007, are hereby incorporated in this Guaranty by reference as if such provisions and definitions were set forth in full herein; provided, however, that solely for the purposes of this Section 4.01(e) the word "Securities" as used in the Enron Indenture shall refer solely to the Obligations, the word "Company" used therein shall mean the Guarantor, the phrase "this Section 1007" used therein shall mean "this Section 4.01(e)," and the word "Trustee" used therein shall refer solely to the "Beneficiary."</w:t>
      </w:r>
    </w:p>
    <w:p>
      <w:pPr>
        <w:pStyle w:val="Normal"/>
        <w:spacing w:lineRule="exact" w:line="235"/>
        <w:jc w:val="both"/>
        <w:rPr/>
      </w:pPr>
      <w:r>
        <w:rPr/>
      </w:r>
    </w:p>
    <w:p>
      <w:pPr>
        <w:pStyle w:val="Normal"/>
        <w:spacing w:lineRule="exact" w:line="235"/>
        <w:jc w:val="both"/>
        <w:rPr/>
      </w:pPr>
      <w:r>
        <w:rPr/>
        <w:tab/>
        <w:t>4.02</w:t>
        <w:tab/>
      </w:r>
      <w:r>
        <w:rPr>
          <w:b/>
          <w:bCs/>
          <w:i/>
          <w:iCs/>
        </w:rPr>
        <w:t>Negative Covenant</w:t>
      </w:r>
      <w:r>
        <w:rPr/>
        <w:t>.  The Guarantor covenants and agrees that, so long as any part of the Obligations shall remain unpaid, the Guarantor will not, unless the Beneficiary shall otherwise consent in writing, merge or consolidate with or into, any Person, unless (a) the Guarantor is the survivor or (b) the surviving Person, if not the Guarantor, is organized under the laws of the United States or a state thereof and assumes all obligations of the Guarantor under this Agreement, provided, in each case that immediately after giving effect to such proposed transaction, no Event of Default or Trigger Event or event which, with the giving of notice or the lapse of time, or both, would constitute an Event of Default or Trigger Event would exist or result.</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V</w:t>
      </w:r>
    </w:p>
    <w:p>
      <w:pPr>
        <w:pStyle w:val="Normal"/>
        <w:keepNext w:val="true"/>
        <w:keepLines/>
        <w:spacing w:lineRule="exact" w:line="235"/>
        <w:jc w:val="center"/>
        <w:rPr>
          <w:b/>
          <w:bCs/>
        </w:rPr>
      </w:pPr>
      <w:r>
        <w:rPr>
          <w:b/>
          <w:bCs/>
        </w:rPr>
        <w:t>EVENTS OF DEFAULT</w:t>
      </w:r>
    </w:p>
    <w:p>
      <w:pPr>
        <w:pStyle w:val="Normal"/>
        <w:keepNext w:val="true"/>
        <w:keepLines/>
        <w:spacing w:lineRule="exact" w:line="235"/>
        <w:jc w:val="both"/>
        <w:rPr/>
      </w:pPr>
      <w:r>
        <w:rPr/>
      </w:r>
    </w:p>
    <w:p>
      <w:pPr>
        <w:pStyle w:val="Normal"/>
        <w:keepNext w:val="true"/>
        <w:keepLines/>
        <w:spacing w:lineRule="exact" w:line="235"/>
        <w:jc w:val="both"/>
        <w:rPr/>
      </w:pPr>
      <w:r>
        <w:rPr/>
        <w:tab/>
        <w:t>5.01</w:t>
        <w:tab/>
      </w:r>
      <w:r>
        <w:rPr>
          <w:b/>
          <w:bCs/>
          <w:i/>
          <w:iCs/>
        </w:rPr>
        <w:t>Events of Default</w:t>
      </w:r>
      <w:r>
        <w:rPr/>
        <w:t xml:space="preserve">.  An </w:t>
      </w:r>
      <w:r>
        <w:rPr>
          <w:i/>
          <w:iCs/>
        </w:rPr>
        <w:t>"Event of Default"</w:t>
      </w:r>
      <w:r>
        <w:rPr/>
        <w:t xml:space="preserve"> shall exist if any of the following events shall occur and be continuing:</w:t>
      </w:r>
    </w:p>
    <w:p>
      <w:pPr>
        <w:pStyle w:val="Normal"/>
        <w:keepLines/>
        <w:spacing w:lineRule="exact" w:line="235"/>
        <w:jc w:val="both"/>
        <w:rPr/>
      </w:pPr>
      <w:r>
        <w:rPr/>
      </w:r>
    </w:p>
    <w:p>
      <w:pPr>
        <w:pStyle w:val="Normal"/>
        <w:spacing w:lineRule="exact" w:line="235"/>
        <w:ind w:start="720" w:end="0"/>
        <w:jc w:val="both"/>
        <w:rPr/>
      </w:pPr>
      <w:r>
        <w:rPr/>
        <w:tab/>
        <w:t>(a)</w:t>
        <w:tab/>
        <w:t>Any representation or warranty made by the Guarantor under or in connection with this Agreement shall prove to have been incorrect in any material respect when made and such materiality is continuing; or</w:t>
      </w:r>
    </w:p>
    <w:p>
      <w:pPr>
        <w:pStyle w:val="Normal"/>
        <w:spacing w:lineRule="exact" w:line="235"/>
        <w:jc w:val="both"/>
        <w:rPr/>
      </w:pPr>
      <w:r>
        <w:rPr/>
      </w:r>
    </w:p>
    <w:p>
      <w:pPr>
        <w:pStyle w:val="Normal"/>
        <w:spacing w:lineRule="exact" w:line="235"/>
        <w:ind w:start="720" w:end="0"/>
        <w:jc w:val="both"/>
        <w:rPr/>
      </w:pPr>
      <w:r>
        <w:rPr/>
        <w:tab/>
        <w:t>(b)</w:t>
        <w:tab/>
        <w:t>The Guarantor shall fail to perform or observe any material term, covenant or agreement contained in this Agreement on its part to be performed or observed if such failure shall remain unremedied for 30 days after written notice thereof shall have been given to the Guarantor by the Beneficiary provided that such grace period shall not apply to Guarantor's payment obligations under Section 2.01 (but without prejudice to the demand notice and payment provisions of Section 2.01); or</w:t>
      </w:r>
    </w:p>
    <w:p>
      <w:pPr>
        <w:pStyle w:val="Normal"/>
        <w:spacing w:lineRule="exact" w:line="235"/>
        <w:jc w:val="both"/>
        <w:rPr/>
      </w:pPr>
      <w:r>
        <w:rPr/>
      </w:r>
    </w:p>
    <w:p>
      <w:pPr>
        <w:pStyle w:val="Normal"/>
        <w:spacing w:lineRule="exact" w:line="235"/>
        <w:ind w:start="720" w:end="0"/>
        <w:jc w:val="both"/>
        <w:rPr/>
      </w:pPr>
      <w:r>
        <w:rPr/>
        <w:tab/>
        <w:t>(c)</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w:t>
        <w:softHyphen/>
        <w:t>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(c); or</w:t>
      </w:r>
    </w:p>
    <w:p>
      <w:pPr>
        <w:pStyle w:val="Normal"/>
        <w:spacing w:lineRule="exact" w:line="235"/>
        <w:jc w:val="both"/>
        <w:rPr/>
      </w:pPr>
      <w:r>
        <w:rPr/>
      </w:r>
    </w:p>
    <w:p>
      <w:pPr>
        <w:pStyle w:val="Normal"/>
        <w:spacing w:lineRule="exact" w:line="235"/>
        <w:ind w:start="720" w:end="0"/>
        <w:jc w:val="both"/>
        <w:rPr/>
      </w:pPr>
      <w:r>
        <w:rPr/>
        <w:tab/>
        <w:t>(d)</w:t>
        <w:tab/>
        <w:t>Any provision of this Agreement after execution and delivery thereof for any reason is not or ceases to be valid and binding on the Guarantor, or the Guarantor shall so state in writing; or</w:t>
      </w:r>
    </w:p>
    <w:p>
      <w:pPr>
        <w:pStyle w:val="Normal"/>
        <w:spacing w:lineRule="exact" w:line="235"/>
        <w:jc w:val="both"/>
        <w:rPr/>
      </w:pPr>
      <w:r>
        <w:rPr/>
      </w:r>
    </w:p>
    <w:p>
      <w:pPr>
        <w:pStyle w:val="Normal"/>
        <w:spacing w:lineRule="exact" w:line="235"/>
        <w:ind w:start="720" w:end="0"/>
        <w:jc w:val="both"/>
        <w:rPr/>
      </w:pPr>
      <w:r>
        <w:rPr/>
        <w:tab/>
        <w:t>(e)</w:t>
        <w:tab/>
        <w:t>The Guarantor or any of its Principal Subsidiaries shall (i) fail to pay any principal of or premium or interest on any Debt (other than Debt described in clause (iii) of the definition of Debt in the Margin Agreement) which is outstanding in the principal amount of at least $100,000,000 in the aggregate, of the Guarantor or such Principal Subsidiary (as the case may be), when the same becomes due and payable (whether by scheduled maturity, required prepayment, acceleration, demand or other otherwise), and such failure shall continue after the applicable grace period, if any, specified in the agreement or instrument relating to such Debt; or any other event shall occur or condition shall exist under any agreement or instrument relating to any such Debt and shall continue after the applicable grace period, if any, specified in such agreement or instrument, if the effect of such event or condition is to accelerate the maturity of such Debt; or any such Debt shall be declared to be due and payable, or required to be prepaid (other than by a regularly scheduled required prepayment or as a result of the giving of notice of a voluntary prepayment), prior to the stated maturity thereof, or (ii) with respect to Debt described in clause (iii) of the definition of Debt in the Margin Agreement, fail to pay any such Debt which is outstanding in the principal amount of at least $100,000,000 in the aggregate, of the Guarantor or such Principal Subsidiary (as the case may be), when the same becomes due and payable and such failure shall continue after the applicable grace period, if any, specified in the agreement or instrument relating to such Debt.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VI</w:t>
      </w:r>
    </w:p>
    <w:p>
      <w:pPr>
        <w:pStyle w:val="Normal"/>
        <w:spacing w:lineRule="exact" w:line="235"/>
        <w:jc w:val="center"/>
        <w:rPr>
          <w:b/>
          <w:bCs/>
        </w:rPr>
      </w:pPr>
      <w:r>
        <w:rPr>
          <w:b/>
          <w:bCs/>
        </w:rPr>
        <w:t>MISCELLANEOUS</w:t>
      </w:r>
    </w:p>
    <w:p>
      <w:pPr>
        <w:pStyle w:val="Normal"/>
        <w:spacing w:lineRule="exact" w:line="235"/>
        <w:jc w:val="both"/>
        <w:rPr/>
      </w:pPr>
      <w:r>
        <w:rPr/>
      </w:r>
    </w:p>
    <w:p>
      <w:pPr>
        <w:pStyle w:val="Normal"/>
        <w:spacing w:lineRule="exact" w:line="235"/>
        <w:jc w:val="both"/>
        <w:rPr/>
      </w:pPr>
      <w:r>
        <w:rPr/>
        <w:tab/>
        <w:t>6.01</w:t>
        <w:tab/>
      </w:r>
      <w:r>
        <w:rPr>
          <w:b/>
          <w:bCs/>
          <w:i/>
          <w:iCs/>
        </w:rPr>
        <w:t>Amendments, Etc.</w:t>
      </w:r>
      <w:r>
        <w:rPr/>
        <w:t xml:space="preserve">  No amendment or waiver of any provision of this Agreement nor consent to any departure by the Guarantor therefrom shall in any event be effective unless the same shall be in writing and signed by the Guarantor and Beneficiary.</w:t>
      </w:r>
    </w:p>
    <w:p>
      <w:pPr>
        <w:pStyle w:val="Normal"/>
        <w:spacing w:lineRule="exact" w:line="235"/>
        <w:jc w:val="both"/>
        <w:rPr/>
      </w:pPr>
      <w:r>
        <w:rPr/>
      </w:r>
    </w:p>
    <w:p>
      <w:pPr>
        <w:pStyle w:val="Normal"/>
        <w:spacing w:lineRule="exact" w:line="235"/>
        <w:jc w:val="both"/>
        <w:rPr/>
      </w:pPr>
      <w:r>
        <w:rPr/>
        <w:tab/>
        <w:t>6.02</w:t>
        <w:tab/>
      </w:r>
      <w:r>
        <w:rPr>
          <w:b/>
          <w:bCs/>
          <w:i/>
          <w:iCs/>
        </w:rPr>
        <w:t>Addresses for Notices</w:t>
      </w:r>
      <w:r>
        <w:rPr/>
        <w:t xml:space="preserve">.  All notices and other communications provided for hereunder shall be in writing and mailed, </w:t>
        <w:softHyphen/>
        <w:t>delivered or telecopied:</w:t>
      </w:r>
    </w:p>
    <w:p>
      <w:pPr>
        <w:pStyle w:val="Normal"/>
        <w:keepNext w:val="true"/>
        <w:spacing w:lineRule="exact" w:line="235"/>
        <w:jc w:val="both"/>
        <w:rPr/>
      </w:pPr>
      <w:r>
        <w:rPr/>
      </w:r>
    </w:p>
    <w:p>
      <w:pPr>
        <w:pStyle w:val="Normal"/>
        <w:keepNext w:val="true"/>
        <w:spacing w:lineRule="exact" w:line="235"/>
        <w:jc w:val="both"/>
        <w:rPr/>
      </w:pPr>
      <w:r>
        <w:rPr/>
        <w:tab/>
        <w:t>If to the Guarantor, to:</w:t>
      </w:r>
    </w:p>
    <w:p>
      <w:pPr>
        <w:pStyle w:val="Normal"/>
        <w:keepNext w:val="true"/>
        <w:spacing w:lineRule="exact" w:line="235"/>
        <w:jc w:val="both"/>
        <w:rPr/>
      </w:pPr>
      <w:r>
        <w:rPr/>
      </w:r>
    </w:p>
    <w:p>
      <w:pPr>
        <w:pStyle w:val="Normal"/>
        <w:keepNext w:val="true"/>
        <w:spacing w:lineRule="exact" w:line="235"/>
        <w:jc w:val="both"/>
        <w:rPr/>
      </w:pPr>
      <w:r>
        <w:rPr/>
        <w:tab/>
        <w:tab/>
        <w:t>Enron Corp.</w:t>
      </w:r>
    </w:p>
    <w:p>
      <w:pPr>
        <w:pStyle w:val="Normal"/>
        <w:keepNext w:val="true"/>
        <w:spacing w:lineRule="exact" w:line="235"/>
        <w:jc w:val="both"/>
        <w:rPr/>
      </w:pPr>
      <w:r>
        <w:rPr/>
        <w:tab/>
        <w:tab/>
        <w:t>1400 Smith Street</w:t>
      </w:r>
    </w:p>
    <w:p>
      <w:pPr>
        <w:pStyle w:val="Normal"/>
        <w:keepNext w:val="true"/>
        <w:spacing w:lineRule="exact" w:line="235"/>
        <w:jc w:val="both"/>
        <w:rPr/>
      </w:pPr>
      <w:r>
        <w:rPr/>
        <w:tab/>
        <w:tab/>
        <w:t>Houston, Texas 77002</w:t>
      </w:r>
    </w:p>
    <w:p>
      <w:pPr>
        <w:pStyle w:val="Normal"/>
        <w:keepNext w:val="true"/>
        <w:spacing w:lineRule="exact" w:line="235"/>
        <w:jc w:val="both"/>
        <w:rPr/>
      </w:pPr>
      <w:r>
        <w:rPr/>
        <w:tab/>
        <w:tab/>
        <w:t xml:space="preserve">Attention: </w:t>
        <w:tab/>
        <w:t>Vice President, Finance and Treasurer</w:t>
      </w:r>
    </w:p>
    <w:p>
      <w:pPr>
        <w:pStyle w:val="Normal"/>
        <w:keepLines/>
        <w:spacing w:lineRule="exact" w:line="235"/>
        <w:jc w:val="both"/>
        <w:rPr/>
      </w:pPr>
      <w:r>
        <w:rPr/>
        <w:tab/>
        <w:tab/>
        <w:t>Telecopy No.:</w:t>
        <w:tab/>
        <w:t>(713) 646</w:t>
        <w:noBreakHyphen/>
        <w:t>3422</w:t>
      </w:r>
    </w:p>
    <w:p>
      <w:pPr>
        <w:pStyle w:val="Normal"/>
        <w:keepNext w:val="true"/>
        <w:spacing w:lineRule="exact" w:line="235"/>
        <w:jc w:val="both"/>
        <w:rPr/>
      </w:pPr>
      <w:r>
        <w:rPr/>
      </w:r>
    </w:p>
    <w:p>
      <w:pPr>
        <w:pStyle w:val="Normal"/>
        <w:keepNext w:val="true"/>
        <w:spacing w:lineRule="exact" w:line="235"/>
        <w:jc w:val="both"/>
        <w:rPr/>
      </w:pPr>
      <w:r>
        <w:rPr/>
        <w:tab/>
        <w:t>If to the Beneficiary, to:</w:t>
      </w:r>
    </w:p>
    <w:p>
      <w:pPr>
        <w:pStyle w:val="Normal"/>
        <w:keepNext w:val="true"/>
        <w:spacing w:lineRule="exact" w:line="235"/>
        <w:jc w:val="both"/>
        <w:rPr/>
      </w:pPr>
      <w:r>
        <w:rPr/>
      </w:r>
    </w:p>
    <w:p>
      <w:pPr>
        <w:pStyle w:val="Normal"/>
        <w:keepNext w:val="true"/>
        <w:spacing w:lineRule="exact" w:line="235"/>
        <w:jc w:val="both"/>
        <w:rPr/>
      </w:pPr>
      <w:r>
        <w:rPr/>
        <w:tab/>
        <w:tab/>
        <w:t>Mahonia Natural Gas Limited</w:t>
      </w:r>
    </w:p>
    <w:p>
      <w:pPr>
        <w:pStyle w:val="Normal"/>
        <w:keepNext w:val="true"/>
        <w:spacing w:lineRule="exact" w:line="235"/>
        <w:jc w:val="both"/>
        <w:rPr/>
      </w:pPr>
      <w:r>
        <w:rPr/>
        <w:tab/>
        <w:tab/>
        <w:t>22 Grenville Street</w:t>
      </w:r>
    </w:p>
    <w:p>
      <w:pPr>
        <w:pStyle w:val="Normal"/>
        <w:keepNext w:val="true"/>
        <w:spacing w:lineRule="exact" w:line="235"/>
        <w:jc w:val="both"/>
        <w:rPr/>
      </w:pPr>
      <w:r>
        <w:rPr/>
        <w:tab/>
        <w:tab/>
        <w:t>St. Helier</w:t>
      </w:r>
    </w:p>
    <w:p>
      <w:pPr>
        <w:pStyle w:val="Normal"/>
        <w:keepLines/>
        <w:spacing w:lineRule="exact" w:line="235"/>
        <w:jc w:val="both"/>
        <w:rPr/>
      </w:pPr>
      <w:r>
        <w:rPr/>
        <w:tab/>
        <w:tab/>
        <w:t>Jersey, Channel Islands JE4 8PX</w:t>
      </w:r>
    </w:p>
    <w:p>
      <w:pPr>
        <w:pStyle w:val="Normal"/>
        <w:spacing w:lineRule="exact" w:line="235"/>
        <w:jc w:val="both"/>
        <w:rPr/>
      </w:pPr>
      <w:r>
        <w:rPr/>
        <w:tab/>
        <w:tab/>
        <w:t>Attention:</w:t>
        <w:tab/>
        <w:t>Ian James</w:t>
      </w:r>
    </w:p>
    <w:p>
      <w:pPr>
        <w:pStyle w:val="Normal"/>
        <w:spacing w:lineRule="exact" w:line="235"/>
        <w:jc w:val="both"/>
        <w:rPr/>
      </w:pPr>
      <w:r>
        <w:rPr/>
        <w:tab/>
        <w:tab/>
        <w:t>Telecopy No.:</w:t>
        <w:tab/>
        <w:t>44-1534-609333</w:t>
      </w:r>
    </w:p>
    <w:p>
      <w:pPr>
        <w:pStyle w:val="Normal"/>
        <w:spacing w:lineRule="exact" w:line="235"/>
        <w:jc w:val="both"/>
        <w:rPr/>
      </w:pPr>
      <w:r>
        <w:rPr/>
        <w:tab/>
        <w:tab/>
        <w:t>Phone No.:</w:t>
        <w:tab/>
        <w:t>44-1534-609000</w:t>
      </w:r>
    </w:p>
    <w:p>
      <w:pPr>
        <w:pStyle w:val="Normal"/>
        <w:spacing w:lineRule="exact" w:line="235"/>
        <w:jc w:val="both"/>
        <w:rPr/>
      </w:pPr>
      <w:r>
        <w:rPr/>
      </w:r>
    </w:p>
    <w:p>
      <w:pPr>
        <w:pStyle w:val="Normal"/>
        <w:keepNext w:val="true"/>
        <w:spacing w:lineRule="exact" w:line="235"/>
        <w:jc w:val="both"/>
        <w:rPr/>
      </w:pPr>
      <w:r>
        <w:rPr/>
        <w:tab/>
        <w:tab/>
        <w:tab/>
        <w:t>with copy to:</w:t>
      </w:r>
    </w:p>
    <w:p>
      <w:pPr>
        <w:pStyle w:val="Normal"/>
        <w:keepNext w:val="true"/>
        <w:spacing w:lineRule="exact" w:line="235"/>
        <w:jc w:val="both"/>
        <w:rPr/>
      </w:pPr>
      <w:r>
        <w:rPr/>
      </w:r>
    </w:p>
    <w:p>
      <w:pPr>
        <w:pStyle w:val="Normal"/>
        <w:keepNext w:val="true"/>
        <w:spacing w:lineRule="exact" w:line="235"/>
        <w:jc w:val="both"/>
        <w:rPr/>
      </w:pPr>
      <w:r>
        <w:rPr/>
        <w:tab/>
        <w:tab/>
        <w:tab/>
        <w:tab/>
        <w:t>The Chase Manhattan Bank</w:t>
      </w:r>
    </w:p>
    <w:p>
      <w:pPr>
        <w:pStyle w:val="Normal"/>
        <w:keepNext w:val="true"/>
        <w:spacing w:lineRule="exact" w:line="235"/>
        <w:jc w:val="both"/>
        <w:rPr/>
      </w:pPr>
      <w:r>
        <w:rPr/>
        <w:tab/>
        <w:tab/>
        <w:tab/>
        <w:tab/>
        <w:t>270 Park Avenue, 40th Floor</w:t>
      </w:r>
    </w:p>
    <w:p>
      <w:pPr>
        <w:pStyle w:val="Normal"/>
        <w:keepNext w:val="true"/>
        <w:spacing w:lineRule="exact" w:line="235"/>
        <w:jc w:val="both"/>
        <w:rPr/>
      </w:pPr>
      <w:r>
        <w:rPr/>
        <w:tab/>
        <w:tab/>
        <w:tab/>
        <w:tab/>
        <w:t>New York, New York 10017</w:t>
      </w:r>
    </w:p>
    <w:p>
      <w:pPr>
        <w:pStyle w:val="Normal"/>
        <w:keepLines/>
        <w:spacing w:lineRule="exact" w:line="235"/>
        <w:jc w:val="both"/>
        <w:rPr/>
      </w:pPr>
      <w:r>
        <w:rPr/>
        <w:tab/>
        <w:tab/>
        <w:tab/>
        <w:tab/>
        <w:t xml:space="preserve">Attention:  </w:t>
        <w:tab/>
        <w:t>Legal Department</w:t>
      </w:r>
    </w:p>
    <w:p>
      <w:pPr>
        <w:pStyle w:val="Normal"/>
        <w:spacing w:lineRule="exact" w:line="235"/>
        <w:jc w:val="both"/>
        <w:rPr/>
      </w:pPr>
      <w:r>
        <w:rPr/>
        <w:tab/>
        <w:tab/>
        <w:tab/>
        <w:tab/>
        <w:t>Telecopy No.:</w:t>
        <w:tab/>
        <w:t>(212) 270-7368</w:t>
      </w:r>
    </w:p>
    <w:p>
      <w:pPr>
        <w:pStyle w:val="Normal"/>
        <w:spacing w:lineRule="exact" w:line="235"/>
        <w:jc w:val="both"/>
        <w:rPr/>
      </w:pPr>
      <w:r>
        <w:rPr/>
      </w:r>
    </w:p>
    <w:p>
      <w:pPr>
        <w:pStyle w:val="Normal"/>
        <w:spacing w:lineRule="exact" w:line="235"/>
        <w:jc w:val="both"/>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6.02.</w:t>
      </w:r>
    </w:p>
    <w:p>
      <w:pPr>
        <w:pStyle w:val="Normal"/>
        <w:spacing w:lineRule="exact" w:line="235"/>
        <w:jc w:val="both"/>
        <w:rPr/>
      </w:pPr>
      <w:r>
        <w:rPr/>
      </w:r>
    </w:p>
    <w:p>
      <w:pPr>
        <w:pStyle w:val="Normal"/>
        <w:spacing w:lineRule="exact" w:line="235"/>
        <w:jc w:val="both"/>
        <w:rPr/>
      </w:pPr>
      <w:r>
        <w:rPr/>
        <w:tab/>
        <w:t>6.03</w:t>
        <w:tab/>
      </w:r>
      <w:r>
        <w:rPr>
          <w:b/>
          <w:bCs/>
          <w:i/>
          <w:iCs/>
        </w:rPr>
        <w:t>No Waiver; Cumulative Rights and Remedies</w:t>
      </w:r>
      <w:r>
        <w:rPr/>
        <w:t>.  No failure on the part of the Beneficiary to exercise, and no delay in exercising, any right hereunder shall operate as a waiver thereof; nor shall any single or partial exercise of any right hereunder preclude any other or further exercise thereof or the exercise of any other right.  Each of the rights and remedies herein provided are cumulative and not exclusive of any rights and remedies provided by law or in any other documents.</w:t>
      </w:r>
    </w:p>
    <w:p>
      <w:pPr>
        <w:pStyle w:val="Normal"/>
        <w:spacing w:lineRule="exact" w:line="235"/>
        <w:jc w:val="both"/>
        <w:rPr/>
      </w:pPr>
      <w:r>
        <w:rPr/>
      </w:r>
    </w:p>
    <w:p>
      <w:pPr>
        <w:pStyle w:val="Normal"/>
        <w:spacing w:lineRule="exact" w:line="235"/>
        <w:jc w:val="both"/>
        <w:rPr/>
      </w:pPr>
      <w:r>
        <w:rPr/>
        <w:tab/>
        <w:t>6.04</w:t>
        <w:tab/>
      </w:r>
      <w:r>
        <w:rPr>
          <w:b/>
          <w:bCs/>
          <w:i/>
          <w:iCs/>
        </w:rPr>
        <w:t>Right of Set</w:t>
        <w:noBreakHyphen/>
        <w:t>Off</w:t>
      </w:r>
      <w:r>
        <w:rPr/>
        <w:t>.  Upon the occurrence and during the continuance of any Event of Default hereunder, Beneficiary is hereby authorized at any time and from time to time, to the fullest extent permitted by law, to set off and apply any and all deposits (general or special, time or demand, provisional or final) at any time held and other indebtedness at any time owing by Beneficiary to or for the credit or the account of the Guarantor against any and all of the obligations of the Guarantor under this Agreement which are then liquidated and matured.  Beneficiary agrees promptly to notify the Guarantor after any such set</w:t>
        <w:softHyphen/>
        <w:t>-off and application made by Beneficiary, provided that the failure to give such notice shall not affect the validity of such set</w:t>
        <w:noBreakHyphen/>
        <w:t>off and application.  The rights of Beneficiary under this Section are in addition to other rights and remedies (including, without limita</w:t>
        <w:softHyphen/>
        <w:t>tion, other rights of set</w:t>
        <w:noBreakHyphen/>
        <w:t>off) which Beneficiary may have.</w:t>
      </w:r>
    </w:p>
    <w:p>
      <w:pPr>
        <w:pStyle w:val="Normal"/>
        <w:spacing w:lineRule="exact" w:line="235"/>
        <w:jc w:val="both"/>
        <w:rPr/>
      </w:pPr>
      <w:r>
        <w:rPr/>
      </w:r>
    </w:p>
    <w:p>
      <w:pPr>
        <w:pStyle w:val="Normal"/>
        <w:spacing w:lineRule="exact" w:line="235"/>
        <w:jc w:val="both"/>
        <w:rPr/>
      </w:pPr>
      <w:r>
        <w:rPr/>
        <w:tab/>
        <w:t>6.05</w:t>
        <w:tab/>
      </w:r>
      <w:r>
        <w:rPr>
          <w:b/>
          <w:bCs/>
          <w:i/>
          <w:iCs/>
        </w:rPr>
        <w:t>Continuing Guaranty</w:t>
      </w:r>
      <w:r>
        <w:rPr/>
        <w:t>.  The obligations of the Guarantor under Article II of this Agreement shall be continuing and (a) remain in full force and effect until indefeasible payment in full of the Obligations and all other amounts payable under this Agreement and the Forward Sale Contract, (b) be binding upon the Guarantor, its successors and assigns, and (c) inure to the benefit of and be enforce</w:t>
        <w:softHyphen/>
        <w:t>able by the Beneficiary and its succes</w:t>
        <w:softHyphen/>
        <w:t>sors, transferees and assigns (including any person holding a security interest in the Beneficiary's rights hereunder), and accordingly, "Beneficiary" shall be construed to include Beneficiary's successors, transferees, and assigns and holders of such security interests.</w:t>
      </w:r>
    </w:p>
    <w:p>
      <w:pPr>
        <w:pStyle w:val="Normal"/>
        <w:spacing w:lineRule="exact" w:line="235"/>
        <w:jc w:val="both"/>
        <w:rPr/>
      </w:pPr>
      <w:r>
        <w:rPr/>
      </w:r>
    </w:p>
    <w:p>
      <w:pPr>
        <w:pStyle w:val="Normal"/>
        <w:spacing w:lineRule="exact" w:line="235"/>
        <w:jc w:val="both"/>
        <w:rPr/>
      </w:pPr>
      <w:r>
        <w:rPr/>
        <w:tab/>
        <w:t>6.06</w:t>
        <w:tab/>
      </w:r>
      <w:r>
        <w:rPr>
          <w:b/>
          <w:bCs/>
          <w:i/>
          <w:iCs/>
        </w:rPr>
        <w:t>Confidentiality</w:t>
      </w:r>
      <w:r>
        <w:rPr/>
        <w:t>.  The Beneficiary by accepting the benefits of this Agreement, agrees that it will use its reasonable efforts not to disclose without the prior consent of the Guarantor (other than to its employ</w:t>
        <w:softHyphen/>
        <w:t>ees, auditors or counsel or its holding or parent company if the Beneficiary in its sole discretion determines that any such party should have access to such information) any information with respect to the Guarantor or its Subsidiaries that is furnished pursuant to this Agreement or the Forward Sale Contract and that is designated by the Guarantor or ENAC to the Beneficiary in writing as confidential; provided, however, that the Beneficiary may disclose any such information (a) as has become generally available to the public, (b) as may be required or appropriate in response to any summons or subpoena or in connection with any litigation, (c) in order to comply with any law, order, regulation or ruling applicable to the Beneficiary or (d) to any person in whose favor the Beneficiary is considering granting a security interest in its rights and benefits hereunder, provided such person assumes the confidentiality obligations hereunder.</w:t>
      </w:r>
    </w:p>
    <w:p>
      <w:pPr>
        <w:pStyle w:val="Normal"/>
        <w:spacing w:lineRule="exact" w:line="235"/>
        <w:jc w:val="both"/>
        <w:rPr/>
      </w:pPr>
      <w:r>
        <w:rPr/>
      </w:r>
    </w:p>
    <w:p>
      <w:pPr>
        <w:pStyle w:val="Normal"/>
        <w:spacing w:lineRule="exact" w:line="235"/>
        <w:jc w:val="both"/>
        <w:rPr/>
      </w:pPr>
      <w:r>
        <w:rPr/>
        <w:tab/>
        <w:t>6.07</w:t>
        <w:tab/>
      </w:r>
      <w:r>
        <w:rPr>
          <w:b/>
          <w:bCs/>
          <w:i/>
          <w:iCs/>
        </w:rPr>
        <w:t>Execution in Counterparts</w:t>
      </w:r>
      <w:r>
        <w:rPr/>
        <w:t>.  This Agreement may be executed in any number of counterparts, each of which when so executed shall be deemed to be an original and all of which taken together shall constitute one and the same agreement.</w:t>
      </w:r>
    </w:p>
    <w:p>
      <w:pPr>
        <w:pStyle w:val="Normal"/>
        <w:spacing w:lineRule="exact" w:line="235"/>
        <w:jc w:val="both"/>
        <w:rPr/>
      </w:pPr>
      <w:r>
        <w:rPr/>
      </w:r>
    </w:p>
    <w:p>
      <w:pPr>
        <w:pStyle w:val="Normal"/>
        <w:spacing w:lineRule="exact" w:line="235"/>
        <w:jc w:val="both"/>
        <w:rPr/>
      </w:pPr>
      <w:r>
        <w:rPr/>
        <w:tab/>
        <w:t>6.08</w:t>
        <w:tab/>
      </w:r>
      <w:r>
        <w:rPr>
          <w:b/>
          <w:bCs/>
          <w:i/>
          <w:iCs/>
        </w:rPr>
        <w:t>Governing Law</w:t>
      </w:r>
      <w:r>
        <w:rPr/>
        <w:t>.  This Agreement shall be governed by, and construed in accordance with, the laws of the State of New York, without giving effect to principles of conflicts of laws that would result in the application of the laws of another jurisdiction.</w:t>
      </w:r>
    </w:p>
    <w:p>
      <w:pPr>
        <w:pStyle w:val="Normal"/>
        <w:spacing w:lineRule="exact" w:line="235"/>
        <w:jc w:val="both"/>
        <w:rPr/>
      </w:pPr>
      <w:r>
        <w:rPr/>
      </w:r>
    </w:p>
    <w:p>
      <w:pPr>
        <w:pStyle w:val="Normal"/>
        <w:spacing w:lineRule="exact" w:line="235"/>
        <w:jc w:val="both"/>
        <w:rPr/>
      </w:pPr>
      <w:r>
        <w:rPr/>
        <w:tab/>
        <w:t>6.09</w:t>
        <w:tab/>
      </w:r>
      <w:r>
        <w:rPr>
          <w:b/>
          <w:bCs/>
          <w:i/>
          <w:iCs/>
        </w:rPr>
        <w:t>Third Party Beneficiaries</w:t>
      </w:r>
      <w:r>
        <w:rPr/>
        <w:t>.  There are no third-party beneficiaries to this Agreement.</w:t>
      </w:r>
    </w:p>
    <w:p>
      <w:pPr>
        <w:pStyle w:val="Normal"/>
        <w:spacing w:lineRule="exact" w:line="235"/>
        <w:jc w:val="both"/>
        <w:rPr/>
      </w:pPr>
      <w:r>
        <w:rPr/>
      </w:r>
    </w:p>
    <w:p>
      <w:pPr>
        <w:pStyle w:val="Normal"/>
        <w:spacing w:lineRule="exact" w:line="235"/>
        <w:jc w:val="both"/>
        <w:rPr/>
      </w:pPr>
      <w:r>
        <w:rPr/>
        <w:tab/>
        <w:t>6.10</w:t>
        <w:tab/>
      </w:r>
      <w:r>
        <w:rPr>
          <w:b/>
          <w:bCs/>
          <w:i/>
          <w:iCs/>
        </w:rPr>
        <w:t>Assignment</w:t>
      </w:r>
      <w:r>
        <w:rPr/>
        <w:t>.  Neither party may assign any rights or delegate any obligations hereunder without the prior written consent of the other party.  Without the consent of Guarantor, Beneficiary may assign this Agreement as security for any financing or hedging provided to Beneficiary.  Upon notice to Guarantor of any such assignment, Guarantor will agree to substitute the secured party for Beneficiary hereunder.</w:t>
      </w:r>
    </w:p>
    <w:p>
      <w:pPr>
        <w:pStyle w:val="Normal"/>
        <w:spacing w:lineRule="exact" w:line="235"/>
        <w:jc w:val="both"/>
        <w:rPr/>
      </w:pPr>
      <w:r>
        <w:rPr/>
      </w:r>
    </w:p>
    <w:p>
      <w:pPr>
        <w:pStyle w:val="Normal"/>
        <w:spacing w:lineRule="exact" w:line="235"/>
        <w:jc w:val="both"/>
        <w:rPr/>
      </w:pPr>
      <w:r>
        <w:rPr/>
        <w:t>[Remainder of Page Intentionally Left Blank]</w:t>
      </w:r>
      <w:r>
        <w:br w:type="page"/>
      </w:r>
    </w:p>
    <w:p>
      <w:pPr>
        <w:pStyle w:val="Normal"/>
        <w:keepNext w:val="true"/>
        <w:spacing w:lineRule="exact" w:line="235"/>
        <w:jc w:val="both"/>
        <w:rPr/>
      </w:pPr>
      <w:r>
        <w:rPr/>
      </w:r>
    </w:p>
    <w:p>
      <w:pPr>
        <w:pStyle w:val="Normal"/>
        <w:keepNext w:val="true"/>
        <w:spacing w:lineRule="exact" w:line="235"/>
        <w:jc w:val="both"/>
        <w:rPr/>
      </w:pPr>
      <w:r>
        <w:rPr/>
        <w:tab/>
        <w:t>IN WITNESS WHEREOF, the Guarantor has caused this Agreement to be duly executed and delivered by its officer thereunto duly authorized as of the date first above written.</w:t>
      </w:r>
    </w:p>
    <w:p>
      <w:pPr>
        <w:pStyle w:val="Normal"/>
        <w:keepNext w:val="true"/>
        <w:spacing w:lineRule="exact" w:line="235"/>
        <w:jc w:val="both"/>
        <w:rPr/>
      </w:pPr>
      <w:r>
        <w:rPr/>
      </w:r>
    </w:p>
    <w:p>
      <w:pPr>
        <w:pStyle w:val="Normal"/>
        <w:keepNext w:val="true"/>
        <w:spacing w:lineRule="exact" w:line="235"/>
        <w:jc w:val="both"/>
        <w:rPr/>
      </w:pPr>
      <w:r>
        <w:rPr/>
        <w:tab/>
        <w:tab/>
        <w:tab/>
        <w:tab/>
        <w:tab/>
        <w:tab/>
        <w:t>ENRON CORP.</w:t>
      </w:r>
    </w:p>
    <w:p>
      <w:pPr>
        <w:pStyle w:val="Normal"/>
        <w:keepNext w:val="true"/>
        <w:spacing w:lineRule="exact" w:line="235"/>
        <w:jc w:val="both"/>
        <w:rPr/>
      </w:pPr>
      <w:r>
        <w:rPr/>
      </w:r>
    </w:p>
    <w:p>
      <w:pPr>
        <w:pStyle w:val="Normal"/>
        <w:keepNext w:val="true"/>
        <w:spacing w:lineRule="exact" w:line="235"/>
        <w:jc w:val="both"/>
        <w:rPr/>
      </w:pPr>
      <w:r>
        <w:rPr/>
      </w:r>
    </w:p>
    <w:p>
      <w:pPr>
        <w:pStyle w:val="Normal"/>
        <w:keepNext w:val="true"/>
        <w:spacing w:lineRule="exact" w:line="235"/>
        <w:jc w:val="both"/>
        <w:rPr/>
      </w:pPr>
      <w:r>
        <w:rPr/>
        <w:tab/>
        <w:tab/>
        <w:tab/>
        <w:tab/>
        <w:tab/>
        <w:tab/>
        <w:t>By:______________________________________</w:t>
      </w:r>
    </w:p>
    <w:p>
      <w:pPr>
        <w:pStyle w:val="Normal"/>
        <w:keepNext w:val="true"/>
        <w:spacing w:lineRule="exact" w:line="235"/>
        <w:jc w:val="both"/>
        <w:rPr/>
      </w:pPr>
      <w:r>
        <w:rPr/>
        <w:tab/>
        <w:tab/>
        <w:tab/>
        <w:tab/>
        <w:tab/>
        <w:tab/>
        <w:t>Name:</w:t>
      </w:r>
      <w:r>
        <w:rPr>
          <w:u w:val="single"/>
        </w:rPr>
        <w:t>____________________________________</w:t>
      </w:r>
    </w:p>
    <w:p>
      <w:pPr>
        <w:pStyle w:val="Normal"/>
        <w:keepNext w:val="true"/>
        <w:spacing w:lineRule="exact" w:line="235"/>
        <w:jc w:val="both"/>
        <w:rPr/>
      </w:pPr>
      <w:r>
        <w:rPr/>
        <w:tab/>
        <w:tab/>
        <w:tab/>
        <w:tab/>
        <w:tab/>
        <w:tab/>
        <w:t>Title:</w:t>
      </w:r>
      <w:r>
        <w:rPr>
          <w:u w:val="single"/>
        </w:rPr>
        <w:t>_____________________________________</w:t>
      </w:r>
    </w:p>
    <w:p>
      <w:pPr>
        <w:pStyle w:val="Normal"/>
        <w:keepNext w:val="true"/>
        <w:keepLines/>
        <w:spacing w:lineRule="exact" w:line="235"/>
        <w:jc w:val="both"/>
        <w:rPr/>
      </w:pPr>
      <w:r>
        <w:rPr/>
      </w:r>
    </w:p>
    <w:p>
      <w:pPr>
        <w:pStyle w:val="Normal"/>
        <w:keepNext w:val="true"/>
        <w:keepLines/>
        <w:spacing w:lineRule="exact" w:line="235"/>
        <w:jc w:val="both"/>
        <w:rPr/>
      </w:pPr>
      <w:r>
        <w:rPr/>
        <w:t>ACCEPTED:</w:t>
      </w:r>
    </w:p>
    <w:p>
      <w:pPr>
        <w:pStyle w:val="Normal"/>
        <w:keepNext w:val="true"/>
        <w:keepLines/>
        <w:spacing w:lineRule="exact" w:line="235"/>
        <w:jc w:val="both"/>
        <w:rPr/>
      </w:pPr>
      <w:r>
        <w:fldChar w:fldCharType="begin"/>
      </w:r>
      <w:r>
        <w:rPr/>
        <w:instrText xml:space="preserve">ADVANCE \x 288</w:instrText>
      </w:r>
      <w:r>
        <w:rPr/>
      </w:r>
      <w:r>
        <w:rPr/>
        <w:fldChar w:fldCharType="separate"/>
      </w:r>
      <w:r>
        <w:rPr/>
      </w:r>
      <w:r/>
      <w:r>
        <w:rPr/>
        <w:fldChar w:fldCharType="end"/>
      </w:r>
      <w:r>
        <w:rPr/>
      </w:r>
    </w:p>
    <w:p>
      <w:pPr>
        <w:pStyle w:val="Normal"/>
        <w:keepNext w:val="true"/>
        <w:keepLines/>
        <w:spacing w:lineRule="exact" w:line="235"/>
        <w:jc w:val="both"/>
        <w:rPr/>
      </w:pPr>
      <w:r>
        <w:rPr/>
        <w:t>MAHONIA NATURAL GAS LIMITED</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both"/>
        <w:rPr/>
      </w:pPr>
      <w:r>
        <w:rPr/>
        <w:t>By:</w:t>
      </w:r>
      <w:r>
        <w:rPr>
          <w:u w:val="single"/>
        </w:rPr>
        <w:t>_______________________________</w:t>
      </w:r>
    </w:p>
    <w:p>
      <w:pPr>
        <w:pStyle w:val="Normal"/>
        <w:keepLines/>
        <w:spacing w:lineRule="exact" w:line="235"/>
        <w:jc w:val="both"/>
        <w:rPr/>
      </w:pPr>
      <w:r>
        <w:rPr/>
        <w:t>Name:</w:t>
      </w:r>
      <w:r>
        <w:rPr>
          <w:u w:val="single"/>
        </w:rPr>
        <w:t>____________________________</w:t>
      </w:r>
    </w:p>
    <w:p>
      <w:pPr>
        <w:pStyle w:val="Normal"/>
        <w:spacing w:lineRule="exact" w:line="235"/>
        <w:jc w:val="both"/>
        <w:rPr/>
      </w:pPr>
      <w:r>
        <w:rPr/>
        <w:t>Title:_____________________________</w:t>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VEBodyText"/>
        <w:spacing w:before="0" w:after="240"/>
        <w:rPr>
          <w:sz w:val="16"/>
        </w:rPr>
      </w:pPr>
      <w:r>
        <w:rPr>
          <w:sz w:val="16"/>
        </w:rPr>
        <w:fldChar w:fldCharType="begin"/>
      </w:r>
      <w:r>
        <w:rPr>
          <w:sz w:val="16"/>
        </w:rPr>
        <w:instrText xml:space="preserve"> FILENAME </w:instrText>
      </w:r>
      <w:r>
        <w:rPr>
          <w:sz w:val="16"/>
        </w:rPr>
        <w:fldChar w:fldCharType="separate"/>
      </w:r>
      <w:r>
        <w:rPr>
          <w:sz w:val="16"/>
        </w:rPr>
        <w:t>Houston_404942_34.DOC</w:t>
      </w:r>
      <w:r>
        <w:rPr>
          <w:sz w:val="16"/>
        </w:rPr>
        <w:fldChar w:fldCharType="end"/>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0</w:t>
    </w:r>
    <w:r>
      <w:rPr>
        <w:sz w:val="23"/>
        <w:szCs w:val="23"/>
      </w:rPr>
      <w:fldChar w:fldCharType="end"/>
    </w:r>
    <w:r>
      <w:rPr>
        <w:sz w:val="23"/>
        <w:szCs w:val="23"/>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11</w:t>
    </w:r>
    <w:r>
      <w:rPr>
        <w:sz w:val="23"/>
        <w:szCs w:val="23"/>
      </w:rPr>
      <w:fldChar w:fldCharType="end"/>
    </w:r>
    <w:r>
      <w:rPr>
        <w:sz w:val="23"/>
        <w:szCs w:val="23"/>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2000-12-19T18:06:00Z</dcterms:created>
  <dc:creator>Vinson &amp; Elkins L.L.P.</dc:creator>
  <dc:description/>
  <dc:language>en-CA</dc:language>
  <cp:lastModifiedBy>VE</cp:lastModifiedBy>
  <cp:lastPrinted>2000-12-15T14:56:00Z</cp:lastPrinted>
  <dcterms:modified xsi:type="dcterms:W3CDTF">2000-12-19T18:06:00Z</dcterms:modified>
  <cp:revision>2</cp:revision>
  <dc:subject/>
  <dc:title>ENRON GUARANTY</dc:title>
</cp:coreProperties>
</file>