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smallCaps/>
          <w:sz w:val="26"/>
        </w:rPr>
      </w:pPr>
      <w:r>
        <w:rPr>
          <w:b/>
          <w:i/>
          <w:smallCaps/>
          <w:sz w:val="26"/>
        </w:rPr>
        <w:t>Performance Guaranty;</w:t>
      </w:r>
    </w:p>
    <w:p>
      <w:pPr>
        <w:pStyle w:val="Normal"/>
        <w:jc w:val="end"/>
        <w:rPr>
          <w:b/>
          <w:i/>
          <w:i/>
          <w:smallCaps/>
          <w:sz w:val="26"/>
        </w:rPr>
      </w:pPr>
      <w:r>
        <w:rPr>
          <w:b/>
          <w:i/>
          <w:smallCaps/>
          <w:sz w:val="26"/>
        </w:rPr>
        <w:t xml:space="preserve">Limited Representations and Covenants, </w:t>
      </w:r>
    </w:p>
    <w:p>
      <w:pPr>
        <w:pStyle w:val="Normal"/>
        <w:jc w:val="end"/>
        <w:rPr>
          <w:b/>
          <w:i/>
          <w:i/>
        </w:rPr>
      </w:pPr>
      <w:r>
        <w:rPr>
          <w:b/>
          <w:i/>
        </w:rPr>
        <w:t>Last Revised March 18, 2001</w:t>
      </w:r>
    </w:p>
    <w:p>
      <w:pPr>
        <w:pStyle w:val="Normal"/>
        <w:jc w:val="end"/>
        <w:rPr>
          <w:b/>
          <w:i/>
          <w:i/>
        </w:rPr>
      </w:pPr>
      <w:r>
        <w:rPr>
          <w:b/>
          <w:i/>
        </w:rPr>
        <w:t>(New York or Texas Law)</w:t>
      </w:r>
    </w:p>
    <w:p>
      <w:pPr>
        <w:pStyle w:val="Normal"/>
        <w:jc w:val="both"/>
        <w:rPr>
          <w:b/>
          <w:i/>
          <w:i/>
        </w:rPr>
      </w:pPr>
      <w:r>
        <w:rPr>
          <w:b/>
          <w:i/>
        </w:rPr>
      </w:r>
    </w:p>
    <w:p>
      <w:pPr>
        <w:pStyle w:val="Normal"/>
        <w:jc w:val="center"/>
        <w:rPr>
          <w:b/>
          <w:smallCaps/>
          <w:sz w:val="28"/>
        </w:rPr>
      </w:pPr>
      <w:r>
        <w:rPr>
          <w:b/>
          <w:smallCaps/>
          <w:sz w:val="28"/>
        </w:rPr>
        <w:t>Guaranty Agreement</w:t>
      </w:r>
    </w:p>
    <w:p>
      <w:pPr>
        <w:pStyle w:val="Normal"/>
        <w:jc w:val="both"/>
        <w:rPr/>
      </w:pPr>
      <w:r>
        <w:rPr/>
      </w:r>
    </w:p>
    <w:p>
      <w:pPr>
        <w:pStyle w:val="Normal"/>
        <w:jc w:val="both"/>
        <w:rPr/>
      </w:pPr>
      <w:r>
        <w:rPr/>
        <w:tab/>
        <w:t>This GUARANTY AGREEMENT (as the same may be amended, supplemented, or otherwise modified from time to time, this "</w:t>
      </w:r>
      <w:r>
        <w:rPr>
          <w:u w:val="single"/>
        </w:rPr>
        <w:t>Guaranty</w:t>
      </w:r>
      <w:r>
        <w:rPr/>
        <w:t xml:space="preserve">") dated as of </w:t>
      </w:r>
      <w:r>
        <w:rPr>
          <w:b/>
        </w:rPr>
        <w:t>[_______________]</w:t>
      </w:r>
      <w:r>
        <w:rPr/>
        <w:t xml:space="preserve">, </w:t>
      </w:r>
      <w:r>
        <w:rPr>
          <w:b/>
        </w:rPr>
        <w:t>[_____]</w:t>
      </w:r>
      <w:r>
        <w:rPr/>
        <w:t>, is made by ENRON CORP., an Oregon corporation (together with any successor as herein provided, the "</w:t>
      </w:r>
      <w:r>
        <w:rPr>
          <w:u w:val="single"/>
        </w:rPr>
        <w:t>Guarantor</w:t>
      </w:r>
      <w:r>
        <w:rPr/>
        <w:t>"), in favor of _____________________</w:t>
      </w:r>
      <w:r>
        <w:rPr>
          <w:b/>
        </w:rPr>
        <w:t> [(the "</w:t>
      </w:r>
      <w:r>
        <w:rPr>
          <w:b/>
          <w:u w:val="single"/>
        </w:rPr>
        <w:t>Beneficiary</w:t>
      </w:r>
      <w:r>
        <w:rPr>
          <w:b/>
        </w:rPr>
        <w:t>")][collectively, the "</w:t>
      </w:r>
      <w:r>
        <w:rPr>
          <w:b/>
          <w:u w:val="single"/>
        </w:rPr>
        <w:t>Beneficiaries</w:t>
      </w:r>
      <w:r>
        <w:rPr>
          <w:b/>
        </w:rPr>
        <w:t>")].</w:t>
      </w:r>
    </w:p>
    <w:p>
      <w:pPr>
        <w:pStyle w:val="Normal"/>
        <w:jc w:val="both"/>
        <w:rPr>
          <w:b/>
        </w:rPr>
      </w:pPr>
      <w:r>
        <w:rPr>
          <w:b/>
        </w:rPr>
      </w:r>
    </w:p>
    <w:p>
      <w:pPr>
        <w:pStyle w:val="Normal"/>
        <w:jc w:val="center"/>
        <w:rPr>
          <w:b/>
        </w:rPr>
      </w:pPr>
      <w:r>
        <w:rPr>
          <w:b/>
        </w:rPr>
        <w:t>PRELIMINARY STATEMENTS</w:t>
      </w:r>
    </w:p>
    <w:p>
      <w:pPr>
        <w:pStyle w:val="Normal"/>
        <w:jc w:val="both"/>
        <w:rPr>
          <w:b/>
        </w:rPr>
      </w:pPr>
      <w:r>
        <w:rPr>
          <w:b/>
        </w:rPr>
      </w:r>
    </w:p>
    <w:p>
      <w:pPr>
        <w:pStyle w:val="Normal"/>
        <w:jc w:val="both"/>
        <w:rPr/>
      </w:pPr>
      <w:r>
        <w:rPr>
          <w:b/>
        </w:rPr>
        <w:tab/>
      </w:r>
      <w:r>
        <w:rPr>
          <w:bCs/>
        </w:rPr>
        <w:t>1.</w:t>
      </w:r>
      <w:r>
        <w:rPr>
          <w:b/>
        </w:rPr>
        <w:tab/>
        <w:t xml:space="preserve">[___________] </w:t>
      </w:r>
      <w:r>
        <w:rPr>
          <w:bCs/>
        </w:rPr>
        <w:t>(the “</w:t>
      </w:r>
      <w:r>
        <w:rPr>
          <w:bCs/>
          <w:u w:val="single"/>
        </w:rPr>
        <w:t>Obligor</w:t>
      </w:r>
      <w:r>
        <w:rPr>
          <w:bCs/>
        </w:rPr>
        <w:t xml:space="preserve">”), a </w:t>
      </w:r>
      <w:r>
        <w:rPr>
          <w:b/>
        </w:rPr>
        <w:t xml:space="preserve">[_____________] </w:t>
      </w:r>
      <w:r>
        <w:rPr>
          <w:bCs/>
        </w:rPr>
        <w:t xml:space="preserve">and a </w:t>
      </w:r>
      <w:r>
        <w:rPr>
          <w:b/>
        </w:rPr>
        <w:t xml:space="preserve">[wholly-owned] </w:t>
      </w:r>
      <w:r>
        <w:rPr>
          <w:bCs/>
        </w:rPr>
        <w:t xml:space="preserve">subsidiary of the Guarantor, has entered into that certain </w:t>
      </w:r>
      <w:r>
        <w:rPr>
          <w:b/>
        </w:rPr>
        <w:t>[</w:t>
      </w:r>
      <w:r>
        <w:rPr>
          <w:b/>
          <w:u w:val="single"/>
        </w:rPr>
        <w:t xml:space="preserve"> (describe Agreement) </w:t>
      </w:r>
      <w:r>
        <w:rPr>
          <w:b/>
        </w:rPr>
        <w:t xml:space="preserve">] </w:t>
      </w:r>
      <w:r>
        <w:rPr>
          <w:bCs/>
        </w:rPr>
        <w:t>dated as of</w:t>
      </w:r>
      <w:r>
        <w:rPr>
          <w:b/>
        </w:rPr>
        <w:t xml:space="preserve"> [___________], [___________] </w:t>
      </w:r>
      <w:r>
        <w:rPr>
          <w:bCs/>
        </w:rPr>
        <w:t>(as the same may be amended, supplemented or otherwise modified from time to time, the “</w:t>
      </w:r>
      <w:r>
        <w:rPr>
          <w:bCs/>
          <w:u w:val="single"/>
        </w:rPr>
        <w:t>Agreement</w:t>
      </w:r>
      <w:r>
        <w:rPr>
          <w:bCs/>
        </w:rPr>
        <w:t xml:space="preserve">”), between the Obligor and the </w:t>
      </w:r>
      <w:r>
        <w:rPr>
          <w:b/>
        </w:rPr>
        <w:t>[Beneficiary] [Beneficiaries].</w:t>
      </w:r>
    </w:p>
    <w:p>
      <w:pPr>
        <w:pStyle w:val="Normal"/>
        <w:jc w:val="both"/>
        <w:rPr>
          <w:b/>
        </w:rPr>
      </w:pPr>
      <w:r>
        <w:rPr>
          <w:b/>
        </w:rPr>
      </w:r>
    </w:p>
    <w:p>
      <w:pPr>
        <w:pStyle w:val="Normal"/>
        <w:ind w:firstLine="720" w:end="0"/>
        <w:jc w:val="both"/>
        <w:rPr>
          <w:b/>
        </w:rPr>
      </w:pPr>
      <w:r>
        <w:rPr>
          <w:bCs/>
        </w:rPr>
        <w:t>2.</w:t>
      </w:r>
      <w:r>
        <w:rPr>
          <w:b/>
        </w:rPr>
        <w:t xml:space="preserve"> </w:t>
        <w:tab/>
      </w:r>
      <w:r>
        <w:rPr>
          <w:bCs/>
        </w:rPr>
        <w:t xml:space="preserve">The Agreement requires that the Guarantor execute and deliver this Guaranty as a condition precedent to the </w:t>
      </w:r>
      <w:r>
        <w:rPr>
          <w:b/>
        </w:rPr>
        <w:t>[Beneficiary’s][Beneficiaries']</w:t>
      </w:r>
      <w:r>
        <w:rPr>
          <w:bCs/>
        </w:rPr>
        <w:t xml:space="preserve"> entering into the Agreement.  The Guarantor has concluded that it will derive substantial benefit from the transactions contemplated by the Agreement.</w:t>
      </w:r>
    </w:p>
    <w:p>
      <w:pPr>
        <w:pStyle w:val="Normal"/>
        <w:jc w:val="both"/>
        <w:rPr>
          <w:b/>
        </w:rPr>
      </w:pPr>
      <w:r>
        <w:rPr>
          <w:b/>
        </w:rPr>
      </w:r>
    </w:p>
    <w:p>
      <w:pPr>
        <w:pStyle w:val="BodyText2"/>
        <w:rPr/>
      </w:pPr>
      <w:r>
        <w:rPr/>
        <w:tab/>
      </w:r>
      <w:r>
        <w:rPr>
          <w:b w:val="false"/>
          <w:bCs/>
        </w:rPr>
        <w:t>3.</w:t>
      </w:r>
      <w:r>
        <w:rPr/>
        <w:tab/>
      </w:r>
      <w:r>
        <w:rPr>
          <w:b w:val="false"/>
          <w:bCs/>
        </w:rPr>
        <w:t xml:space="preserve">The Guarantor is executing and delivering this Guaranty to induce the </w:t>
      </w:r>
      <w:r>
        <w:rPr/>
        <w:t>[Beneficiary] [Beneficiaries]</w:t>
      </w:r>
      <w:r>
        <w:rPr>
          <w:b w:val="false"/>
          <w:bCs/>
        </w:rPr>
        <w:t xml:space="preserve"> to enter into the Agreement.</w:t>
      </w:r>
    </w:p>
    <w:p>
      <w:pPr>
        <w:pStyle w:val="Normal"/>
        <w:jc w:val="both"/>
        <w:rPr/>
      </w:pPr>
      <w:r>
        <w:rPr/>
      </w:r>
    </w:p>
    <w:p>
      <w:pPr>
        <w:pStyle w:val="Normal"/>
        <w:jc w:val="both"/>
        <w:rPr/>
      </w:pPr>
      <w:r>
        <w:rPr/>
        <w:tab/>
        <w:t xml:space="preserve">NOW, THEREFORE, for and in consideration of the premises and for other good and valuable consideration, the receipt and sufficiency of which are hereby acknowledged, the Guarantor agrees for the benefit of </w:t>
      </w:r>
      <w:r>
        <w:rPr>
          <w:b/>
        </w:rPr>
        <w:t xml:space="preserve">[each][the] </w:t>
      </w:r>
      <w:r>
        <w:rPr>
          <w:bCs/>
        </w:rPr>
        <w:t xml:space="preserve">Beneficiary </w:t>
      </w:r>
      <w:r>
        <w:rPr/>
        <w:t>as follows:</w:t>
      </w:r>
    </w:p>
    <w:p>
      <w:pPr>
        <w:pStyle w:val="Normal"/>
        <w:jc w:val="both"/>
        <w:rPr/>
      </w:pPr>
      <w:r>
        <w:rPr/>
      </w:r>
    </w:p>
    <w:p>
      <w:pPr>
        <w:pStyle w:val="Normal"/>
        <w:keepNext w:val="true"/>
        <w:jc w:val="center"/>
        <w:rPr/>
      </w:pPr>
      <w:r>
        <w:rPr/>
        <w:t>ARTICLE I</w:t>
      </w:r>
    </w:p>
    <w:p>
      <w:pPr>
        <w:pStyle w:val="Normal"/>
        <w:keepNext w:val="true"/>
        <w:jc w:val="both"/>
        <w:rPr/>
      </w:pPr>
      <w:r>
        <w:rPr/>
      </w:r>
    </w:p>
    <w:p>
      <w:pPr>
        <w:pStyle w:val="Heading1"/>
        <w:ind w:hanging="0" w:start="0"/>
        <w:rPr/>
      </w:pPr>
      <w:r>
        <w:rPr/>
        <w:t>DEFINITIONS</w:t>
      </w:r>
    </w:p>
    <w:p>
      <w:pPr>
        <w:pStyle w:val="Normal"/>
        <w:keepNext w:val="true"/>
        <w:jc w:val="both"/>
        <w:rPr/>
      </w:pPr>
      <w:r>
        <w:rPr/>
      </w:r>
    </w:p>
    <w:p>
      <w:pPr>
        <w:pStyle w:val="Normal"/>
        <w:keepNext w:val="true"/>
        <w:jc w:val="both"/>
        <w:rPr/>
      </w:pPr>
      <w:r>
        <w:rPr/>
        <w:tab/>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keepNext w:val="true"/>
        <w:jc w:val="both"/>
        <w:rPr/>
      </w:pPr>
      <w:r>
        <w:rPr/>
      </w:r>
    </w:p>
    <w:p>
      <w:pPr>
        <w:pStyle w:val="Normal"/>
        <w:jc w:val="both"/>
        <w:rPr/>
      </w:pPr>
      <w:r>
        <w:rPr/>
        <w:tab/>
        <w:t>"</w:t>
      </w:r>
      <w:r>
        <w:rPr>
          <w:u w:val="single"/>
        </w:rPr>
        <w:t>Beneficiary</w:t>
      </w:r>
      <w:r>
        <w:rPr/>
        <w:t>" has the meaning specified in the introductory paragraph of this Guaranty.</w:t>
      </w:r>
    </w:p>
    <w:p>
      <w:pPr>
        <w:pStyle w:val="Normal"/>
        <w:jc w:val="both"/>
        <w:rPr/>
      </w:pPr>
      <w:r>
        <w:rPr/>
      </w:r>
    </w:p>
    <w:p>
      <w:pPr>
        <w:pStyle w:val="Normal"/>
        <w:jc w:val="both"/>
        <w:rPr/>
      </w:pPr>
      <w:r>
        <w:rPr/>
        <w:tab/>
        <w:t>"</w:t>
      </w:r>
      <w:r>
        <w:rPr>
          <w:u w:val="single"/>
        </w:rPr>
        <w:t>Business Day"</w:t>
      </w:r>
      <w:r>
        <w:rPr/>
        <w:t xml:space="preserve"> means any day of the year except Saturday, Sunday and any day on which banks are required or authorized to close in Houston, Texas or </w:t>
      </w:r>
      <w:r>
        <w:rPr>
          <w:b/>
          <w:bCs/>
        </w:rPr>
        <w:t>[place of payment to Beneficiary]</w:t>
      </w:r>
      <w:r>
        <w:rPr/>
        <w:t>.</w:t>
      </w:r>
    </w:p>
    <w:p>
      <w:pPr>
        <w:pStyle w:val="Normal"/>
        <w:jc w:val="both"/>
        <w:rPr/>
      </w:pPr>
      <w:r>
        <w:rPr/>
      </w:r>
    </w:p>
    <w:p>
      <w:pPr>
        <w:pStyle w:val="Normal"/>
        <w:ind w:firstLine="720" w:end="0"/>
        <w:jc w:val="both"/>
        <w:rPr/>
      </w:pPr>
      <w:r>
        <w:rPr/>
        <w:t>"</w:t>
      </w:r>
      <w:r>
        <w:rPr>
          <w:u w:val="single"/>
        </w:rPr>
        <w:t>Guaranteed Obligations</w:t>
      </w:r>
      <w:r>
        <w:rPr/>
        <w:t>" has the meaning set forth in Section 2.01.</w:t>
      </w:r>
    </w:p>
    <w:p>
      <w:pPr>
        <w:pStyle w:val="Normal"/>
        <w:jc w:val="both"/>
        <w:rPr/>
      </w:pPr>
      <w:r>
        <w:rPr/>
      </w:r>
    </w:p>
    <w:p>
      <w:pPr>
        <w:pStyle w:val="Normal"/>
        <w:jc w:val="both"/>
        <w:rPr/>
      </w:pPr>
      <w:r>
        <w:rPr/>
        <w:tab/>
        <w:t>"</w:t>
      </w:r>
      <w:r>
        <w:rPr>
          <w:u w:val="single"/>
        </w:rPr>
        <w:t>Guarantor</w:t>
      </w:r>
      <w:r>
        <w:rPr/>
        <w:t>" means the Person specified as the "Guarantor" in the introductory paragraph of this Guaranty and any successor thereto pursuant to Section 4.01(ii).</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Notice</w:t>
      </w:r>
      <w:r>
        <w:rPr/>
        <w:t>" has the meaning specified in Section 5.01 of this Guaranty.</w:t>
      </w:r>
    </w:p>
    <w:p>
      <w:pPr>
        <w:pStyle w:val="Normal"/>
        <w:jc w:val="both"/>
        <w:rPr/>
      </w:pPr>
      <w:r>
        <w:rPr/>
      </w:r>
    </w:p>
    <w:p>
      <w:pPr>
        <w:pStyle w:val="Normal"/>
        <w:ind w:firstLine="720" w:end="0"/>
        <w:jc w:val="both"/>
        <w:rPr/>
      </w:pPr>
      <w:r>
        <w:rPr/>
        <w:t>"</w:t>
      </w:r>
      <w:r>
        <w:rPr>
          <w:u w:val="single"/>
        </w:rPr>
        <w:t>Obligor</w:t>
      </w:r>
      <w:r>
        <w:rPr/>
        <w:t>" has the meaning specified in the first Preliminary Statement hereof.</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jc w:val="both"/>
        <w:rPr/>
      </w:pPr>
      <w:r>
        <w:rPr/>
      </w:r>
    </w:p>
    <w:p>
      <w:pPr>
        <w:pStyle w:val="Normal"/>
        <w:jc w:val="both"/>
        <w:rPr/>
      </w:pPr>
      <w:r>
        <w:rPr/>
        <w:tab/>
        <w:t>Section 1.02</w:t>
        <w:tab/>
      </w:r>
      <w:r>
        <w:rPr>
          <w:u w:val="single"/>
        </w:rPr>
        <w:t>Other Defined Terms</w:t>
      </w:r>
      <w:r>
        <w:rPr/>
        <w:t xml:space="preserve">.  Other capitalized terms used herein, but not defined herein, shall unless otherwise provided herein or the context otherwise requires, have the respective meanings ascribed to such terms in the </w:t>
      </w:r>
      <w:r>
        <w:rPr>
          <w:bCs/>
        </w:rPr>
        <w:t>Agreement</w:t>
      </w:r>
      <w:r>
        <w:rPr/>
        <w:t>.</w:t>
      </w:r>
    </w:p>
    <w:p>
      <w:pPr>
        <w:pStyle w:val="Normal"/>
        <w:jc w:val="both"/>
        <w:rPr/>
      </w:pPr>
      <w:r>
        <w:rPr/>
      </w:r>
    </w:p>
    <w:p>
      <w:pPr>
        <w:pStyle w:val="Normal"/>
        <w:jc w:val="both"/>
        <w:rPr/>
      </w:pPr>
      <w:r>
        <w:rPr/>
        <w:tab/>
        <w:t>Section 1.03</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jc w:val="both"/>
        <w:rPr/>
      </w:pPr>
      <w:r>
        <w:rPr/>
      </w:r>
    </w:p>
    <w:p>
      <w:pPr>
        <w:pStyle w:val="Normal"/>
        <w:keepNext w:val="true"/>
        <w:jc w:val="center"/>
        <w:rPr/>
      </w:pPr>
      <w:r>
        <w:rPr/>
        <w:t>ARTICLE II</w:t>
      </w:r>
    </w:p>
    <w:p>
      <w:pPr>
        <w:pStyle w:val="Normal"/>
        <w:keepNext w:val="true"/>
        <w:jc w:val="both"/>
        <w:rPr/>
      </w:pPr>
      <w:r>
        <w:rPr/>
      </w:r>
    </w:p>
    <w:p>
      <w:pPr>
        <w:pStyle w:val="Normal"/>
        <w:keepNext w:val="true"/>
        <w:jc w:val="center"/>
        <w:rPr>
          <w:u w:val="single"/>
        </w:rPr>
      </w:pPr>
      <w:r>
        <w:rPr>
          <w:u w:val="single"/>
        </w:rPr>
        <w:t>GUARANTY</w:t>
      </w:r>
    </w:p>
    <w:p>
      <w:pPr>
        <w:pStyle w:val="Normal"/>
        <w:keepNext w:val="true"/>
        <w:jc w:val="both"/>
        <w:rPr/>
      </w:pPr>
      <w:r>
        <w:rPr/>
      </w:r>
    </w:p>
    <w:p>
      <w:pPr>
        <w:pStyle w:val="Normal"/>
        <w:jc w:val="both"/>
        <w:rPr/>
      </w:pPr>
      <w:r>
        <w:rPr/>
        <w:tab/>
        <w:t>Section 2.01</w:t>
        <w:tab/>
      </w:r>
      <w:r>
        <w:rPr>
          <w:u w:val="single"/>
        </w:rPr>
        <w:t>Guaranty</w:t>
      </w:r>
      <w:r>
        <w:rPr/>
        <w:t xml:space="preserve">.  (a) Subject to the provisions hereof, the Guarantor hereby absolutely, unconditionally and irrevocably guarantees to </w:t>
      </w:r>
      <w:r>
        <w:rPr>
          <w:b/>
        </w:rPr>
        <w:t xml:space="preserve">[each][the] </w:t>
      </w:r>
      <w:r>
        <w:rPr>
          <w:bCs/>
        </w:rPr>
        <w:t>Beneficiary</w:t>
      </w:r>
      <w:r>
        <w:rPr/>
        <w:t xml:space="preserve"> the full, punctual and prompt performance when due of all of the Obligor’s obligations [to (if less than all of the obligations are to be guaranteed, </w:t>
      </w:r>
      <w:r>
        <w:rPr>
          <w:bCs/>
        </w:rPr>
        <w:t>specify those obligations the performance of which is to be guaranteed]</w:t>
      </w:r>
      <w:r>
        <w:rPr/>
        <w:t xml:space="preserve"> under the </w:t>
      </w:r>
      <w:r>
        <w:rPr>
          <w:bCs/>
        </w:rPr>
        <w:t xml:space="preserve">Agreement </w:t>
      </w:r>
      <w:r>
        <w:rPr>
          <w:rStyle w:val="FootnoteCharacters"/>
          <w:rStyle w:val="FootnoteReference"/>
          <w:bCs/>
        </w:rPr>
        <w:footnoteReference w:id="2"/>
      </w:r>
      <w:r>
        <w:rPr>
          <w:bCs/>
        </w:rPr>
        <w:t xml:space="preserve"> </w:t>
      </w:r>
      <w:r>
        <w:rPr/>
        <w:t>(such obligations being hereinafter referred to as the “</w:t>
      </w:r>
      <w:r>
        <w:rPr>
          <w:u w:val="single"/>
        </w:rPr>
        <w:t>Guaranteed Obligations</w:t>
      </w:r>
      <w:r>
        <w:rPr/>
        <w:t xml:space="preserve">”). This Guaranty may be satisfied, in the Guarantor’s sole discretion by the Guarantor's performing the Guaranteed Obligations, or by the Guarantor's causing the Guaranteed Obligations to be performed by a third Person.  The Guarantor shall pay such additional amounts as may be necessary to reimburse </w:t>
      </w:r>
      <w:r>
        <w:rPr>
          <w:b/>
        </w:rPr>
        <w:t>[the][each]</w:t>
      </w:r>
      <w:r>
        <w:rPr>
          <w:bCs/>
        </w:rPr>
        <w:t xml:space="preserve"> Beneficiary</w:t>
      </w:r>
      <w:r>
        <w:rPr/>
        <w:t xml:space="preserve"> for all reasonable out of pocket costs and expenses (including, without limitation, reasonable legal fees), if any, incurred by such Beneficiary in enforcing its rights under this Guaranty.</w:t>
      </w:r>
    </w:p>
    <w:p>
      <w:pPr>
        <w:pStyle w:val="Normal"/>
        <w:jc w:val="both"/>
        <w:rPr/>
      </w:pPr>
      <w:r>
        <w:rPr/>
      </w:r>
    </w:p>
    <w:p>
      <w:pPr>
        <w:pStyle w:val="Normal"/>
        <w:jc w:val="both"/>
        <w:rPr/>
      </w:pPr>
      <w:r>
        <w:rPr/>
        <w:tab/>
        <w:t xml:space="preserve">(b) Notwithstanding any provision to the contrary contained in this Guaranty, </w:t>
      </w:r>
      <w:r>
        <w:rPr>
          <w:b/>
          <w:bCs/>
        </w:rPr>
        <w:t>[(x)]</w:t>
      </w:r>
      <w:r>
        <w:rPr/>
        <w:t xml:space="preserve"> the Guarantor shall not be obligated to perform or cause the performance of any Guaranteed Obligations hereunder until ten (10) </w:t>
      </w:r>
      <w:r>
        <w:rPr>
          <w:b/>
          <w:bCs/>
        </w:rPr>
        <w:t>[days][Business Days]</w:t>
      </w:r>
      <w:r>
        <w:rPr/>
        <w:t xml:space="preserve"> after the date the Guarantor has received written notice from </w:t>
      </w:r>
      <w:r>
        <w:rPr>
          <w:b/>
        </w:rPr>
        <w:t xml:space="preserve">[any][the] </w:t>
      </w:r>
      <w:r>
        <w:rPr>
          <w:bCs/>
        </w:rPr>
        <w:t>Beneficiary</w:t>
      </w:r>
      <w:r>
        <w:rPr>
          <w:b/>
        </w:rPr>
        <w:t xml:space="preserve"> </w:t>
      </w:r>
      <w:r>
        <w:rPr/>
        <w:t>of a failure by the Obligor to perform</w:t>
      </w:r>
      <w:r>
        <w:rPr>
          <w:b/>
        </w:rPr>
        <w:t xml:space="preserve"> </w:t>
      </w:r>
      <w:r>
        <w:rPr/>
        <w:t>such</w:t>
      </w:r>
      <w:r>
        <w:rPr>
          <w:b/>
        </w:rPr>
        <w:t xml:space="preserve"> </w:t>
      </w:r>
      <w:r>
        <w:rPr/>
        <w:t>Guaranteed Obligations, which notice shall set forth in reasonable detail the Guaranteed Obligations that the Obligor has failed to perform and that are to be performed by the Guarantor</w:t>
      </w:r>
      <w:r>
        <w:rPr>
          <w:b/>
          <w:bCs/>
        </w:rPr>
        <w:t>[; and (y) the maximum aggregate amount for which the Guarantor shall be liable in performing its obligations under this Guaranty (including any amounts paid to third parties in such performance) shall be $___________ [fill in financial amount of cap], and the Guarantor shall not be required to make any payment or incur any cost in performing its obligations hereunder to the extent that the amount of such payment or cost, plus all payments theretofore made by the Guarantor and all costs theretofore incurred by the Guarantor hereunder, would exceed $_____________ [same financial amount of cap]]</w:t>
      </w:r>
      <w:r>
        <w:rPr/>
        <w:t>.</w:t>
      </w:r>
      <w:r>
        <w:rPr>
          <w:rStyle w:val="FootnoteCharacters"/>
          <w:rStyle w:val="FootnoteReference"/>
        </w:rPr>
        <w:footnoteReference w:id="3"/>
      </w:r>
      <w:r>
        <w:rPr/>
        <w:t xml:space="preserve"> </w:t>
      </w:r>
    </w:p>
    <w:p>
      <w:pPr>
        <w:pStyle w:val="Normal"/>
        <w:jc w:val="both"/>
        <w:rPr/>
      </w:pPr>
      <w:r>
        <w:rPr/>
      </w:r>
    </w:p>
    <w:p>
      <w:pPr>
        <w:pStyle w:val="Normal"/>
        <w:jc w:val="both"/>
        <w:rPr/>
      </w:pPr>
      <w:r>
        <w:rPr/>
        <w:tab/>
        <w:t>Section 2.02</w:t>
        <w:tab/>
      </w:r>
      <w:r>
        <w:rPr>
          <w:u w:val="single"/>
        </w:rPr>
        <w:t>Obligations Unconditional</w:t>
      </w:r>
      <w:r>
        <w:rPr/>
        <w:t xml:space="preserve">.  The Guarantor guarantees that the Guaranteed Obligations will be performed strictly in accordance with the terms of the </w:t>
      </w:r>
      <w:r>
        <w:rPr>
          <w:bCs/>
        </w:rPr>
        <w:t>Agreement</w:t>
      </w:r>
      <w:r>
        <w:rPr/>
        <w:t>, subject to the requirement of demand for performance set forth in Section 2.01</w:t>
      </w:r>
      <w:r>
        <w:rPr>
          <w:b/>
          <w:bCs/>
        </w:rPr>
        <w:t>[; provided, however, that upon Enron’s causing performance to commence within the time period specified in Section 2.01 following demand for performance, Enron shall not be in default hereunder if performance thereafter proceeds with diligence.]</w:t>
      </w:r>
      <w:r>
        <w:rPr/>
        <w:t>.</w:t>
      </w:r>
      <w:r>
        <w:rPr>
          <w:rStyle w:val="FootnoteCharacters"/>
          <w:rStyle w:val="FootnoteReference"/>
        </w:rPr>
        <w:footnoteReference w:id="4"/>
      </w:r>
      <w:r>
        <w:rPr/>
        <w:t xml:space="preserve">   The liability of the Guarantor under this Guaranty to the fullest extent permitted by law shall be absolute and unconditional, irrespective of:</w:t>
      </w:r>
    </w:p>
    <w:p>
      <w:pPr>
        <w:pStyle w:val="Normal"/>
        <w:jc w:val="both"/>
        <w:rPr/>
      </w:pPr>
      <w:r>
        <w:rPr/>
      </w:r>
    </w:p>
    <w:p>
      <w:pPr>
        <w:pStyle w:val="Normal"/>
        <w:jc w:val="both"/>
        <w:rPr>
          <w:b/>
          <w:bCs/>
        </w:rPr>
      </w:pPr>
      <w:r>
        <w:rPr/>
        <w:tab/>
        <w:tab/>
      </w:r>
      <w:r>
        <w:rPr>
          <w:b/>
          <w:bCs/>
        </w:rPr>
        <w:t>[(a)</w:t>
        <w:tab/>
        <w:t>any change in the time, manner or place of performance or payment of, or in any other term of, all or any of the Guaranteed Obligations, or any other amendment, extension of maturity or waiver of or any consent or departure from the Agreement;]</w:t>
      </w:r>
      <w:r>
        <w:rPr>
          <w:rStyle w:val="FootnoteCharacters"/>
          <w:rStyle w:val="FootnoteReference"/>
          <w:b/>
          <w:bCs/>
        </w:rPr>
        <w:footnoteReference w:id="5"/>
      </w:r>
    </w:p>
    <w:p>
      <w:pPr>
        <w:pStyle w:val="Normal"/>
        <w:jc w:val="both"/>
        <w:rPr>
          <w:b/>
          <w:bCs/>
        </w:rPr>
      </w:pPr>
      <w:r>
        <w:rPr>
          <w:b/>
          <w:bCs/>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Obligor, the Guarantor, or any insolvency, bankruptcy, reorganization or other similar proceeding affecting the Obligor or its assets;</w:t>
      </w:r>
    </w:p>
    <w:p>
      <w:pPr>
        <w:pStyle w:val="Normal"/>
        <w:jc w:val="both"/>
        <w:rPr/>
      </w:pPr>
      <w:r>
        <w:rPr/>
      </w:r>
    </w:p>
    <w:p>
      <w:pPr>
        <w:pStyle w:val="Normal"/>
        <w:jc w:val="both"/>
        <w:rPr>
          <w:b/>
        </w:rPr>
      </w:pPr>
      <w:r>
        <w:rPr/>
        <w:tab/>
        <w:tab/>
      </w:r>
      <w:r>
        <w:rPr>
          <w:b/>
        </w:rPr>
        <w:t>[(d)</w:t>
        <w:tab/>
        <w:t>the failure of the Agreement to be a valid, binding and enforceable obligation of the Obligor; or]</w:t>
      </w:r>
      <w:r>
        <w:rPr>
          <w:rStyle w:val="FootnoteCharacters"/>
          <w:rStyle w:val="FootnoteReference"/>
          <w:b/>
        </w:rPr>
        <w:footnoteReference w:id="6"/>
      </w:r>
    </w:p>
    <w:p>
      <w:pPr>
        <w:pStyle w:val="Normal"/>
        <w:jc w:val="both"/>
        <w:rPr>
          <w:b/>
        </w:rPr>
      </w:pPr>
      <w:r>
        <w:rPr>
          <w:b/>
        </w:rPr>
      </w:r>
    </w:p>
    <w:p>
      <w:pPr>
        <w:pStyle w:val="Normal"/>
        <w:jc w:val="both"/>
        <w:rPr/>
      </w:pPr>
      <w:r>
        <w:rPr/>
        <w:tab/>
        <w:tab/>
        <w:t xml:space="preserve">(e) </w:t>
        <w:tab/>
        <w:t xml:space="preserve">except for applicable statutes of limitations, the failure of </w:t>
      </w:r>
      <w:r>
        <w:rPr>
          <w:b/>
        </w:rPr>
        <w:t xml:space="preserve">[the][any] </w:t>
      </w:r>
      <w:r>
        <w:rPr>
          <w:bCs/>
        </w:rPr>
        <w:t xml:space="preserve">Beneficiary </w:t>
      </w:r>
      <w:r>
        <w:rPr/>
        <w:t xml:space="preserve">to assert, or any mistake in the assertion of, any claim or demand (other than with respect to the requirement of demand for performance set forth in Section 2.01) or the failure of </w:t>
      </w:r>
      <w:r>
        <w:rPr>
          <w:b/>
        </w:rPr>
        <w:t xml:space="preserve">[the][any] </w:t>
      </w:r>
      <w:r>
        <w:rPr>
          <w:bCs/>
        </w:rPr>
        <w:t xml:space="preserve">Beneficiary </w:t>
      </w:r>
      <w:r>
        <w:rPr/>
        <w:t xml:space="preserve">to enforce any right or remedy under the </w:t>
      </w:r>
      <w:r>
        <w:rPr>
          <w:bCs/>
        </w:rPr>
        <w:t>Agreement</w:t>
      </w:r>
      <w:r>
        <w:rPr/>
        <w:t>.</w:t>
      </w:r>
    </w:p>
    <w:p>
      <w:pPr>
        <w:pStyle w:val="Normal"/>
        <w:ind w:firstLine="720" w:end="0"/>
        <w:jc w:val="both"/>
        <w:rPr/>
      </w:pPr>
      <w:r>
        <w:rPr/>
      </w:r>
    </w:p>
    <w:p>
      <w:pPr>
        <w:pStyle w:val="Normal"/>
        <w:ind w:firstLine="720" w:end="0"/>
        <w:jc w:val="both"/>
        <w:rPr/>
      </w:pPr>
      <w:r>
        <w:rPr/>
        <w:t>Section 2.03</w:t>
        <w:tab/>
      </w:r>
      <w:r>
        <w:rPr>
          <w:u w:val="single"/>
        </w:rPr>
        <w:t>Defenses</w:t>
      </w:r>
      <w:r>
        <w:rPr/>
        <w:t xml:space="preserve">.  Notwithstanding any other provision hereof to the contrary, other than as expressly waived in Section 2.02 or 2.06 of this Guaranty, the Guarantor retains its own defenses and rights hereunder and all rights, offsets, counterclaims and other defenses of the Obligor relating to the Guaranteed Obligations, it being the intent of the parties hereto that the Guarantor shall only be responsible for the performance of the Guaranteed Obligations under the </w:t>
      </w:r>
      <w:r>
        <w:rPr>
          <w:bCs/>
        </w:rPr>
        <w:t xml:space="preserve">Agreement </w:t>
      </w:r>
      <w:r>
        <w:rPr/>
        <w:t xml:space="preserve">to the extent that such Guaranteed Obligations are actually required to be performed by the Obligor thereunder </w:t>
      </w:r>
      <w:r>
        <w:rPr>
          <w:b/>
          <w:bCs/>
        </w:rPr>
        <w:t>[(or would be required to be performed assuming that the Agreement is a legal, valid and binding obligation of the Obligor)]</w:t>
      </w:r>
      <w:r>
        <w:rPr>
          <w:rStyle w:val="FootnoteCharacters"/>
          <w:rStyle w:val="FootnoteReference"/>
          <w:b/>
          <w:bCs/>
        </w:rPr>
        <w:footnoteReference w:id="7"/>
      </w:r>
      <w:r>
        <w:rPr/>
        <w:t xml:space="preserve">.  </w:t>
      </w:r>
      <w:r>
        <w:rPr>
          <w:b/>
          <w:bCs/>
        </w:rPr>
        <w:t>[Enron shall not be obligated to perform obligations of the Obligor under the Agreement to the extent such obligations arise from an amendment or modification to the Agreement to which Enron did not consent.]</w:t>
      </w:r>
      <w:r>
        <w:rPr>
          <w:rStyle w:val="FootnoteCharacters"/>
          <w:rStyle w:val="FootnoteReference"/>
          <w:b/>
          <w:bCs/>
        </w:rPr>
        <w:footnoteReference w:id="8"/>
      </w:r>
    </w:p>
    <w:p>
      <w:pPr>
        <w:pStyle w:val="Normal"/>
        <w:jc w:val="both"/>
        <w:rPr/>
      </w:pPr>
      <w:r>
        <w:rPr/>
      </w:r>
    </w:p>
    <w:p>
      <w:pPr>
        <w:pStyle w:val="Normal"/>
        <w:jc w:val="both"/>
        <w:rPr/>
      </w:pPr>
      <w:r>
        <w:rPr/>
        <w:tab/>
        <w:t>Section 2.04</w:t>
        <w:tab/>
      </w:r>
      <w:r>
        <w:rPr>
          <w:u w:val="single"/>
        </w:rPr>
        <w:t>Reinstatement</w:t>
      </w:r>
      <w:r>
        <w:rPr/>
        <w:t xml:space="preserve">.  The guaranty made by the Guarantor hereunder shall continue to be effective or be reinstated, as the case may be, if at any time any payment by the Guarantor to </w:t>
      </w:r>
      <w:r>
        <w:rPr>
          <w:b/>
        </w:rPr>
        <w:t xml:space="preserve">[the] [any] </w:t>
      </w:r>
      <w:r>
        <w:rPr/>
        <w:t xml:space="preserve">Beneficiary hereunder is rescinded or must otherwise be returned by </w:t>
      </w:r>
      <w:r>
        <w:rPr>
          <w:b/>
        </w:rPr>
        <w:t>[such] [the]</w:t>
      </w:r>
      <w:r>
        <w:rPr/>
        <w:t xml:space="preserve"> Beneficiary for any reason, including the bankruptcy, insolvency or reorganization of the Obligor or otherwise, all as though such payment had not been made, and, in such event, the Guarantor will pay to </w:t>
      </w:r>
      <w:r>
        <w:rPr>
          <w:b/>
        </w:rPr>
        <w:t>[the Beneficiary]</w:t>
      </w:r>
      <w:r>
        <w:rPr/>
        <w:t xml:space="preserve"> </w:t>
      </w:r>
      <w:r>
        <w:rPr>
          <w:b/>
        </w:rPr>
        <w:t xml:space="preserve">[each Beneficiary that has returned a payment or with respect to which a payment has been rescinded] </w:t>
      </w:r>
      <w:r>
        <w:rPr/>
        <w:t xml:space="preserve">an amount equal to the payment that has been </w:t>
      </w:r>
      <w:r>
        <w:rPr>
          <w:b/>
        </w:rPr>
        <w:t>[rescinded or returned] [returned by or rescinded with respect to such Beneficiary]</w:t>
      </w:r>
      <w:r>
        <w:rPr/>
        <w:t xml:space="preserve">.  The provisions of this paragraph will survive any release or termination of this Guaranty.  </w:t>
      </w:r>
    </w:p>
    <w:p>
      <w:pPr>
        <w:pStyle w:val="Normal"/>
        <w:jc w:val="both"/>
        <w:rPr/>
      </w:pPr>
      <w:r>
        <w:rPr/>
      </w:r>
    </w:p>
    <w:p>
      <w:pPr>
        <w:pStyle w:val="Normal"/>
        <w:ind w:firstLine="720" w:end="0"/>
        <w:jc w:val="both"/>
        <w:rPr/>
      </w:pPr>
      <w:r>
        <w:rPr/>
        <w:t>Section 2.05</w:t>
        <w:tab/>
      </w:r>
      <w:r>
        <w:rPr>
          <w:u w:val="single"/>
        </w:rPr>
        <w:t>Primary Obligations of Guarantor</w:t>
      </w:r>
      <w:r>
        <w:rPr/>
        <w:t>.  The obligations of the Guarantor hereunder constitute a primary obligation of the Guarantor and are independent of the obligations of the Obligor and separate action or actions may be brought and prosecuted against the Guarantor to enforce this Guaranty, irrespective or whether any action is brought against the Obligor or whether the obligor is joined in any such action or actions. The provisions of this Section 2.05 are subject to the Guarantor’s rights under Section 2.03.</w:t>
      </w:r>
    </w:p>
    <w:p>
      <w:pPr>
        <w:pStyle w:val="Normal"/>
        <w:jc w:val="both"/>
        <w:rPr/>
      </w:pPr>
      <w:r>
        <w:rPr/>
      </w:r>
    </w:p>
    <w:p>
      <w:pPr>
        <w:pStyle w:val="Normal"/>
        <w:jc w:val="both"/>
        <w:rPr/>
      </w:pPr>
      <w:r>
        <w:rPr/>
        <w:tab/>
        <w:t>Section 2.06</w:t>
        <w:tab/>
      </w:r>
      <w:r>
        <w:rPr>
          <w:u w:val="single"/>
        </w:rPr>
        <w:t>Waiver</w:t>
      </w:r>
      <w:r>
        <w:rPr/>
        <w:t xml:space="preserve">.  The Guarantor waives promptness, diligence, presentment, notice of dishonor, protest, notice of acceptance and any other notice with respect to any of the Guaranteed Obligations (other than the requirement of demand for performance set forth in Section 2.01) and this Guaranty and any requirement that </w:t>
      </w:r>
      <w:r>
        <w:rPr>
          <w:b/>
        </w:rPr>
        <w:t xml:space="preserve">[the][any] </w:t>
      </w:r>
      <w:r>
        <w:rPr>
          <w:bCs/>
        </w:rPr>
        <w:t>Beneficiary</w:t>
      </w:r>
      <w:r>
        <w:rPr/>
        <w:t xml:space="preserve"> protect, secure, perfect or insure any collateral or exhaust any right, power or remedy or take any action against the Obligor or any other Person or any collateral.</w:t>
      </w:r>
    </w:p>
    <w:p>
      <w:pPr>
        <w:pStyle w:val="Normal"/>
        <w:jc w:val="both"/>
        <w:rPr/>
      </w:pPr>
      <w:r>
        <w:rPr/>
      </w:r>
    </w:p>
    <w:p>
      <w:pPr>
        <w:pStyle w:val="Normal"/>
        <w:jc w:val="both"/>
        <w:rPr/>
      </w:pPr>
      <w:r>
        <w:rPr/>
        <w:tab/>
        <w:t>Section 2.07</w:t>
        <w:tab/>
      </w:r>
      <w:r>
        <w:rPr>
          <w:u w:val="single"/>
        </w:rPr>
        <w:t>Subrogation</w:t>
      </w:r>
      <w:r>
        <w:rPr/>
        <w:t xml:space="preserve">.  Notwithstanding any performance made by the Guarantor hereunder, the Guarantor shall not be entitled to exercise or enforce against the Obligor any claim or other right which may at any time arise from the performance by the Guarantor of its obligations under this Guaranty, including any right of subrogation, reimbursement or indemnification, or any right to participate in any claim or remedy of </w:t>
      </w:r>
      <w:r>
        <w:rPr>
          <w:b/>
        </w:rPr>
        <w:t xml:space="preserve">[the][any] </w:t>
      </w:r>
      <w:r>
        <w:rPr>
          <w:bCs/>
        </w:rPr>
        <w:t>Beneficiary</w:t>
      </w:r>
      <w:r>
        <w:rPr/>
        <w:t xml:space="preserve"> against the Obligor with respect to the Guaranteed Obligations (whether arising in equity or under contract, statute or common law), until the Guaranteed Obligations have been performed in full.</w:t>
      </w:r>
    </w:p>
    <w:p>
      <w:pPr>
        <w:pStyle w:val="Normal"/>
        <w:jc w:val="both"/>
        <w:rPr/>
      </w:pPr>
      <w:r>
        <w:rPr/>
      </w:r>
    </w:p>
    <w:p>
      <w:pPr>
        <w:pStyle w:val="Normal"/>
        <w:jc w:val="both"/>
        <w:rPr/>
      </w:pPr>
      <w:r>
        <w:rPr/>
        <w:tab/>
        <w:t>Section 2.08</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jc w:val="both"/>
        <w:rPr/>
      </w:pPr>
      <w:r>
        <w:rPr/>
        <w:tab/>
        <w:t>Section 3.01</w:t>
        <w:tab/>
      </w:r>
      <w:r>
        <w:rPr>
          <w:u w:val="single"/>
        </w:rPr>
        <w:t>Representations and Warranties</w:t>
      </w:r>
      <w:r>
        <w:rPr/>
        <w:t xml:space="preserve">.  The Guarantor hereby represents and warrants to </w:t>
      </w:r>
      <w:r>
        <w:rPr>
          <w:b/>
        </w:rPr>
        <w:t xml:space="preserve">[each][the] </w:t>
      </w:r>
      <w:r>
        <w:rPr>
          <w:bCs/>
        </w:rPr>
        <w:t xml:space="preserve">Beneficiary </w:t>
      </w:r>
      <w:r>
        <w:rPr/>
        <w:t>as follows:</w:t>
      </w:r>
    </w:p>
    <w:p>
      <w:pPr>
        <w:pStyle w:val="Normal"/>
        <w:jc w:val="both"/>
        <w:rPr/>
      </w:pPr>
      <w:r>
        <w:rPr/>
      </w:r>
    </w:p>
    <w:p>
      <w:pPr>
        <w:pStyle w:val="Normal"/>
        <w:jc w:val="both"/>
        <w:rPr/>
      </w:pPr>
      <w:r>
        <w:rPr/>
        <w:tab/>
        <w:tab/>
        <w:t>(a)</w:t>
        <w:tab/>
        <w:t>The Guarantor is duly organized or validly formed and is validly existing under the laws of its jurisdiction of incorporation or formation.</w:t>
      </w:r>
    </w:p>
    <w:p>
      <w:pPr>
        <w:pStyle w:val="Normal"/>
        <w:jc w:val="both"/>
        <w:rPr/>
      </w:pPr>
      <w:r>
        <w:rPr/>
      </w:r>
    </w:p>
    <w:p>
      <w:pPr>
        <w:pStyle w:val="Normal"/>
        <w:jc w:val="both"/>
        <w:rPr/>
      </w:pPr>
      <w:r>
        <w:rPr/>
        <w:tab/>
        <w:tab/>
        <w:t>(b)</w:t>
        <w:tab/>
        <w:t>The execution, delivery and performance by the Guarantor of this Guaranty are within the Guarantor's legal powers and have been duly authorized by all necessary legal action of the Guarantor.</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center"/>
        <w:rPr/>
      </w:pPr>
      <w:r>
        <w:rPr/>
        <w:t>ARTICLE IV</w:t>
      </w:r>
    </w:p>
    <w:p>
      <w:pPr>
        <w:pStyle w:val="Normal"/>
        <w:jc w:val="both"/>
        <w:rPr/>
      </w:pPr>
      <w:r>
        <w:rPr/>
      </w:r>
    </w:p>
    <w:p>
      <w:pPr>
        <w:pStyle w:val="Normal"/>
        <w:jc w:val="center"/>
        <w:rPr>
          <w:u w:val="single"/>
        </w:rPr>
      </w:pPr>
      <w:r>
        <w:rPr>
          <w:u w:val="single"/>
        </w:rPr>
        <w:t>COVENANTS</w:t>
      </w:r>
    </w:p>
    <w:p>
      <w:pPr>
        <w:pStyle w:val="Normal"/>
        <w:jc w:val="both"/>
        <w:rPr/>
      </w:pPr>
      <w:r>
        <w:rPr/>
      </w:r>
    </w:p>
    <w:p>
      <w:pPr>
        <w:pStyle w:val="Normal"/>
        <w:jc w:val="both"/>
        <w:rPr/>
      </w:pPr>
      <w:r>
        <w:rPr/>
        <w:tab/>
        <w:t>Section 4.01</w:t>
        <w:tab/>
      </w:r>
      <w:r>
        <w:rPr>
          <w:u w:val="single"/>
        </w:rPr>
        <w:t>Mergers, Etc</w:t>
      </w:r>
      <w:r>
        <w:rPr/>
        <w:t>.  The Guarantor hereby covenants and agrees that, until the Guaranteed Obligations have been performed in full, the Guarantor will not merge or consolidate with or into any other Person, unless (i) the Guarantor is the survivor or (ii) the surviving Person, if not the Guarantor, assumes all obligations of the Guarantor under this Guaranty.</w:t>
      </w:r>
    </w:p>
    <w:p>
      <w:pPr>
        <w:pStyle w:val="Normal"/>
        <w:jc w:val="both"/>
        <w:rPr/>
      </w:pPr>
      <w:r>
        <w:rPr/>
      </w:r>
    </w:p>
    <w:p>
      <w:pPr>
        <w:pStyle w:val="Normal"/>
        <w:keepNext w:val="true"/>
        <w:jc w:val="center"/>
        <w:rPr/>
      </w:pPr>
      <w:r>
        <w:rPr/>
        <w:t>ARTICLE V</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5.01</w:t>
        <w:tab/>
      </w:r>
      <w:r>
        <w:rPr>
          <w:u w:val="single"/>
        </w:rPr>
        <w:t>Notice</w:t>
      </w:r>
      <w:r>
        <w:rPr/>
        <w:t xml:space="preserve">.  Any demand, notice, request, instruction, correspondence or other document to be given hereunder by the Guarantor to </w:t>
      </w:r>
      <w:r>
        <w:rPr>
          <w:b/>
        </w:rPr>
        <w:t xml:space="preserve">[the][any] </w:t>
      </w:r>
      <w:r>
        <w:rPr>
          <w:bCs/>
        </w:rPr>
        <w:t xml:space="preserve">Beneficiary </w:t>
      </w:r>
      <w:r>
        <w:rPr/>
        <w:t xml:space="preserve">or by </w:t>
      </w:r>
      <w:r>
        <w:rPr>
          <w:b/>
        </w:rPr>
        <w:t xml:space="preserve">[the][any] </w:t>
      </w:r>
      <w:r>
        <w:rPr>
          <w:bCs/>
        </w:rPr>
        <w:t xml:space="preserve">Beneficiary </w:t>
      </w:r>
      <w:r>
        <w:rPr/>
        <w:t xml:space="preserve">to the Guarantor </w:t>
      </w:r>
      <w:r>
        <w:rPr>
          <w:b/>
        </w:rPr>
        <w:t>[or any other Beneficiary]</w:t>
      </w:r>
      <w:r>
        <w:rPr/>
        <w:t xml:space="preserve">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 xml:space="preserve">Facsimile: </w:t>
      </w:r>
      <w:r>
        <w:rPr>
          <w:b/>
        </w:rPr>
        <w:t>[__________________]</w:t>
      </w:r>
    </w:p>
    <w:p>
      <w:pPr>
        <w:pStyle w:val="Normal"/>
        <w:jc w:val="both"/>
        <w:rPr/>
      </w:pPr>
      <w:r>
        <w:rPr/>
      </w:r>
    </w:p>
    <w:p>
      <w:pPr>
        <w:pStyle w:val="Normal"/>
        <w:tabs>
          <w:tab w:val="left" w:pos="720" w:leader="none"/>
          <w:tab w:val="left" w:pos="1440" w:leader="none"/>
        </w:tabs>
        <w:ind w:hanging="1440" w:start="1440" w:end="0"/>
        <w:jc w:val="both"/>
        <w:rPr/>
      </w:pPr>
      <w:r>
        <w:rPr/>
        <w:tab/>
        <w:tab/>
        <w:t xml:space="preserve">if to </w:t>
      </w:r>
      <w:r>
        <w:rPr>
          <w:b/>
          <w:bCs/>
        </w:rPr>
        <w:t>[the][any]</w:t>
      </w:r>
      <w:r>
        <w:rPr/>
        <w:t xml:space="preserve"> </w:t>
      </w:r>
      <w:r>
        <w:rPr>
          <w:bCs/>
        </w:rPr>
        <w:t>Beneficiary</w:t>
      </w:r>
      <w:r>
        <w:rPr/>
        <w:t>, at its respective address or telecopier number provided in or pursuant to Section </w:t>
      </w:r>
      <w:r>
        <w:rPr>
          <w:b/>
        </w:rPr>
        <w:t>[_______]</w:t>
      </w:r>
      <w:r>
        <w:rPr/>
        <w:t xml:space="preserve"> of the </w:t>
      </w:r>
      <w:r>
        <w:rPr>
          <w:bCs/>
        </w:rPr>
        <w:t>Agreement</w:t>
      </w:r>
      <w:r>
        <w:rPr/>
        <w:t>.</w:t>
      </w:r>
      <w:r>
        <w:rPr>
          <w:rStyle w:val="FootnoteCharacters"/>
          <w:rStyle w:val="FootnoteReference"/>
        </w:rPr>
        <w:footnoteReference w:id="9"/>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5.02</w:t>
        <w:tab/>
      </w:r>
      <w:r>
        <w:rPr>
          <w:u w:val="single"/>
        </w:rPr>
        <w:t>Amendment or Waiver</w:t>
      </w:r>
      <w:r>
        <w:rPr/>
        <w:t xml:space="preserve">.  No amendment, waiver, supplement or other modification of any provision of this Guaranty shall be effective unless the same shall be in writing and signed by the Guarantor and consented to in writing by </w:t>
      </w:r>
      <w:r>
        <w:rPr>
          <w:b/>
        </w:rPr>
        <w:t xml:space="preserve">[each][the] </w:t>
      </w:r>
      <w:r>
        <w:rPr>
          <w:bCs/>
        </w:rPr>
        <w:t>Beneficiary</w:t>
      </w:r>
      <w:r>
        <w:rPr/>
        <w:t xml:space="preserve">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Section 5.03</w:t>
        <w:tab/>
      </w:r>
      <w:r>
        <w:rPr>
          <w:u w:val="single"/>
        </w:rPr>
        <w:t>Successors and Assigns</w:t>
      </w:r>
      <w:r>
        <w:rPr/>
        <w:t xml:space="preserve">.  This Guaranty shall be binding upon the Guarantor and its successors and assigns and shall inure to the benefit of and be enforceable by each Beneficiary and their respective successors and permitted assigns and transferees pursuant to the </w:t>
      </w:r>
      <w:r>
        <w:rPr>
          <w:b/>
        </w:rPr>
        <w:t>Agreement</w:t>
      </w:r>
      <w:r>
        <w:rPr/>
        <w:t xml:space="preserve">; </w:t>
      </w:r>
      <w:r>
        <w:rPr>
          <w:u w:val="single"/>
        </w:rPr>
        <w:t>provided</w:t>
      </w:r>
      <w:r>
        <w:rPr/>
        <w:t xml:space="preserve"> that the Guarantor may not assign or transfer any of its rights or obligations under this Guaranty without the prior written consent of </w:t>
      </w:r>
      <w:r>
        <w:rPr>
          <w:b/>
        </w:rPr>
        <w:t>[the][each]</w:t>
      </w:r>
      <w:r>
        <w:rPr/>
        <w:t xml:space="preserve"> </w:t>
      </w:r>
      <w:r>
        <w:rPr>
          <w:bCs/>
        </w:rPr>
        <w:t>Beneficiary</w:t>
      </w:r>
      <w:r>
        <w:rPr/>
        <w:t xml:space="preserve">; </w:t>
      </w:r>
      <w:r>
        <w:rPr>
          <w:u w:val="single"/>
        </w:rPr>
        <w:t>provided</w:t>
      </w:r>
      <w:r>
        <w:rPr/>
        <w:t xml:space="preserve">, </w:t>
      </w:r>
      <w:r>
        <w:rPr>
          <w:u w:val="single"/>
        </w:rPr>
        <w:t>further</w:t>
      </w:r>
      <w:r>
        <w:rPr/>
        <w:t xml:space="preserve">, that this provision shall not prevent a matter or transaction permitted by Section 4.01.  </w:t>
      </w:r>
    </w:p>
    <w:p>
      <w:pPr>
        <w:pStyle w:val="Normal"/>
        <w:jc w:val="both"/>
        <w:rPr/>
      </w:pPr>
      <w:r>
        <w:rPr/>
      </w:r>
    </w:p>
    <w:p>
      <w:pPr>
        <w:pStyle w:val="Normal"/>
        <w:jc w:val="both"/>
        <w:rPr/>
      </w:pPr>
      <w:r>
        <w:rPr/>
        <w:tab/>
        <w:t>Section 5.04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5.05</w:t>
        <w:tab/>
      </w:r>
      <w:r>
        <w:rPr>
          <w:u w:val="single"/>
        </w:rPr>
        <w:t>Governing Law</w:t>
      </w:r>
      <w:r>
        <w:rPr/>
        <w:t xml:space="preserve">.  THIS GUARANTY SHALL BE GOVERNED BY AND CONSTRUED IN ACCORDANCE WITH THE LAW OF THE STATE OF </w:t>
      </w:r>
      <w:r>
        <w:rPr>
          <w:b/>
        </w:rPr>
        <w:t>[TEXAS]</w:t>
      </w:r>
      <w:r>
        <w:rPr/>
        <w:t xml:space="preserve"> </w:t>
      </w:r>
      <w:r>
        <w:rPr>
          <w:b/>
        </w:rPr>
        <w:t>[NEW YORK]</w:t>
      </w:r>
      <w:r>
        <w:rPr/>
        <w:t>.</w:t>
      </w:r>
    </w:p>
    <w:p>
      <w:pPr>
        <w:pStyle w:val="Normal"/>
        <w:jc w:val="both"/>
        <w:rPr/>
      </w:pPr>
      <w:r>
        <w:rPr/>
      </w:r>
    </w:p>
    <w:p>
      <w:pPr>
        <w:pStyle w:val="Normal"/>
        <w:jc w:val="both"/>
        <w:rPr/>
      </w:pPr>
      <w:r>
        <w:rPr/>
        <w:tab/>
        <w:t>Section 5.06</w:t>
        <w:tab/>
      </w:r>
      <w:r>
        <w:rPr>
          <w:u w:val="single"/>
        </w:rPr>
        <w:t>Section Captions</w:t>
      </w:r>
      <w:r>
        <w:rPr/>
        <w:t xml:space="preserve">.  Section captions used in this Guaranty are for convenience of reference only, and shall not affect the construction of this Guaranty. </w:t>
      </w:r>
    </w:p>
    <w:p>
      <w:pPr>
        <w:pStyle w:val="Normal"/>
        <w:rPr/>
      </w:pPr>
      <w:r>
        <w:rPr/>
      </w:r>
    </w:p>
    <w:p>
      <w:pPr>
        <w:pStyle w:val="BodyText"/>
        <w:ind w:firstLine="720" w:end="0"/>
        <w:rPr/>
      </w:pPr>
      <w:r>
        <w:rPr>
          <w:sz w:val="24"/>
        </w:rPr>
        <w:t>Section 5.07</w:t>
        <w:tab/>
      </w:r>
      <w:r>
        <w:rPr>
          <w:b/>
          <w:sz w:val="24"/>
        </w:rPr>
        <w:t>[The Guarantor and [each][the] Beneficiary, by execution or acceptance of the benefits of the Guaranty, hereby irrevocably and unconditionally submit to the exclusive jurisdiction of the of the courts of the State of Texas and the United States District Court located in Harris County, Texas, in any action or proceeding arising out of or relating to this Guaranty, or for recognition or enforcement of any judgment, and the Guarantor and [each] [the] Beneficiary hereby irrevocably and unconditionally agree that all claims in respect of any such action or proceeding may be heard and determined in such Texas State court, or to the extent permitted by law, in such federal court.]</w:t>
      </w:r>
      <w:r>
        <w:rPr>
          <w:rStyle w:val="FootnoteCharacters"/>
          <w:rStyle w:val="FootnoteReference"/>
          <w:b/>
          <w:sz w:val="24"/>
        </w:rPr>
        <w:footnoteReference w:id="10"/>
      </w:r>
      <w:r>
        <w:rPr>
          <w:b/>
          <w:sz w:val="24"/>
        </w:rPr>
        <w:t xml:space="preserve">   [The Guarantor and [each][the] Beneficiary, by execution or acceptance of the benefits of this Guaranty, hereby irrevocably and unconditionally submit to the exclusive jurisdiction of the United States District Court for the Southern District of New York sitting in New York County or the Commercial Division, Civil Branch of the Supreme Court of the State of New York sitting in New York County in any action or proceeding arising out of or relating to this Guaranty, or for recognition or enforcement of any judgment, and the Guarantor and [each] [the] Beneficiary hereby irrevocably and unconditionally agree that all claims in respect of any such action or proceeding may be heard and determined in such New York State court, or to the extent permitted by law, in such federal court.]</w:t>
      </w:r>
      <w:r>
        <w:rPr>
          <w:rStyle w:val="FootnoteCharacters"/>
          <w:rStyle w:val="FootnoteReference"/>
          <w:b/>
          <w:sz w:val="24"/>
        </w:rPr>
        <w:footnoteReference w:id="11"/>
      </w:r>
      <w:r>
        <w:rPr>
          <w:sz w:val="24"/>
        </w:rPr>
        <w:t xml:space="preserve">  The Guarantor and </w:t>
      </w:r>
      <w:r>
        <w:rPr>
          <w:b/>
          <w:sz w:val="24"/>
        </w:rPr>
        <w:t xml:space="preserve">[each][the] </w:t>
      </w:r>
      <w:r>
        <w:rPr>
          <w:bCs/>
          <w:sz w:val="24"/>
        </w:rPr>
        <w:t xml:space="preserve">Beneficiary </w:t>
      </w:r>
      <w:r>
        <w:rPr>
          <w:sz w:val="24"/>
        </w:rPr>
        <w:t xml:space="preserve">agree that a final judgment in any such action or proceeding shall be conclusive and may be enforced in other jurisdictions by suit on the judgment or in any other manner provided by law.  </w:t>
      </w:r>
    </w:p>
    <w:p>
      <w:pPr>
        <w:pStyle w:val="Normal"/>
        <w:rPr>
          <w:sz w:val="24"/>
        </w:rPr>
      </w:pPr>
      <w:r>
        <w:rPr>
          <w:sz w:val="24"/>
        </w:rPr>
      </w:r>
    </w:p>
    <w:p>
      <w:pPr>
        <w:pStyle w:val="Normal"/>
        <w:jc w:val="both"/>
        <w:rPr/>
      </w:pPr>
      <w:r>
        <w:rPr/>
      </w:r>
    </w:p>
    <w:p>
      <w:pPr>
        <w:pStyle w:val="Normal"/>
        <w:jc w:val="both"/>
        <w:rPr/>
      </w:pPr>
      <w:r>
        <w:rPr/>
      </w:r>
      <w:r>
        <w:br w:type="page"/>
      </w:r>
    </w:p>
    <w:p>
      <w:pPr>
        <w:pStyle w:val="Normal"/>
        <w:ind w:firstLine="720" w:end="0"/>
        <w:jc w:val="both"/>
        <w:rPr/>
      </w:pPr>
      <w:r>
        <w:rPr/>
        <w:t xml:space="preserve">IN WITNESS WHEREOF, the Guarantor and </w:t>
      </w:r>
      <w:r>
        <w:rPr>
          <w:b/>
        </w:rPr>
        <w:t>[each] [the] Beneficiary</w:t>
      </w:r>
      <w:r>
        <w:rPr/>
        <w:t xml:space="preserve"> have each caused its duly authorized officer to execute and deliver this Guaranty as of the date first above written.</w:t>
      </w:r>
    </w:p>
    <w:p>
      <w:pPr>
        <w:pStyle w:val="Normal"/>
        <w:jc w:val="both"/>
        <w:rPr/>
      </w:pPr>
      <w:r>
        <w:rPr/>
      </w:r>
    </w:p>
    <w:p>
      <w:pPr>
        <w:pStyle w:val="Normal"/>
        <w:jc w:val="both"/>
        <w:rPr/>
      </w:pPr>
      <w:r>
        <w:rPr/>
        <w:tab/>
        <w:tab/>
        <w:tab/>
        <w:tab/>
        <w:tab/>
        <w:tab/>
        <w:t>ENRON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r>
      <w:r>
        <w:rPr>
          <w:b/>
        </w:rPr>
        <w:t>[BENEFICIARY]</w:t>
      </w:r>
    </w:p>
    <w:p>
      <w:pPr>
        <w:pStyle w:val="Normal"/>
        <w:jc w:val="both"/>
        <w:rPr>
          <w:b/>
        </w:rPr>
      </w:pPr>
      <w:r>
        <w:rPr>
          <w:b/>
        </w:rPr>
      </w:r>
    </w:p>
    <w:p>
      <w:pPr>
        <w:pStyle w:val="Normal"/>
        <w:jc w:val="both"/>
        <w:rPr/>
      </w:pPr>
      <w:r>
        <w:rPr/>
        <w:tab/>
        <w:tab/>
        <w:tab/>
        <w:tab/>
        <w:tab/>
        <w:tab/>
        <w:t>By:__________________________________</w:t>
      </w:r>
    </w:p>
    <w:p>
      <w:pPr>
        <w:pStyle w:val="Normal"/>
        <w:jc w:val="both"/>
        <w:rPr/>
      </w:pPr>
      <w:r>
        <w:rPr/>
        <w:tab/>
        <w:tab/>
        <w:tab/>
        <w:tab/>
        <w:tab/>
        <w:tab/>
        <w:t>Name:________________________________</w:t>
      </w:r>
    </w:p>
    <w:p>
      <w:pPr>
        <w:pStyle w:val="Normal"/>
        <w:jc w:val="both"/>
        <w:rPr/>
      </w:pPr>
      <w:r>
        <w:rPr/>
        <w:tab/>
        <w:tab/>
        <w:tab/>
        <w:tab/>
        <w:tab/>
        <w:tab/>
        <w:t>Title:_________________________________</w:t>
      </w:r>
    </w:p>
    <w:p>
      <w:pPr>
        <w:pStyle w:val="Normal"/>
        <w:jc w:val="both"/>
        <w:rPr/>
      </w:pPr>
      <w:r>
        <w:rPr/>
      </w:r>
    </w:p>
    <w:p>
      <w:pPr>
        <w:pStyle w:val="Normal"/>
        <w:jc w:val="both"/>
        <w:rPr/>
      </w:pPr>
      <w:r>
        <w:rPr/>
      </w:r>
    </w:p>
    <w:p>
      <w:pPr>
        <w:pStyle w:val="Normal"/>
        <w:jc w:val="both"/>
        <w:rPr/>
      </w:pPr>
      <w:r>
        <w:rPr/>
        <w:tab/>
        <w:tab/>
        <w:tab/>
        <w:tab/>
        <w:tab/>
        <w:tab/>
      </w:r>
      <w:r>
        <w:rPr>
          <w:b/>
        </w:rPr>
        <w:t xml:space="preserve">[ADDITIONAL SIGNATURE PROVISIONS IF </w:t>
        <w:tab/>
        <w:tab/>
        <w:tab/>
        <w:tab/>
        <w:tab/>
        <w:tab/>
        <w:t>MORE THAN ONE BENEFICIARY]</w:t>
      </w:r>
    </w:p>
    <w:p>
      <w:pPr>
        <w:pStyle w:val="Normal"/>
        <w:jc w:val="both"/>
        <w:rPr>
          <w:b/>
        </w:rPr>
      </w:pPr>
      <w:r>
        <w:rPr>
          <w:b/>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16"/>
        </w:rPr>
      </w:pPr>
      <w:r>
        <w:rPr>
          <w:sz w:val="16"/>
        </w:rPr>
        <w:t>[Signature Page Guaranty Agreement]</w:t>
      </w:r>
    </w:p>
    <w:sectPr>
      <w:footerReference w:type="default" r:id="rId2"/>
      <w:footerReference w:type="first" r:id="rId3"/>
      <w:footnotePr>
        <w:numFmt w:val="decimal"/>
      </w:footnotePr>
      <w:type w:val="nextPage"/>
      <w:pgSz w:w="12240" w:h="15840"/>
      <w:pgMar w:left="1440" w:right="144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p>
  <w:p>
    <w:pPr>
      <w:pStyle w:val="Normal"/>
      <w:tabs>
        <w:tab w:val="clear" w:pos="720"/>
        <w:tab w:val="center" w:pos="4680" w:leader="none"/>
      </w:tabs>
      <w:rPr/>
    </w:pPr>
    <w:r>
      <w:rPr>
        <w:sz w:val="16"/>
      </w:rPr>
      <w:t>Houston:329544 v 4</w:t>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t>Houston:329544 v 4</w:t>
      <w:tab/>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If Enron is guaranteeing all obligations of the Obligor under the Agreement, the bracketed language can be deleted.  If Enron is to guarantee only certain obligations of the Obligor under the Agreement, these obligations should be described.</w:t>
      </w:r>
    </w:p>
  </w:footnote>
  <w:footnote w:id="3">
    <w:p>
      <w:pPr>
        <w:pStyle w:val="FootnoteText"/>
        <w:rPr/>
      </w:pPr>
      <w:r>
        <w:rPr>
          <w:rStyle w:val="FootnoteCharacters"/>
        </w:rPr>
        <w:footnoteRef/>
      </w:r>
      <w:r>
        <w:rPr>
          <w:sz w:val="24"/>
        </w:rPr>
        <w:t xml:space="preserve"> </w:t>
      </w:r>
      <w:r>
        <w:rPr/>
        <w:tab/>
        <w:t>If Enron’s liability is not to be limited, the bracketed language should be deleted.</w:t>
      </w:r>
    </w:p>
    <w:p>
      <w:pPr>
        <w:pStyle w:val="FootnoteText"/>
        <w:rPr/>
      </w:pPr>
      <w:r>
        <w:rPr/>
      </w:r>
    </w:p>
  </w:footnote>
  <w:footnote w:id="4">
    <w:p>
      <w:pPr>
        <w:pStyle w:val="FootnoteText"/>
        <w:jc w:val="both"/>
        <w:rPr/>
      </w:pPr>
      <w:r>
        <w:rPr>
          <w:rStyle w:val="FootnoteCharacters"/>
        </w:rPr>
        <w:footnoteRef/>
      </w:r>
      <w:r>
        <w:rPr/>
        <w:t xml:space="preserve"> </w:t>
      </w:r>
      <w:r>
        <w:rPr/>
        <w:tab/>
        <w:t>The bracketed language would allow Enron to commence performance following the notice period, rather than having to actually complete performance within that time.  If Enron is not concerned about completing the project within the notice period or, as a business point, does not feel it is imperative to obtain this provision, the bracketed language can be deleted.</w:t>
      </w:r>
    </w:p>
    <w:p>
      <w:pPr>
        <w:pStyle w:val="FootnoteText"/>
        <w:jc w:val="both"/>
        <w:rPr/>
      </w:pPr>
      <w:r>
        <w:rPr/>
      </w:r>
    </w:p>
  </w:footnote>
  <w:footnote w:id="5">
    <w:p>
      <w:pPr>
        <w:pStyle w:val="FootnoteText"/>
        <w:jc w:val="both"/>
        <w:rPr/>
      </w:pPr>
      <w:r>
        <w:rPr>
          <w:rStyle w:val="FootnoteCharacters"/>
        </w:rPr>
        <w:footnoteRef/>
      </w:r>
      <w:r>
        <w:rPr/>
        <w:t xml:space="preserve"> </w:t>
      </w:r>
      <w:r>
        <w:rPr/>
        <w:tab/>
        <w:t xml:space="preserve">In many Guaranties, the Guarantor agrees to be liable even if the obligations guaranteed are amended or modified.  If Enron controls the Obligor, Enron can prevent the Obligor from amending the Agreement.  If Enron controls the Obligor, but thinks it may sell the Obligor during the Guaranty term and still be liable on the Guaranty, Enron might want to consider deleting this provision and adding the last bracketed provision at the end of Section 2.03.  </w:t>
      </w:r>
      <w:r>
        <w:rPr>
          <w:i/>
          <w:iCs/>
        </w:rPr>
        <w:t>See footnote 7 below.</w:t>
      </w:r>
    </w:p>
    <w:p>
      <w:pPr>
        <w:pStyle w:val="FootnoteText"/>
        <w:jc w:val="both"/>
        <w:rPr>
          <w:i/>
          <w:i/>
          <w:iCs/>
        </w:rPr>
      </w:pPr>
      <w:r>
        <w:rPr>
          <w:i/>
          <w:iCs/>
        </w:rPr>
      </w:r>
    </w:p>
  </w:footnote>
  <w:footnote w:id="6">
    <w:p>
      <w:pPr>
        <w:pStyle w:val="FootnoteText"/>
        <w:jc w:val="both"/>
        <w:rPr/>
      </w:pPr>
      <w:r>
        <w:rPr>
          <w:rStyle w:val="FootnoteCharacters"/>
        </w:rPr>
        <w:footnoteRef/>
      </w:r>
      <w:r>
        <w:rPr/>
        <w:t xml:space="preserve"> </w:t>
      </w:r>
      <w:r>
        <w:rPr/>
        <w:tab/>
        <w:t>If Enron does not want to guarantee the Obligor’s obligations if they are not legal and binding obligations of the Obligor (for example lack of corporate power and authority, violation of law), this provision should be deleted.  Note that in Section 2.05, Enron does reserve defenses of the Guarantor (other than as waived in this Section 2.02 and in Section 2.06).</w:t>
      </w:r>
    </w:p>
  </w:footnote>
  <w:footnote w:id="7">
    <w:p>
      <w:pPr>
        <w:pStyle w:val="FootnoteText"/>
        <w:jc w:val="both"/>
        <w:rPr/>
      </w:pPr>
      <w:r>
        <w:rPr>
          <w:rStyle w:val="FootnoteCharacters"/>
        </w:rPr>
        <w:footnoteRef/>
      </w:r>
      <w:r>
        <w:rPr/>
        <w:t xml:space="preserve"> </w:t>
      </w:r>
      <w:r>
        <w:rPr/>
        <w:tab/>
        <w:t>This bracketed language should not be included if the bracketed language in Section 2.02(d) is deleted from the Guaranty.</w:t>
      </w:r>
    </w:p>
    <w:p>
      <w:pPr>
        <w:pStyle w:val="FootnoteText"/>
        <w:jc w:val="both"/>
        <w:rPr/>
      </w:pPr>
      <w:r>
        <w:rPr/>
      </w:r>
    </w:p>
  </w:footnote>
  <w:footnote w:id="8">
    <w:p>
      <w:pPr>
        <w:pStyle w:val="FootnoteText"/>
        <w:jc w:val="both"/>
        <w:rPr/>
      </w:pPr>
      <w:r>
        <w:rPr>
          <w:rStyle w:val="FootnoteCharacters"/>
        </w:rPr>
        <w:footnoteRef/>
      </w:r>
      <w:r>
        <w:rPr/>
        <w:t xml:space="preserve"> </w:t>
      </w:r>
      <w:r>
        <w:rPr/>
        <w:tab/>
        <w:t>This bracketed language should not be included if the bracketed language in Section 2.02(a) remains in the Guaranty.  With respect to Section 2.03 in general, note that Enron does not reserve defenses that it has waived in Section 2.02.  Therefore, if Section 2.03 is expanded (</w:t>
      </w:r>
      <w:r>
        <w:rPr>
          <w:i/>
          <w:iCs/>
        </w:rPr>
        <w:t>i.e.</w:t>
      </w:r>
      <w:r>
        <w:rPr/>
        <w:t>, if Enron is forced to waive additional matters), Enron should consider rewording Section 2.03.</w:t>
      </w:r>
    </w:p>
  </w:footnote>
  <w:footnote w:id="9">
    <w:p>
      <w:pPr>
        <w:pStyle w:val="FootnoteText"/>
        <w:jc w:val="both"/>
        <w:rPr/>
      </w:pPr>
      <w:r>
        <w:rPr>
          <w:rStyle w:val="FootnoteCharacters"/>
        </w:rPr>
        <w:footnoteRef/>
      </w:r>
      <w:r>
        <w:rPr/>
        <w:t xml:space="preserve"> </w:t>
      </w:r>
      <w:r>
        <w:rPr/>
        <w:tab/>
        <w:t>If the address of the Beneficiary or Beneficiaries is not listed in the Agreement, it can be listed in this Guaranty.</w:t>
      </w:r>
    </w:p>
  </w:footnote>
  <w:footnote w:id="10">
    <w:p>
      <w:pPr>
        <w:pStyle w:val="FootnoteText"/>
        <w:jc w:val="both"/>
        <w:rPr/>
      </w:pPr>
      <w:r>
        <w:rPr>
          <w:rStyle w:val="FootnoteCharacters"/>
        </w:rPr>
        <w:footnoteRef/>
      </w:r>
      <w:r>
        <w:rPr/>
        <w:t xml:space="preserve"> </w:t>
      </w:r>
      <w:r>
        <w:rPr/>
        <w:tab/>
        <w:t>This is for submission to Texas jurisdiction.  Enron’s legal department should be consulted for its current policies and forms.</w:t>
      </w:r>
    </w:p>
    <w:p>
      <w:pPr>
        <w:pStyle w:val="FootnoteText"/>
        <w:jc w:val="both"/>
        <w:rPr/>
      </w:pPr>
      <w:r>
        <w:rPr/>
      </w:r>
    </w:p>
  </w:footnote>
  <w:footnote w:id="11">
    <w:p>
      <w:pPr>
        <w:pStyle w:val="FootnoteText"/>
        <w:jc w:val="both"/>
        <w:rPr/>
      </w:pPr>
      <w:r>
        <w:rPr>
          <w:rStyle w:val="FootnoteCharacters"/>
        </w:rPr>
        <w:footnoteRef/>
      </w:r>
      <w:r>
        <w:rPr/>
        <w:t xml:space="preserve"> </w:t>
      </w:r>
      <w:r>
        <w:rPr/>
        <w:tab/>
        <w:t>This is for submission to New York jurisdiction.  Enron’s legal department should be consulted for its current policies and forms.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Subtitle">
    <w:name w:val="Subtitle"/>
    <w:basedOn w:val="Normal"/>
    <w:next w:val="BodyText"/>
    <w:qFormat/>
    <w:pPr/>
    <w:rPr/>
  </w:style>
  <w:style w:type="paragraph" w:styleId="BodyText2">
    <w:name w:val="Body Text 2"/>
    <w:basedOn w:val="Normal"/>
    <w:qFormat/>
    <w:pPr>
      <w:jc w:val="both"/>
    </w:pPr>
    <w:rPr>
      <w:b/>
    </w:rPr>
  </w:style>
  <w:style w:type="paragraph" w:styleId="BodyTextIndent">
    <w:name w:val="Body Text Indent"/>
    <w:basedOn w:val="Normal"/>
    <w:pPr>
      <w:ind w:hanging="0" w:start="720" w:end="0"/>
      <w:jc w:val="both"/>
    </w:pPr>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2001-03-19T19:59:00Z</dcterms:created>
  <dc:creator>Vinson &amp; Elkins L.L.P.</dc:creator>
  <dc:description/>
  <dc:language>en-CA</dc:language>
  <cp:lastModifiedBy> </cp:lastModifiedBy>
  <cp:lastPrinted>2001-03-19T16:29:00Z</cp:lastPrinted>
  <dcterms:modified xsi:type="dcterms:W3CDTF">2001-03-19T19:59:00Z</dcterms:modified>
  <cp:revision>2</cp:revision>
  <dc:subject/>
  <dc:title>CREDIT AGREEMENT GUARANTY;</dc:title>
</cp:coreProperties>
</file>