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sz w:val="22"/>
        </w:rPr>
        <w:t>December __, 2000</w:t>
      </w:r>
    </w:p>
    <w:p>
      <w:pPr>
        <w:pStyle w:val="Normal"/>
        <w:jc w:val="both"/>
        <w:rPr>
          <w:b/>
          <w:sz w:val="22"/>
        </w:rPr>
      </w:pPr>
      <w:r>
        <w:rPr>
          <w:b/>
          <w:sz w:val="22"/>
        </w:rPr>
      </w:r>
    </w:p>
    <w:p>
      <w:pPr>
        <w:pStyle w:val="Normal"/>
        <w:jc w:val="both"/>
        <w:rPr>
          <w:sz w:val="22"/>
        </w:rPr>
      </w:pPr>
      <w:r>
        <w:rPr>
          <w:sz w:val="22"/>
        </w:rPr>
        <w:t>Sweetgum Energy LP</w:t>
      </w:r>
    </w:p>
    <w:p>
      <w:pPr>
        <w:pStyle w:val="Normal"/>
        <w:jc w:val="both"/>
        <w:rPr>
          <w:sz w:val="22"/>
        </w:rPr>
      </w:pPr>
      <w:r>
        <w:rPr>
          <w:sz w:val="22"/>
        </w:rPr>
        <w:t>c/o InterGen North America LP</w:t>
      </w:r>
    </w:p>
    <w:p>
      <w:pPr>
        <w:pStyle w:val="Normal"/>
        <w:jc w:val="both"/>
        <w:rPr>
          <w:sz w:val="22"/>
        </w:rPr>
      </w:pPr>
      <w:r>
        <w:rPr>
          <w:sz w:val="22"/>
        </w:rPr>
        <w:t>909 Fannin, Suite 2200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CA Energy Development II, LLC</w:t>
      </w:r>
    </w:p>
    <w:p>
      <w:pPr>
        <w:pStyle w:val="Normal"/>
        <w:ind w:firstLine="720" w:end="0"/>
        <w:jc w:val="both"/>
        <w:rPr>
          <w:sz w:val="22"/>
        </w:rPr>
      </w:pPr>
      <w:r>
        <w:rPr>
          <w:sz w:val="22"/>
        </w:rPr>
        <w:t xml:space="preserve">        </w:t>
      </w:r>
      <w:r>
        <w:rPr>
          <w:sz w:val="22"/>
        </w:rPr>
        <w:t>Letter Agreement for Generator Step-up Transformer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Generator Step-up Transformer.  </w:t>
      </w:r>
      <w:r>
        <w:rPr>
          <w:sz w:val="22"/>
        </w:rPr>
        <w:t>Each of ENA and SEL is interested in acquiring, owning, operating, administering, maintaining, modifying, financing, disposing of and otherwise dealing with one (1) generator step-up (13.8kV x 115kV/230kV) transformer identified as LNL-9517-4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(i) January 10, 2001, or (ii) such earlier date which is the second business day following the date on which SEL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 Hundred Six Thousand Four Hundred and No/100 Dollars ($606,400.00)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xml:space="preserve">”) in the form contemplated by Section 22.2 of that certain agreement dated July 14, 2000 between ENA and ABB et al. to which the Subject Unit was previously subject, as may be acceptable to SEL in its reasonable discretion.  SEL agrees to advise ENA in writing, promptly following ENA’s delivery to SEL of the final execution form of the Facility Agreement, whether the proposed Facility Agreement is, in all material respects, acceptable to SEL in its reasonable discretion. </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 xml:space="preserve">Simultaneously with the delivery of the Facility Agreement, SEL shall extend a loan to the LLC in the amount of the Purchase Price, in consideration for the execution and delivery by the LLC of a promissory note payable to the order of SEL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 xml:space="preserve">Immediately upon the LLC’s receipt of loan proceeds from SEL, each of ENA and SEL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SEL shall have received a written acknowledgement and confirmation from ABB in the form attached hereto as </w:t>
      </w:r>
      <w:r>
        <w:rPr>
          <w:sz w:val="22"/>
          <w:u w:val="single"/>
        </w:rPr>
        <w:t>Exhibit A</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The closing shall have occurred under that certain letter agreement of even date herewith between ENA and SEL relating to the acquisition by SEL of a membership interest in the LLC.</w:t>
      </w:r>
    </w:p>
    <w:p>
      <w:pPr>
        <w:pStyle w:val="Normal"/>
        <w:ind w:firstLine="720" w:end="0"/>
        <w:jc w:val="both"/>
        <w:rPr>
          <w:sz w:val="22"/>
        </w:rPr>
      </w:pPr>
      <w:r>
        <w:rPr>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to promptly pay, and to hold SEL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and (ii) an amount equal to $78,600.00,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SEL agrees to be responsible for, and to hold ENA and the LLC harmless from and against, payment of (i) any and all amounts which become due and payable to ABB or its successors and assigns pursuant to the terms of the Facility Agreement, specifically including an amount equal to $78,600.00, constituting the portion of the Purchase Amount representing the retainage, but excluding any amounts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tab/>
      </w:r>
      <w:r>
        <w:rPr>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ind w:firstLine="720" w:end="0"/>
        <w:jc w:val="both"/>
        <w:rPr/>
      </w:pPr>
      <w:r>
        <w:rPr>
          <w:b/>
          <w:sz w:val="22"/>
        </w:rPr>
        <w:tab/>
        <w:t>(d)</w:t>
        <w:tab/>
      </w:r>
      <w:r>
        <w:rPr>
          <w:sz w:val="22"/>
        </w:rPr>
        <w:t>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SEL copies of all correspondence which it receives from any entity, including without limitation ABB, in connection with the Subject Unit or the Facility Agreement.</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Within 10 days after the closing of the Transaction, ENA shall deliver to the LLC all plans, drawings, diagrams and other documents with respect to the Subject Unit which are referenced in Exhibit B-2 to that certain agreement dated July 14, 2000 between ENA and ABB et al. to which the Subject Unit was previously subject, and any other plans, drawings, diagrams and other documents furnished by ABB to ENA prior to the closing with respect to the Subject Unit.  </w:t>
      </w:r>
    </w:p>
    <w:p>
      <w:pPr>
        <w:pStyle w:val="Normal"/>
        <w:ind w:firstLine="720" w:end="0"/>
        <w:jc w:val="both"/>
        <w:rPr>
          <w:color w:val="000000"/>
          <w:sz w:val="22"/>
        </w:rPr>
      </w:pPr>
      <w:r>
        <w:rPr>
          <w:color w:val="000000"/>
          <w:sz w:val="22"/>
        </w:rPr>
      </w:r>
    </w:p>
    <w:p>
      <w:pPr>
        <w:pStyle w:val="Normal"/>
        <w:ind w:firstLine="720" w:end="0"/>
        <w:jc w:val="both"/>
        <w:rPr/>
      </w:pPr>
      <w:r>
        <w:rPr>
          <w:color w:val="000000"/>
          <w:sz w:val="22"/>
        </w:rPr>
        <w:tab/>
      </w:r>
      <w:r>
        <w:rPr>
          <w:b/>
          <w:color w:val="000000"/>
          <w:sz w:val="22"/>
        </w:rPr>
        <w:t>(f)</w:t>
      </w:r>
      <w:r>
        <w:rPr>
          <w:color w:val="000000"/>
          <w:sz w:val="22"/>
        </w:rPr>
        <w:tab/>
        <w:t>Each Party covenants and agrees to use all reasonable efforts to satisfy the conditions precedent set forth in Section 2 hereof; provided, however, the foregoing shall not prevent or limit SEL’s use of its reasonable discretion under Section 2(a) hereof.</w:t>
      </w:r>
    </w:p>
    <w:p>
      <w:pPr>
        <w:pStyle w:val="Normal"/>
        <w:ind w:firstLine="720" w:end="0"/>
        <w:jc w:val="both"/>
        <w:rPr>
          <w:color w:val="000000"/>
          <w:sz w:val="22"/>
        </w:rPr>
      </w:pPr>
      <w:r>
        <w:rPr>
          <w:color w:val="000000"/>
          <w:sz w:val="22"/>
        </w:rPr>
      </w:r>
    </w:p>
    <w:p>
      <w:pPr>
        <w:pStyle w:val="Normal"/>
        <w:ind w:firstLine="720" w:end="0"/>
        <w:jc w:val="both"/>
        <w:rPr/>
      </w:pPr>
      <w:r>
        <w:rPr>
          <w:b/>
          <w:sz w:val="22"/>
        </w:rPr>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in the event that the Facility Agreement is not delivered on or before January 10, 2001, this Agreement shall terminate and be of no further force and effect, and neither party shall have liability to the other as a result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tab/>
      </w:r>
      <w:r>
        <w:rPr>
          <w:sz w:val="22"/>
        </w:rPr>
        <w:t>The Facility Agreement, when executed and delivered by the parties thereto and at the closing of the Transaction,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b/>
          <w:sz w:val="22"/>
        </w:rPr>
        <w:t>(ii)</w:t>
      </w:r>
      <w:r>
        <w:rPr>
          <w:sz w:val="22"/>
        </w:rPr>
        <w:tab/>
        <w:t>As of the date of closing, the Facility Agreement will be in all material respects in the same form as the agreement (including all exhibits and schedules thereto) approved in writing by SEL in its reasonable discretion pursuant to Section 2(a), and will not have been amended, revised, assigned, transferred, conveyed or otherwise modified and no change orders with respect thereto will have been agreed to or issued,</w:t>
      </w:r>
      <w:r>
        <w:rPr>
          <w:color w:val="000000"/>
          <w:sz w:val="22"/>
        </w:rPr>
        <w:t xml:space="preserve"> and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To the best of ENA’s knowledge, neither the LLC nor ABB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(viii)</w:t>
      </w:r>
      <w:r>
        <w:rPr>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(ix)</w:t>
      </w:r>
      <w:r>
        <w:rPr>
          <w:sz w:val="22"/>
        </w:rPr>
        <w:tab/>
        <w:t>ENA has not received from ABB any notice of delay or any request to extend any date of delivery or other performance by ABB under the Facility Agreement.  ENA has furnished SEL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w:t>
      </w:r>
      <w:r>
        <w:rPr>
          <w:sz w:val="22"/>
        </w:rPr>
        <w:tab/>
        <w:t>The Purchase Amount as the same existed prior to the closing of the Transaction (less the retainage referred to in Sections 3(a) and 3(b))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(e)</w:t>
      </w:r>
      <w:r>
        <w:rPr>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 xml:space="preserve">Indemnification By SEL.  FROM AND AFTER THE CLOSING OF THE TRANSACTION, SEL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SEL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 xml:space="preserve">Indemnification By ENA.  FROM AND AFTER THE CLOSING OF THE TRANSACTION, ENA SHALL INDEMNIFY AND HOLD HARMLESS SEL, ITS DIRECTORS, OFFICERS, EMPLOYEES, AND AGENTS, AND EACH OF THE HEIRS, EXECUTORS, SUCCESSORS, AND ASSIGNS OF ANY OF THE FOREGOING (COLLECTIVELY HEREIN REFERRED TO AS THE "SEL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SEL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SEL Indemnified Party (herein referred to as an "Indemnified Party"), and if such party intends to seek indemnity with respect thereto under this Section 13, such Indemnified Party shall promptly notify SEL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0" w:name="_DV_M97"/>
      <w:bookmarkEnd w:id="0"/>
      <w:r>
        <w:rPr>
          <w:color w:val="000000"/>
          <w:sz w:val="22"/>
        </w:rPr>
        <w:t>Facsimile:  (713) 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ab/>
      </w:r>
      <w:r>
        <w:rPr>
          <w:b/>
          <w:color w:val="000000"/>
          <w:sz w:val="22"/>
        </w:rPr>
        <w:t>17.</w:t>
        <w:tab/>
        <w:t>No Other Offers</w:t>
      </w:r>
      <w:r>
        <w:rPr>
          <w:color w:val="000000"/>
          <w:sz w:val="22"/>
        </w:rPr>
        <w: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w:t>
      </w:r>
      <w:r>
        <w:rPr>
          <w:sz w:val="22"/>
        </w:rPr>
        <w:t xml:space="preserve"> or (ii) the LLC or, prior to the closing of the Transaction, any interest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1" w:name="_DV_M123"/>
      <w:bookmarkEnd w:id="1"/>
      <w:r>
        <w:rPr>
          <w:color w:val="000000"/>
          <w:sz w:val="22"/>
        </w:rPr>
        <w:tab/>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2" w:name="_DV_M124"/>
      <w:bookmarkEnd w:id="2"/>
      <w:r>
        <w:rPr>
          <w:color w:val="000000"/>
          <w:sz w:val="22"/>
        </w:rPr>
        <w:tab/>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color w:val="000000"/>
          <w:sz w:val="22"/>
        </w:rPr>
      </w:pPr>
      <w:bookmarkStart w:id="3" w:name="_DV_M125"/>
      <w:bookmarkEnd w:id="3"/>
      <w:r>
        <w:rPr>
          <w:color w:val="000000"/>
          <w:sz w:val="22"/>
        </w:rPr>
        <w:tab/>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Form of ABB Acknowledgement Letter</w:t>
      </w:r>
    </w:p>
    <w:p>
      <w:pPr>
        <w:pStyle w:val="Normal"/>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mc:AlternateContent>
        <mc:Choice Requires="wps">
          <w:drawing>
            <wp:anchor behindDoc="1" distT="0" distB="0" distL="114935" distR="114935" simplePos="0" locked="0" layoutInCell="0" allowOverlap="1" relativeHeight="21">
              <wp:simplePos x="0" y="0"/>
              <wp:positionH relativeFrom="margin">
                <wp:posOffset>0</wp:posOffset>
              </wp:positionH>
              <wp:positionV relativeFrom="paragraph">
                <wp:posOffset>635</wp:posOffset>
              </wp:positionV>
              <wp:extent cx="2743200" cy="457200"/>
              <wp:effectExtent l="0" t="0" r="635" b="635"/>
              <wp:wrapNone/>
              <wp:docPr id="2"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lnTo>
                              <a:pt x="0" y="0"/>
                            </a:lnTo>
                            <a:close/>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l0,0x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30">
              <wp:simplePos x="0" y="0"/>
              <wp:positionH relativeFrom="margi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mc:AlternateContent>
        <mc:Choice Requires="wps">
          <w:drawing>
            <wp:anchor behindDoc="1" distT="0" distB="0" distL="114935" distR="114935" simplePos="0" locked="0" layoutInCell="0" allowOverlap="1" relativeHeight="11">
              <wp:simplePos x="0" y="0"/>
              <wp:positionH relativeFrom="margin">
                <wp:posOffset>0</wp:posOffset>
              </wp:positionH>
              <wp:positionV relativeFrom="paragraph">
                <wp:posOffset>635</wp:posOffset>
              </wp:positionV>
              <wp:extent cx="2743200" cy="457200"/>
              <wp:effectExtent l="0" t="0" r="635" b="635"/>
              <wp:wrapNone/>
              <wp:docPr id="4" name=""/>
              <a:graphic xmlns:a="http://schemas.openxmlformats.org/drawingml/2006/main">
                <a:graphicData uri="http://schemas.microsoft.com/office/word/2010/wordprocessingShape">
                  <wps:wsp>
                    <wps:cNvSpPr/>
                    <wps:spPr>
                      <a:xfrm>
                        <a:off x="0" y="0"/>
                        <a:ext cx="2743200" cy="457200"/>
                      </a:xfrm>
                      <a:custGeom>
                        <a:avLst/>
                        <a:gdLst/>
                        <a:ahLst/>
                        <a:rect l="l" t="t" r="r" b="b"/>
                        <a:pathLst>
                          <a:path w="20000" h="20000">
                            <a:moveTo>
                              <a:pt x="0" y="0"/>
                            </a:moveTo>
                            <a:lnTo>
                              <a:pt x="0" y="20000"/>
                            </a:lnTo>
                            <a:lnTo>
                              <a:pt x="20000" y="20000"/>
                            </a:lnTo>
                            <a:lnTo>
                              <a:pt x="20000" y="0"/>
                            </a:lnTo>
                            <a:lnTo>
                              <a:pt x="0" y="0"/>
                            </a:lnTo>
                            <a:lnTo>
                              <a:pt x="0" y="0"/>
                            </a:lnTo>
                            <a:close/>
                          </a:path>
                        </a:pathLst>
                      </a:custGeom>
                      <a:noFill/>
                      <a:ln w="0">
                        <a:noFill/>
                      </a:ln>
                    </wps:spPr>
                    <wps:style>
                      <a:lnRef idx="0"/>
                      <a:fillRef idx="0"/>
                      <a:effectRef idx="0"/>
                      <a:fontRef idx="minor"/>
                    </wps:style>
                    <wps:bodyPr/>
                  </wps:wsp>
                </a:graphicData>
              </a:graphic>
            </wp:anchor>
          </w:drawing>
        </mc:Choice>
        <mc:Fallback>
          <w:pict>
            <v:shape id="shape_0" coordsize="20000,20000" path="m0,0l0,20000l20000,20000l20000,0l0,0l0,0xe" stroked="f" o:allowincell="f" style="position:absolute;margin-left:0pt;margin-top:0pt;width:215.95pt;height:35.95pt;mso-wrap-style:none;v-text-anchor:middle;mso-position-horizontal-relative:margin">
              <v:fill o:detectmouseclick="t" on="false"/>
              <v:stroke color="#3465a4" joinstyle="round" endcap="flat"/>
              <w10:wrap type="none"/>
            </v:shape>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rPr/>
                          </w:pPr>
                          <w:r>
                            <w:rPr/>
                            <w:fldChar w:fldCharType="begin"/>
                          </w:r>
                          <w:r>
                            <w:rPr/>
                            <w:instrText xml:space="preserve"> COMMENTS </w:instrText>
                          </w:r>
                          <w:r>
                            <w:rPr/>
                            <w:fldChar w:fldCharType="separate"/>
                          </w:r>
                          <w:r>
                            <w:rPr/>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widowControl/>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Tejas Energy NS Holding, LLC</w:t>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4605" cy="177165"/>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sz w:val="24"/>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2"/>
      </w:rPr>
    </w:pPr>
    <w:r>
      <w:rPr>
        <w:sz w:val="22"/>
      </w:rPr>
      <w:t>December 11,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character" w:styleId="1">
    <w:name w:val="1"/>
    <w:qForma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2000-12-19T19:06:00Z</dcterms:created>
  <dc:creator>Carolyn Campbell</dc:creator>
  <dc:description/>
  <dc:language>en-CA</dc:language>
  <cp:lastModifiedBy>GFK</cp:lastModifiedBy>
  <cp:lastPrinted>2000-12-08T14:28:00Z</cp:lastPrinted>
  <dcterms:modified xsi:type="dcterms:W3CDTF">2000-12-19T19:29:00Z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Carolyn Campbell</vt:lpwstr>
  </property>
  <property fmtid="{D5CDD505-2E9C-101B-9397-08002B2CF9AE}" pid="4" name="AuthorName">
    <vt:lpwstr>DOCSOpen Info Unavailable</vt:lpwstr>
  </property>
  <property fmtid="{D5CDD505-2E9C-101B-9397-08002B2CF9AE}" pid="5" name="ClientID">
    <vt:lpwstr>DOCSOpen Info Unavailable</vt:lpwstr>
  </property>
  <property fmtid="{D5CDD505-2E9C-101B-9397-08002B2CF9AE}" pid="6" name="ClientName">
    <vt:lpwstr>DOCSOpen Info Unavailable</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DOCSOpen Info Unavailable</vt:lpwstr>
  </property>
  <property fmtid="{D5CDD505-2E9C-101B-9397-08002B2CF9AE}" pid="10" name="DocName">
    <vt:lpwstr>Houston_.DOC</vt:lpwstr>
  </property>
  <property fmtid="{D5CDD505-2E9C-101B-9397-08002B2CF9AE}" pid="11" name="DocNumber">
    <vt:lpwstr>Houston_.DOC</vt:lpwstr>
  </property>
  <property fmtid="{D5CDD505-2E9C-101B-9397-08002B2CF9AE}" pid="12" name="DocTypeDsc">
    <vt:lpwstr>DOCSOpen Info Unavailable</vt:lpwstr>
  </property>
  <property fmtid="{D5CDD505-2E9C-101B-9397-08002B2CF9AE}" pid="13" name="DocTypeID">
    <vt:lpwstr>DOCSOpen Info Unavailable</vt:lpwstr>
  </property>
  <property fmtid="{D5CDD505-2E9C-101B-9397-08002B2CF9AE}" pid="14" name="LastEditDate">
    <vt:lpwstr>DOCSOpen Info Unavailable</vt:lpwstr>
  </property>
  <property fmtid="{D5CDD505-2E9C-101B-9397-08002B2CF9AE}" pid="15" name="MatterID">
    <vt:lpwstr>DOCSOpen Info Unavailable</vt:lpwstr>
  </property>
  <property fmtid="{D5CDD505-2E9C-101B-9397-08002B2CF9AE}" pid="16" name="MatterName">
    <vt:lpwstr>DOCSOpen Info Unavailable</vt:lpwstr>
  </property>
  <property fmtid="{D5CDD505-2E9C-101B-9397-08002B2CF9AE}" pid="17" name="Original File">
    <vt:lpwstr>::ODMA\PCDOCS\HOUSTON\44350\2</vt:lpwstr>
  </property>
  <property fmtid="{D5CDD505-2E9C-101B-9397-08002B2CF9AE}" pid="18" name="TypistID">
    <vt:lpwstr>DOCSOpen Info Unavailable</vt:lpwstr>
  </property>
  <property fmtid="{D5CDD505-2E9C-101B-9397-08002B2CF9AE}" pid="19" name="TypistName">
    <vt:lpwstr>DOCSOpen Info Unavailable</vt:lpwstr>
  </property>
</Properties>
</file>