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Hourly firm discussion points</w:t>
      </w:r>
    </w:p>
    <w:p>
      <w:pPr>
        <w:pStyle w:val="Normal"/>
        <w:rPr>
          <w:sz w:val="24"/>
        </w:rPr>
      </w:pPr>
      <w:r>
        <w:rPr>
          <w:sz w:val="24"/>
        </w:rPr>
      </w:r>
    </w:p>
    <w:p>
      <w:pPr>
        <w:pStyle w:val="Normal"/>
        <w:rPr>
          <w:sz w:val="24"/>
          <w:u w:val="single"/>
        </w:rPr>
      </w:pPr>
      <w:r>
        <w:rPr>
          <w:sz w:val="24"/>
          <w:u w:val="single"/>
        </w:rPr>
        <w:t>1 - Market needs:</w:t>
      </w:r>
    </w:p>
    <w:p>
      <w:pPr>
        <w:pStyle w:val="Normal"/>
        <w:rPr>
          <w:sz w:val="24"/>
          <w:u w:val="single"/>
        </w:rPr>
      </w:pPr>
      <w:r>
        <w:rPr>
          <w:sz w:val="24"/>
          <w:u w:val="single"/>
        </w:rPr>
      </w:r>
    </w:p>
    <w:p>
      <w:pPr>
        <w:pStyle w:val="Heading1"/>
        <w:ind w:hanging="0" w:start="0"/>
        <w:rPr/>
      </w:pPr>
      <w:r>
        <w:rPr/>
        <w:t>Peaking facilities – Simple Cycle Units</w:t>
      </w:r>
    </w:p>
    <w:p>
      <w:pPr>
        <w:pStyle w:val="Normal"/>
        <w:rPr>
          <w:sz w:val="24"/>
        </w:rPr>
      </w:pPr>
      <w:r>
        <w:rPr>
          <w:sz w:val="24"/>
        </w:rPr>
        <w:t>(Low load factors; compete in the hourly power market)</w:t>
      </w:r>
    </w:p>
    <w:p>
      <w:pPr>
        <w:pStyle w:val="Normal"/>
        <w:rPr>
          <w:sz w:val="24"/>
        </w:rPr>
      </w:pPr>
      <w:r>
        <w:rPr>
          <w:sz w:val="24"/>
        </w:rPr>
      </w:r>
    </w:p>
    <w:p>
      <w:pPr>
        <w:pStyle w:val="Normal"/>
        <w:numPr>
          <w:ilvl w:val="0"/>
          <w:numId w:val="2"/>
        </w:numPr>
        <w:rPr>
          <w:sz w:val="24"/>
        </w:rPr>
      </w:pPr>
      <w:r>
        <w:rPr>
          <w:sz w:val="24"/>
        </w:rPr>
        <w:t xml:space="preserve">No-notice service. </w:t>
      </w:r>
    </w:p>
    <w:p>
      <w:pPr>
        <w:pStyle w:val="Normal"/>
        <w:numPr>
          <w:ilvl w:val="0"/>
          <w:numId w:val="8"/>
        </w:numPr>
        <w:rPr>
          <w:sz w:val="24"/>
        </w:rPr>
      </w:pPr>
      <w:r>
        <w:rPr>
          <w:sz w:val="24"/>
        </w:rPr>
        <w:t>Large daily and hourly swing tolerances.</w:t>
      </w:r>
    </w:p>
    <w:p>
      <w:pPr>
        <w:pStyle w:val="Normal"/>
        <w:numPr>
          <w:ilvl w:val="0"/>
          <w:numId w:val="7"/>
        </w:numPr>
        <w:rPr>
          <w:sz w:val="24"/>
        </w:rPr>
      </w:pPr>
      <w:r>
        <w:rPr>
          <w:sz w:val="24"/>
        </w:rPr>
        <w:t>Commodity based billing.</w:t>
      </w:r>
    </w:p>
    <w:p>
      <w:pPr>
        <w:pStyle w:val="Normal"/>
        <w:numPr>
          <w:ilvl w:val="0"/>
          <w:numId w:val="6"/>
        </w:numPr>
        <w:rPr>
          <w:sz w:val="24"/>
        </w:rPr>
      </w:pPr>
      <w:r>
        <w:rPr>
          <w:sz w:val="24"/>
        </w:rPr>
        <w:t>Flexibility in supply delivery (Storage withdrawals or system deliveries).</w:t>
      </w:r>
    </w:p>
    <w:p>
      <w:pPr>
        <w:pStyle w:val="Normal"/>
        <w:numPr>
          <w:ilvl w:val="0"/>
          <w:numId w:val="4"/>
        </w:numPr>
        <w:rPr>
          <w:sz w:val="24"/>
        </w:rPr>
      </w:pPr>
      <w:r>
        <w:rPr>
          <w:sz w:val="24"/>
        </w:rPr>
        <w:t>Ability to consume more than 1/16</w:t>
      </w:r>
      <w:r>
        <w:rPr>
          <w:sz w:val="24"/>
          <w:vertAlign w:val="superscript"/>
        </w:rPr>
        <w:t>th</w:t>
      </w:r>
      <w:r>
        <w:rPr>
          <w:sz w:val="24"/>
        </w:rPr>
        <w:t xml:space="preserve"> of MDQ during any given hour.</w:t>
      </w:r>
    </w:p>
    <w:p>
      <w:pPr>
        <w:pStyle w:val="Normal"/>
        <w:ind w:start="720" w:end="0"/>
        <w:rPr>
          <w:sz w:val="24"/>
        </w:rPr>
      </w:pPr>
      <w:r>
        <w:rPr>
          <w:sz w:val="24"/>
        </w:rPr>
      </w:r>
    </w:p>
    <w:p>
      <w:pPr>
        <w:pStyle w:val="Heading1"/>
        <w:ind w:hanging="0" w:start="0"/>
        <w:rPr/>
      </w:pPr>
      <w:r>
        <w:rPr/>
        <w:t>Intermediate load facilities – Combined Cycle Units</w:t>
      </w:r>
    </w:p>
    <w:p>
      <w:pPr>
        <w:pStyle w:val="Normal"/>
        <w:rPr>
          <w:sz w:val="24"/>
        </w:rPr>
      </w:pPr>
      <w:r>
        <w:rPr>
          <w:sz w:val="24"/>
        </w:rPr>
        <w:t>(High load factors; usually run for 5 x 16 blocks of power supply)</w:t>
      </w:r>
    </w:p>
    <w:p>
      <w:pPr>
        <w:pStyle w:val="Normal"/>
        <w:rPr>
          <w:sz w:val="24"/>
        </w:rPr>
      </w:pPr>
      <w:r>
        <w:rPr>
          <w:sz w:val="24"/>
        </w:rPr>
      </w:r>
    </w:p>
    <w:p>
      <w:pPr>
        <w:pStyle w:val="Normal"/>
        <w:numPr>
          <w:ilvl w:val="0"/>
          <w:numId w:val="5"/>
        </w:numPr>
        <w:rPr>
          <w:sz w:val="24"/>
        </w:rPr>
      </w:pPr>
      <w:r>
        <w:rPr>
          <w:sz w:val="24"/>
        </w:rPr>
        <w:t>More likely to procure firm transportation due to load profile, winter generation requirements, and large volumes required for operation.</w:t>
      </w:r>
    </w:p>
    <w:p>
      <w:pPr>
        <w:pStyle w:val="Normal"/>
        <w:numPr>
          <w:ilvl w:val="0"/>
          <w:numId w:val="5"/>
        </w:numPr>
        <w:rPr>
          <w:sz w:val="24"/>
        </w:rPr>
      </w:pPr>
      <w:r>
        <w:rPr>
          <w:sz w:val="24"/>
        </w:rPr>
        <w:t>Supply source diversity.</w:t>
      </w:r>
    </w:p>
    <w:p>
      <w:pPr>
        <w:pStyle w:val="Normal"/>
        <w:numPr>
          <w:ilvl w:val="0"/>
          <w:numId w:val="5"/>
        </w:numPr>
        <w:rPr>
          <w:sz w:val="24"/>
        </w:rPr>
      </w:pPr>
      <w:r>
        <w:rPr>
          <w:sz w:val="24"/>
        </w:rPr>
        <w:t>No-notice and large swing tolerances not required due to known operating characteristics.</w:t>
      </w:r>
    </w:p>
    <w:p>
      <w:pPr>
        <w:pStyle w:val="Normal"/>
        <w:rPr>
          <w:sz w:val="24"/>
        </w:rPr>
      </w:pPr>
      <w:r>
        <w:rPr>
          <w:sz w:val="24"/>
        </w:rPr>
      </w:r>
    </w:p>
    <w:p>
      <w:pPr>
        <w:pStyle w:val="Normal"/>
        <w:rPr>
          <w:sz w:val="24"/>
          <w:u w:val="single"/>
        </w:rPr>
      </w:pPr>
      <w:r>
        <w:rPr>
          <w:sz w:val="24"/>
          <w:u w:val="single"/>
        </w:rPr>
        <w:t>2 – Strategy to capitalize on hourly market opportunities:</w:t>
      </w:r>
    </w:p>
    <w:p>
      <w:pPr>
        <w:pStyle w:val="Normal"/>
        <w:rPr>
          <w:sz w:val="24"/>
          <w:u w:val="single"/>
        </w:rPr>
      </w:pPr>
      <w:r>
        <w:rPr>
          <w:sz w:val="24"/>
          <w:u w:val="single"/>
        </w:rPr>
      </w:r>
    </w:p>
    <w:p>
      <w:pPr>
        <w:pStyle w:val="Normal"/>
        <w:rPr>
          <w:sz w:val="24"/>
        </w:rPr>
      </w:pPr>
      <w:r>
        <w:rPr>
          <w:sz w:val="24"/>
        </w:rPr>
        <w:t>A – Get approval of the PowerPak tariff through the FERC 637 filing.</w:t>
      </w:r>
    </w:p>
    <w:p>
      <w:pPr>
        <w:pStyle w:val="Normal"/>
        <w:rPr>
          <w:sz w:val="24"/>
        </w:rPr>
      </w:pPr>
      <w:r>
        <w:rPr>
          <w:sz w:val="24"/>
        </w:rPr>
      </w:r>
    </w:p>
    <w:p>
      <w:pPr>
        <w:pStyle w:val="Normal"/>
        <w:rPr/>
      </w:pPr>
      <w:r>
        <w:rPr>
          <w:sz w:val="24"/>
        </w:rPr>
        <w:t>B – File for an interruptible hourly overrun rate in order to take the first steps towards hourly take enforcement (economic incentive not to exceed the 1/16</w:t>
      </w:r>
      <w:r>
        <w:rPr>
          <w:sz w:val="24"/>
          <w:vertAlign w:val="superscript"/>
        </w:rPr>
        <w:t>th</w:t>
      </w:r>
      <w:r>
        <w:rPr>
          <w:sz w:val="24"/>
        </w:rPr>
        <w:t xml:space="preserve"> hourly limitation).</w:t>
      </w:r>
    </w:p>
    <w:p>
      <w:pPr>
        <w:pStyle w:val="Normal"/>
        <w:numPr>
          <w:ilvl w:val="0"/>
          <w:numId w:val="3"/>
        </w:numPr>
        <w:tabs>
          <w:tab w:val="clear" w:pos="720"/>
          <w:tab w:val="left" w:pos="1170" w:leader="none"/>
        </w:tabs>
        <w:ind w:hanging="360" w:start="1170" w:end="0"/>
        <w:rPr>
          <w:sz w:val="24"/>
        </w:rPr>
      </w:pPr>
      <w:r>
        <w:rPr>
          <w:sz w:val="24"/>
        </w:rPr>
        <w:t>Is this also applicable to TI contracts?  (Max. hour is vague in tariff.)</w:t>
      </w:r>
    </w:p>
    <w:p>
      <w:pPr>
        <w:pStyle w:val="Normal"/>
        <w:numPr>
          <w:ilvl w:val="0"/>
          <w:numId w:val="3"/>
        </w:numPr>
        <w:tabs>
          <w:tab w:val="clear" w:pos="720"/>
          <w:tab w:val="left" w:pos="1170" w:leader="none"/>
        </w:tabs>
        <w:ind w:hanging="360" w:start="1170" w:end="0"/>
        <w:rPr>
          <w:sz w:val="24"/>
        </w:rPr>
      </w:pPr>
      <w:r>
        <w:rPr>
          <w:sz w:val="24"/>
        </w:rPr>
        <w:t>Can this be enforced on a discriminatory basis?  (E.g. hourly flows monitored on existing customers that NNG believes violate the hourly tariff provisions.)</w:t>
      </w:r>
    </w:p>
    <w:p>
      <w:pPr>
        <w:pStyle w:val="Normal"/>
        <w:numPr>
          <w:ilvl w:val="0"/>
          <w:numId w:val="3"/>
        </w:numPr>
        <w:tabs>
          <w:tab w:val="clear" w:pos="720"/>
          <w:tab w:val="left" w:pos="1170" w:leader="none"/>
        </w:tabs>
        <w:ind w:hanging="360" w:start="1170" w:end="0"/>
        <w:rPr>
          <w:sz w:val="24"/>
        </w:rPr>
      </w:pPr>
      <w:r>
        <w:rPr>
          <w:sz w:val="24"/>
        </w:rPr>
        <w:t>How do we split volumes at multi-customer TBS points?</w:t>
      </w:r>
    </w:p>
    <w:p>
      <w:pPr>
        <w:pStyle w:val="Normal"/>
        <w:ind w:start="810" w:end="0"/>
        <w:rPr>
          <w:sz w:val="24"/>
        </w:rPr>
      </w:pPr>
      <w:r>
        <w:rPr>
          <w:sz w:val="24"/>
        </w:rPr>
      </w:r>
    </w:p>
    <w:p>
      <w:pPr>
        <w:pStyle w:val="Normal"/>
        <w:rPr/>
      </w:pPr>
      <w:r>
        <w:rPr>
          <w:sz w:val="24"/>
        </w:rPr>
        <w:t>C – File for an hourly firm service that allows shippers take deliveries at levels higher that 1/16</w:t>
      </w:r>
      <w:r>
        <w:rPr>
          <w:sz w:val="24"/>
          <w:vertAlign w:val="superscript"/>
        </w:rPr>
        <w:t>th</w:t>
      </w:r>
      <w:r>
        <w:rPr>
          <w:sz w:val="24"/>
        </w:rPr>
        <w:t xml:space="preserve"> of the MDQ.  This rate could include a MHQ (Maximum Hourly Quantity) level, based on the MDQ.  Receipt of gas volumes would be through traditional methods.  Variances would also be handled using existing protocol.  Nominations for deliveries could occur up to one hour before flow.  This could be a demand and commodity based rate.</w:t>
      </w:r>
    </w:p>
    <w:p>
      <w:pPr>
        <w:pStyle w:val="Normal"/>
        <w:rPr>
          <w:sz w:val="24"/>
        </w:rPr>
      </w:pPr>
      <w:r>
        <w:rPr>
          <w:sz w:val="24"/>
        </w:rPr>
        <w:t xml:space="preserve"> </w:t>
      </w:r>
    </w:p>
    <w:p>
      <w:pPr>
        <w:pStyle w:val="BodyText"/>
        <w:rPr/>
      </w:pPr>
      <w:r>
        <w:rPr/>
        <w:t>D – File for a firm, no-notice service which would be a bundled package offering firm transportation, firm storage withdrawal, firm hourly flow rights, and agency services (for storage true-up).  This could be a commodity-based rate.</w:t>
      </w:r>
    </w:p>
    <w:p>
      <w:pPr>
        <w:pStyle w:val="BodyText"/>
        <w:rPr/>
      </w:pPr>
      <w:r>
        <w:rPr/>
      </w:r>
    </w:p>
    <w:p>
      <w:pPr>
        <w:pStyle w:val="Normal"/>
        <w:rPr>
          <w:sz w:val="24"/>
        </w:rPr>
      </w:pPr>
      <w:r>
        <w:rPr>
          <w:sz w:val="24"/>
        </w:rPr>
        <w:t xml:space="preserve">E – In the long run, convert the NNG system from a daily balanced system to an hourly balanced system for deliveries.    </w:t>
      </w:r>
    </w:p>
    <w:p>
      <w:pPr>
        <w:pStyle w:val="Normal"/>
        <w:ind w:start="765" w:end="0"/>
        <w:rPr>
          <w:sz w:val="24"/>
        </w:rPr>
      </w:pPr>
      <w:r>
        <w:rPr>
          <w:sz w:val="24"/>
        </w:rPr>
      </w:r>
    </w:p>
    <w:p>
      <w:pPr>
        <w:pStyle w:val="Normal"/>
        <w:ind w:start="720" w:end="0"/>
        <w:rPr>
          <w:sz w:val="24"/>
        </w:rPr>
      </w:pPr>
      <w:r>
        <w:rPr>
          <w:sz w:val="24"/>
        </w:rPr>
      </w:r>
    </w:p>
    <w:p>
      <w:pPr>
        <w:pStyle w:val="Normal"/>
        <w:ind w:start="720" w:end="0"/>
        <w:rPr/>
      </w:pPr>
      <w:r>
        <w:rPr/>
      </w:r>
    </w:p>
    <w:p>
      <w:pPr>
        <w:pStyle w:val="Normal"/>
        <w:rPr/>
      </w:pPr>
      <w:r>
        <w:rPr/>
      </w:r>
    </w:p>
    <w:p>
      <w:pPr>
        <w:pStyle w:val="Normal"/>
        <w:ind w:start="720" w:end="0"/>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2000-11-09T11:08:00Z</dcterms:created>
  <dc:creator>Enron</dc:creator>
  <dc:description/>
  <dc:language>en-CA</dc:language>
  <cp:lastModifiedBy>Enron</cp:lastModifiedBy>
  <cp:lastPrinted>2000-11-08T16:51:00Z</cp:lastPrinted>
  <dcterms:modified xsi:type="dcterms:W3CDTF">2000-11-09T11:08:00Z</dcterms:modified>
  <cp:revision>2</cp:revision>
  <dc:subject/>
  <dc:title>Hourly firm discussion points</dc:title>
</cp:coreProperties>
</file>