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cs="Arial"/>
          <w:sz w:val="32"/>
        </w:rPr>
      </w:pPr>
      <w:r>
        <w:rPr>
          <w:rFonts w:cs="Arial" w:ascii="Arial" w:hAnsi="Arial"/>
          <w:sz w:val="32"/>
        </w:rPr>
        <w:t>METHODOLOGY FOR MWD HOURLY PRICE INDEXES</w:t>
      </w:r>
    </w:p>
    <w:p>
      <w:pPr>
        <w:pStyle w:val="Normal"/>
        <w:rPr>
          <w:rFonts w:ascii="Arial" w:hAnsi="Arial" w:cs="Arial"/>
          <w:sz w:val="32"/>
        </w:rPr>
      </w:pPr>
      <w:r>
        <w:rPr>
          <w:rFonts w:cs="Arial" w:ascii="Arial" w:hAnsi="Arial"/>
          <w:sz w:val="32"/>
        </w:rPr>
      </w:r>
    </w:p>
    <w:p>
      <w:pPr>
        <w:pStyle w:val="Normal"/>
        <w:rPr>
          <w:rFonts w:ascii="Arial" w:hAnsi="Arial" w:cs="Arial"/>
        </w:rPr>
      </w:pPr>
      <w:r>
        <w:rPr>
          <w:rFonts w:cs="Arial" w:ascii="Arial" w:hAnsi="Arial"/>
        </w:rPr>
        <w:tab/>
        <w:t>Megawatt Daily (MWD) collects trade data for hourly transactions at selected regions and hubs. That data is consolidated for each hour of the peak and off-peak periods (where applicable) and is presented in the form of volume-weighted average costs of power (wacops) in U.S.$/Mwh. Peak hourly indexes are for the hours ending 0700-2200, Monday through Friday, excluding NERC holidays; off-peak are for the hours ending 2300 through 0600. Trades of less than 10 MW are excluded from the index calculation.</w:t>
      </w:r>
    </w:p>
    <w:p>
      <w:pPr>
        <w:pStyle w:val="Normal"/>
        <w:rPr>
          <w:rFonts w:ascii="Arial" w:hAnsi="Arial" w:cs="Arial"/>
        </w:rPr>
      </w:pPr>
      <w:r>
        <w:rPr>
          <w:rFonts w:cs="Arial" w:ascii="Arial" w:hAnsi="Arial"/>
        </w:rPr>
        <w:tab/>
        <w:t>Hourly price indexes are available to certain subscribers through files posted on the MWD web site. Peak indices are posted by 9 a.m. on the first business day following the transaction date.</w:t>
      </w:r>
    </w:p>
    <w:p>
      <w:pPr>
        <w:pStyle w:val="Normal"/>
        <w:ind w:firstLine="720" w:end="0"/>
        <w:rPr>
          <w:rFonts w:ascii="Arial" w:hAnsi="Arial" w:cs="Arial"/>
        </w:rPr>
      </w:pPr>
      <w:r>
        <w:rPr>
          <w:rFonts w:cs="Arial" w:ascii="Arial" w:hAnsi="Arial"/>
        </w:rPr>
        <w:t>The price and volume information is gathered by the MWD price reporters from companies which trade for those periods, and it is consolidated in accordance with the standard methodology used for the MWD Market Report for daily prescheduled trades. Information provided by those sources is held in strictest confidence by MWD, and all information forwarded to MWD – either in printed or electronic formats – is destroyed after a maximum of two weeks, during which time it is kept for confirmation purposes. (A copy of our confidentiality agreement is available upon request.)</w:t>
      </w:r>
    </w:p>
    <w:p>
      <w:pPr>
        <w:pStyle w:val="Normal"/>
        <w:ind w:firstLine="720" w:end="0"/>
        <w:rPr>
          <w:rFonts w:ascii="Arial" w:hAnsi="Arial" w:cs="Arial"/>
        </w:rPr>
      </w:pPr>
      <w:r>
        <w:rPr>
          <w:rFonts w:cs="Arial" w:ascii="Arial" w:hAnsi="Arial"/>
        </w:rPr>
        <w:t>Following are specific criteria for the locations currently surveyed.</w:t>
      </w:r>
    </w:p>
    <w:p>
      <w:pPr>
        <w:pStyle w:val="Normal"/>
        <w:rPr>
          <w:rFonts w:ascii="Arial" w:hAnsi="Arial" w:cs="Arial"/>
        </w:rPr>
      </w:pPr>
      <w:r>
        <w:rPr>
          <w:rFonts w:cs="Arial" w:ascii="Arial" w:hAnsi="Arial"/>
        </w:rPr>
      </w:r>
    </w:p>
    <w:p>
      <w:pPr>
        <w:pStyle w:val="bhead"/>
        <w:widowControl/>
        <w:rPr>
          <w:rFonts w:ascii="Arial" w:hAnsi="Arial" w:cs="Arial"/>
          <w:w w:val="100"/>
          <w:szCs w:val="24"/>
        </w:rPr>
      </w:pPr>
      <w:r>
        <w:rPr>
          <w:rFonts w:cs="Arial" w:ascii="Arial" w:hAnsi="Arial"/>
          <w:w w:val="100"/>
          <w:szCs w:val="24"/>
        </w:rPr>
      </w:r>
    </w:p>
    <w:p>
      <w:pPr>
        <w:pStyle w:val="Normal"/>
        <w:rPr>
          <w:rFonts w:ascii="Arial" w:hAnsi="Arial" w:cs="Arial"/>
          <w:w w:val="100"/>
          <w:szCs w:val="24"/>
        </w:rPr>
      </w:pPr>
      <w:r>
        <w:rPr>
          <w:rFonts w:cs="Arial" w:ascii="Arial" w:hAnsi="Arial"/>
          <w:w w:val="100"/>
          <w:szCs w:val="24"/>
        </w:rPr>
      </w:r>
    </w:p>
    <w:p>
      <w:pPr>
        <w:pStyle w:val="Normal"/>
        <w:rPr>
          <w:rFonts w:ascii="Arial" w:hAnsi="Arial" w:cs="Arial"/>
          <w:b/>
          <w:bCs/>
        </w:rPr>
      </w:pPr>
      <w:r>
        <w:rPr>
          <w:rFonts w:cs="Arial" w:ascii="Arial" w:hAnsi="Arial"/>
          <w:b/>
          <w:bCs/>
        </w:rPr>
        <w:t>INTO CINERGY</w:t>
      </w:r>
      <w:r>
        <w:rPr>
          <w:rFonts w:cs="Arial" w:ascii="Arial" w:hAnsi="Arial"/>
        </w:rPr>
        <w:t xml:space="preserve"> </w:t>
      </w:r>
    </w:p>
    <w:p>
      <w:pPr>
        <w:pStyle w:val="Normal"/>
        <w:rPr>
          <w:rFonts w:ascii="Arial" w:hAnsi="Arial" w:cs="Arial"/>
          <w:b/>
          <w:bCs/>
        </w:rPr>
      </w:pPr>
      <w:r>
        <w:rPr>
          <w:rFonts w:cs="Arial" w:ascii="Arial" w:hAnsi="Arial"/>
          <w:b/>
          <w:bCs/>
        </w:rPr>
      </w:r>
    </w:p>
    <w:p>
      <w:pPr>
        <w:pStyle w:val="BodyTextIndent"/>
        <w:rPr/>
      </w:pPr>
      <w:r>
        <w:rPr/>
        <w:t>Trades that meet the following criteria are gathered for calculation of the Cinergy hourly indexes:</w:t>
      </w:r>
    </w:p>
    <w:p>
      <w:pPr>
        <w:pStyle w:val="BodyTextIndent"/>
        <w:rPr/>
      </w:pPr>
      <w:r>
        <w:rPr/>
      </w:r>
    </w:p>
    <w:p>
      <w:pPr>
        <w:pStyle w:val="Normal"/>
        <w:rPr/>
      </w:pPr>
      <w:r>
        <w:rPr>
          <w:rFonts w:cs="Arial" w:ascii="Arial" w:hAnsi="Arial"/>
          <w:b/>
          <w:bCs/>
        </w:rPr>
        <w:tab/>
        <w:t xml:space="preserve">● </w:t>
      </w:r>
      <w:r>
        <w:rPr>
          <w:rFonts w:cs="Arial" w:ascii="Arial" w:hAnsi="Arial"/>
        </w:rPr>
        <w:t>Any purchase that originates within the Cinergy transmission system</w:t>
      </w:r>
    </w:p>
    <w:p>
      <w:pPr>
        <w:pStyle w:val="Normal"/>
        <w:rPr/>
      </w:pPr>
      <w:r>
        <w:rPr>
          <w:rFonts w:cs="Arial" w:ascii="Arial" w:hAnsi="Arial"/>
        </w:rPr>
        <w:tab/>
      </w:r>
      <w:r>
        <w:rPr>
          <w:rFonts w:cs="Arial" w:ascii="Arial" w:hAnsi="Arial"/>
          <w:b/>
          <w:bCs/>
        </w:rPr>
        <w:t xml:space="preserve">● </w:t>
      </w:r>
      <w:r>
        <w:rPr>
          <w:rFonts w:cs="Arial" w:ascii="Arial" w:hAnsi="Arial"/>
        </w:rPr>
        <w:t>Any sale that sinks into the Cinergy transmission system</w:t>
      </w:r>
    </w:p>
    <w:p>
      <w:pPr>
        <w:pStyle w:val="Normal"/>
        <w:rPr/>
      </w:pPr>
      <w:r>
        <w:rPr>
          <w:rFonts w:cs="Arial" w:ascii="Arial" w:hAnsi="Arial"/>
        </w:rPr>
        <w:tab/>
      </w:r>
      <w:r>
        <w:rPr>
          <w:rFonts w:cs="Arial" w:ascii="Arial" w:hAnsi="Arial"/>
          <w:b/>
          <w:bCs/>
        </w:rPr>
        <w:t>●</w:t>
      </w:r>
      <w:r>
        <w:rPr>
          <w:rFonts w:cs="Arial" w:ascii="Arial" w:hAnsi="Arial"/>
        </w:rPr>
        <w:t xml:space="preserve"> Any trade that occurs within the Cinergy control area</w:t>
      </w:r>
    </w:p>
    <w:p>
      <w:pPr>
        <w:pStyle w:val="Normal"/>
        <w:rPr/>
      </w:pPr>
      <w:r>
        <w:rPr>
          <w:rFonts w:cs="Arial" w:ascii="Arial" w:hAnsi="Arial"/>
        </w:rPr>
        <w:tab/>
      </w:r>
      <w:r>
        <w:rPr>
          <w:rFonts w:cs="Arial" w:ascii="Arial" w:hAnsi="Arial"/>
          <w:b/>
          <w:bCs/>
        </w:rPr>
        <w:t xml:space="preserve">● </w:t>
      </w:r>
      <w:r>
        <w:rPr>
          <w:rFonts w:cs="Arial" w:ascii="Arial" w:hAnsi="Arial"/>
        </w:rPr>
        <w:t xml:space="preserve">Any trade that is transacted at a Cinergy border and is transmitted through the Cinergy transmission system   </w:t>
      </w:r>
    </w:p>
    <w:p>
      <w:pPr>
        <w:pStyle w:val="bhead"/>
        <w:widowControl/>
        <w:rPr>
          <w:rFonts w:ascii="Arial" w:hAnsi="Arial" w:cs="Arial"/>
          <w:w w:val="100"/>
          <w:szCs w:val="24"/>
        </w:rPr>
      </w:pPr>
      <w:r>
        <w:rPr>
          <w:rFonts w:cs="Arial" w:ascii="Arial" w:hAnsi="Arial"/>
          <w:w w:val="100"/>
          <w:szCs w:val="24"/>
        </w:rPr>
      </w:r>
    </w:p>
    <w:p>
      <w:pPr>
        <w:pStyle w:val="Normal"/>
        <w:rPr>
          <w:rFonts w:ascii="Arial" w:hAnsi="Arial" w:cs="Arial"/>
          <w:w w:val="100"/>
          <w:szCs w:val="24"/>
        </w:rPr>
      </w:pPr>
      <w:r>
        <w:rPr>
          <w:rFonts w:cs="Arial" w:ascii="Arial" w:hAnsi="Arial"/>
          <w:w w:val="100"/>
          <w:szCs w:val="24"/>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Helvetica Compressed">
    <w:charset w:val="00" w:characterSet="windows-1252"/>
    <w:family w:val="swiss"/>
    <w:pitch w:val="variable"/>
  </w:font>
  <w:font w:name="Helvetica">
    <w:altName w:val="Arial"/>
    <w:charset w:val="00" w:characterSet="windows-1252"/>
    <w:family w:val="swiss"/>
    <w:pitch w:val="variable"/>
  </w:font>
  <w:font w:name="Helvetica Black">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b/>
      <w:bCs/>
      <w:sz w:val="36"/>
      <w:u w:val="single"/>
    </w:rPr>
  </w:style>
  <w:style w:type="character" w:styleId="WW8Num1z0">
    <w:name w:val="WW8Num1z0"/>
    <w:qFormat/>
    <w:rPr>
      <w:rFonts w:ascii="Times New Roman" w:hAnsi="Times New Roman" w:eastAsia="Times New Roman" w:cs="Times New Roman"/>
      <w:b/>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2z0">
    <w:name w:val="WW8Num2z0"/>
    <w:qFormat/>
    <w:rPr>
      <w:rFonts w:ascii="Times New Roman" w:hAnsi="Times New Roman" w:eastAsia="Times New Roman" w:cs="Times New Roman"/>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jc w:val="center"/>
    </w:pPr>
    <w:rPr>
      <w:b/>
      <w:bCs/>
      <w:sz w:val="36"/>
      <w:u w:val="single"/>
    </w:rPr>
  </w:style>
  <w:style w:type="paragraph" w:styleId="BodyText">
    <w:name w:val="Body Text"/>
    <w:basedOn w:val="Normal"/>
    <w:pPr/>
    <w:rPr>
      <w:sz w:val="2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head">
    <w:name w:val="bhead"/>
    <w:qFormat/>
    <w:pPr>
      <w:widowControl w:val="false"/>
      <w:bidi w:val="0"/>
    </w:pPr>
    <w:rPr>
      <w:rFonts w:ascii="Helvetica Compressed" w:hAnsi="Helvetica Compressed" w:eastAsia="Times New Roman" w:cs="Helvetica Compressed"/>
      <w:color w:val="auto"/>
      <w:w w:val="85"/>
      <w:sz w:val="24"/>
      <w:szCs w:val="20"/>
      <w:lang w:val="en-US" w:bidi="ar-SA" w:eastAsia="zh-CN"/>
    </w:rPr>
  </w:style>
  <w:style w:type="paragraph" w:styleId="btext">
    <w:name w:val="btext"/>
    <w:qFormat/>
    <w:pPr>
      <w:widowControl/>
      <w:tabs>
        <w:tab w:val="clear" w:pos="720"/>
        <w:tab w:val="left" w:pos="360" w:leader="none"/>
        <w:tab w:val="right" w:pos="3430" w:leader="none"/>
      </w:tabs>
      <w:bidi w:val="0"/>
      <w:jc w:val="both"/>
    </w:pPr>
    <w:rPr>
      <w:rFonts w:ascii="Helvetica" w:hAnsi="Helvetica" w:eastAsia="Times New Roman" w:cs="Helvetica"/>
      <w:color w:val="auto"/>
      <w:sz w:val="18"/>
      <w:szCs w:val="20"/>
      <w:lang w:val="en-US" w:bidi="ar-SA" w:eastAsia="zh-CN"/>
    </w:rPr>
  </w:style>
  <w:style w:type="paragraph" w:styleId="head">
    <w:name w:val="head"/>
    <w:basedOn w:val="Normal"/>
    <w:qFormat/>
    <w:pPr>
      <w:spacing w:before="0" w:after="120"/>
    </w:pPr>
    <w:rPr>
      <w:rFonts w:ascii="Helvetica Black" w:hAnsi="Helvetica Black" w:cs="Helvetica Black"/>
      <w:sz w:val="28"/>
      <w:szCs w:val="20"/>
    </w:rPr>
  </w:style>
  <w:style w:type="paragraph" w:styleId="subhead">
    <w:name w:val="subhead"/>
    <w:basedOn w:val="Normal"/>
    <w:qFormat/>
    <w:pPr>
      <w:widowControl w:val="false"/>
      <w:tabs>
        <w:tab w:val="clear" w:pos="720"/>
        <w:tab w:val="left" w:pos="360" w:leader="none"/>
        <w:tab w:val="right" w:pos="6883" w:leader="none"/>
      </w:tabs>
      <w:spacing w:before="240" w:after="0"/>
      <w:jc w:val="center"/>
    </w:pPr>
    <w:rPr>
      <w:b/>
      <w:sz w:val="21"/>
      <w:szCs w:val="20"/>
    </w:rPr>
  </w:style>
  <w:style w:type="paragraph" w:styleId="text">
    <w:name w:val="text"/>
    <w:qFormat/>
    <w:pPr>
      <w:widowControl w:val="false"/>
      <w:tabs>
        <w:tab w:val="clear" w:pos="720"/>
        <w:tab w:val="left" w:pos="360" w:leader="none"/>
        <w:tab w:val="right" w:pos="6883" w:leader="none"/>
      </w:tabs>
      <w:bidi w:val="0"/>
      <w:jc w:val="both"/>
    </w:pPr>
    <w:rPr>
      <w:rFonts w:ascii="Times New Roman" w:hAnsi="Times New Roman" w:eastAsia="Times New Roman" w:cs="Times New Roman"/>
      <w:color w:val="auto"/>
      <w:sz w:val="20"/>
      <w:szCs w:val="20"/>
      <w:lang w:val="en-US" w:bidi="ar-SA" w:eastAsia="zh-CN"/>
    </w:rPr>
  </w:style>
  <w:style w:type="paragraph" w:styleId="BodyTextIndent">
    <w:name w:val="Body Text Indent"/>
    <w:basedOn w:val="Normal"/>
    <w:pPr>
      <w:ind w:firstLine="720" w:start="0" w:end="0"/>
    </w:pPr>
    <w:rPr>
      <w:rFonts w:ascii="Arial" w:hAnsi="Arial" w:cs="Arial"/>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2001-08-01T17:02:00Z</dcterms:created>
  <dc:creator>ft user</dc:creator>
  <dc:description/>
  <dc:language>en-CA</dc:language>
  <cp:lastModifiedBy>LLawson</cp:lastModifiedBy>
  <dcterms:modified xsi:type="dcterms:W3CDTF">2001-08-03T12:05:00Z</dcterms:modified>
  <cp:revision>4</cp:revision>
  <dc:subject/>
  <dc:title>METHODOLOGY FOR MWD HOURLY PRICE INDEXES</dc:title>
</cp:coreProperties>
</file>