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Date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Mr. Bob Houck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494 Berkley St.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Harrisburg, PA  17109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Dear Bob: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ind w:firstLine="720" w:end="0"/>
        <w:jc w:val="both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 xml:space="preserve">As Energy Service Providers (ESP's) begin to market products and services to consumers in the deregulated marketplace, new technologies that enable a fully integrated networking infrastructure will be utilized.  These technologies may include communications infrastructures and electronic meters as described in the press release you attached to your letter.  </w:t>
      </w:r>
    </w:p>
    <w:p>
      <w:pPr>
        <w:pStyle w:val="Normal"/>
        <w:autoSpaceDE w:val="false"/>
        <w:spacing w:lineRule="atLeast" w:line="240"/>
        <w:jc w:val="both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</w:r>
    </w:p>
    <w:p>
      <w:pPr>
        <w:pStyle w:val="Normal"/>
        <w:autoSpaceDE w:val="false"/>
        <w:spacing w:lineRule="atLeast" w:line="240"/>
        <w:ind w:firstLine="720" w:end="0"/>
        <w:jc w:val="both"/>
        <w:rPr>
          <w:rFonts w:ascii="Helv;Arial" w:hAnsi="Helv;Arial" w:cs="Helv;Arial"/>
          <w:color w:val="0000FF"/>
          <w:szCs w:val="20"/>
        </w:rPr>
      </w:pPr>
      <w:r>
        <w:rPr>
          <w:rFonts w:cs="Helv;Arial" w:ascii="Helv;Arial" w:hAnsi="Helv;Arial"/>
          <w:color w:val="0000FF"/>
          <w:szCs w:val="20"/>
        </w:rPr>
        <w:t>We are currently deploying fully integrated solutions at our retail customer facilities across the country.  These solutions do include open protocols and electronic metering systems that define a total energy solution.  Our Enron Energy Services business offers an outsourcing solution for a wide range of customer types.  For a better description of the products and services offered by Enron, please visit our website at www.enron.com.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FF"/>
          <w:sz w:val="20"/>
          <w:szCs w:val="20"/>
        </w:rPr>
      </w:pPr>
      <w:r>
        <w:rPr>
          <w:rFonts w:cs="Helv;Arial" w:ascii="Helv;Arial" w:hAnsi="Helv;Arial"/>
          <w:color w:val="0000FF"/>
          <w:sz w:val="20"/>
          <w:szCs w:val="20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rFonts w:cs="Arial" w:ascii="Arial" w:hAnsi="Arial"/>
          <w:color w:val="0000FF"/>
        </w:rPr>
        <w:t>Very truly yours,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ab/>
        <w:tab/>
        <w:tab/>
        <w:tab/>
        <w:tab/>
        <w:tab/>
        <w:tab/>
        <w:t>Kenneth L. Lay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2000-09-20T18:33:00Z</dcterms:created>
  <dc:creator>mlinton</dc:creator>
  <dc:description/>
  <dc:language>en-CA</dc:language>
  <cp:lastModifiedBy>mlinton</cp:lastModifiedBy>
  <cp:lastPrinted>2000-09-20T15:32:00Z</cp:lastPrinted>
  <dcterms:modified xsi:type="dcterms:W3CDTF">2000-09-20T18:33:00Z</dcterms:modified>
  <cp:revision>2</cp:revision>
  <dc:subject/>
  <dc:title>Mr</dc:title>
</cp:coreProperties>
</file>