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s>
        <w:rPr/>
      </w:pPr>
      <w:r>
        <w:rPr>
          <w:rFonts w:cs="Arial" w:ascii="Arial" w:hAnsi="Arial"/>
          <w:sz w:val="24"/>
        </w:rPr>
        <w:t>Date:</w:t>
        <w:tab/>
        <w:t>June 1, 2001</w:t>
        <w:tab/>
        <w:tab/>
      </w:r>
    </w:p>
    <w:p>
      <w:pPr>
        <w:pStyle w:val="Normal"/>
        <w:tabs>
          <w:tab w:val="clear" w:pos="720"/>
          <w:tab w:val="left" w:pos="1170" w:leader="none"/>
        </w:tabs>
        <w:rPr>
          <w:rFonts w:ascii="Arial" w:hAnsi="Arial" w:cs="Arial"/>
          <w:sz w:val="16"/>
        </w:rPr>
      </w:pPr>
      <w:r>
        <w:rPr>
          <w:rFonts w:cs="Arial" w:ascii="Arial" w:hAnsi="Arial"/>
          <w:sz w:val="16"/>
        </w:rPr>
      </w:r>
    </w:p>
    <w:p>
      <w:pPr>
        <w:pStyle w:val="BodyText"/>
        <w:tabs>
          <w:tab w:val="clear" w:pos="720"/>
          <w:tab w:val="left" w:pos="1440" w:leader="none"/>
        </w:tabs>
        <w:rPr/>
      </w:pPr>
      <w:r>
        <w:rPr/>
        <w:t>To:</w:t>
        <w:tab/>
        <w:t>Stan Horton</w:t>
      </w:r>
      <w:r>
        <w:rPr/>
        <w:fldChar w:fldCharType="begin"/>
      </w:r>
      <w:r>
        <w:rPr/>
        <w:instrText xml:space="preserve"> FILLIN "Send To"</w:instrText>
      </w:r>
      <w:r>
        <w:rPr/>
        <w:fldChar w:fldCharType="separate"/>
      </w:r>
      <w:r>
        <w:rPr/>
      </w:r>
      <w:r>
        <w:rPr/>
        <w:fldChar w:fldCharType="end"/>
      </w:r>
      <w:r>
        <w:rPr/>
        <w:fldChar w:fldCharType="begin"/>
      </w:r>
      <w:r>
        <w:rPr/>
        <w:instrText xml:space="preserve"> FILLIN "Copies To"</w:instrText>
      </w:r>
      <w:r>
        <w:rPr/>
        <w:fldChar w:fldCharType="separate"/>
      </w:r>
      <w:r>
        <w:rPr/>
      </w:r>
      <w:r>
        <w:rPr/>
        <w:fldChar w:fldCharType="end"/>
      </w:r>
    </w:p>
    <w:p>
      <w:pPr>
        <w:pStyle w:val="Normal"/>
        <w:tabs>
          <w:tab w:val="clear" w:pos="720"/>
          <w:tab w:val="left" w:pos="1170" w:leader="none"/>
        </w:tabs>
        <w:rPr>
          <w:rFonts w:ascii="Arial" w:hAnsi="Arial" w:cs="Arial"/>
          <w:sz w:val="16"/>
        </w:rPr>
      </w:pPr>
      <w:r>
        <w:rPr>
          <w:rFonts w:cs="Arial" w:ascii="Arial" w:hAnsi="Arial"/>
          <w:sz w:val="16"/>
        </w:rPr>
      </w:r>
    </w:p>
    <w:p>
      <w:pPr>
        <w:pStyle w:val="Normal"/>
        <w:numPr>
          <w:ilvl w:val="0"/>
          <w:numId w:val="0"/>
        </w:numPr>
        <w:tabs>
          <w:tab w:val="clear" w:pos="720"/>
          <w:tab w:val="left" w:pos="1440" w:leader="none"/>
        </w:tabs>
        <w:outlineLvl w:val="0"/>
        <w:rPr>
          <w:rFonts w:ascii="Arial" w:hAnsi="Arial" w:cs="Arial"/>
          <w:sz w:val="24"/>
        </w:rPr>
      </w:pPr>
      <w:r>
        <w:rPr>
          <w:rFonts w:cs="Arial" w:ascii="Arial" w:hAnsi="Arial"/>
          <w:sz w:val="24"/>
        </w:rPr>
        <w:t>From:</w:t>
        <w:tab/>
        <w:t>Adam Umanoff</w:t>
      </w:r>
      <w:r>
        <w:rPr>
          <w:rFonts w:cs="Arial" w:ascii="Arial" w:hAnsi="Arial"/>
          <w:sz w:val="24"/>
        </w:rPr>
        <w:fldChar w:fldCharType="begin"/>
      </w:r>
      <w:r>
        <w:rPr>
          <w:sz w:val="24"/>
          <w:rFonts w:cs="Arial" w:ascii="Arial" w:hAnsi="Arial"/>
        </w:rPr>
        <w:instrText xml:space="preserve"> FILLIN "From Sender"</w:instrText>
      </w:r>
      <w:r>
        <w:rPr>
          <w:sz w:val="24"/>
          <w:rFonts w:cs="Arial" w:ascii="Arial" w:hAnsi="Arial"/>
        </w:rPr>
        <w:fldChar w:fldCharType="separate"/>
      </w:r>
      <w:r>
        <w:rPr>
          <w:sz w:val="24"/>
          <w:rFonts w:cs="Arial" w:ascii="Arial" w:hAnsi="Arial"/>
        </w:rPr>
      </w:r>
      <w:r>
        <w:rPr>
          <w:sz w:val="24"/>
          <w:rFonts w:cs="Arial" w:ascii="Arial" w:hAnsi="Arial"/>
        </w:rPr>
        <w:fldChar w:fldCharType="end"/>
      </w:r>
    </w:p>
    <w:p>
      <w:pPr>
        <w:pStyle w:val="Normal"/>
        <w:tabs>
          <w:tab w:val="clear" w:pos="720"/>
          <w:tab w:val="left" w:pos="1170" w:leader="none"/>
        </w:tabs>
        <w:rPr>
          <w:rFonts w:ascii="Arial" w:hAnsi="Arial" w:cs="Arial"/>
          <w:sz w:val="16"/>
        </w:rPr>
      </w:pPr>
      <w:r>
        <w:rPr>
          <w:rFonts w:cs="Arial" w:ascii="Arial" w:hAnsi="Arial"/>
          <w:sz w:val="16"/>
        </w:rPr>
      </w:r>
    </w:p>
    <w:p>
      <w:pPr>
        <w:pStyle w:val="Normal"/>
        <w:tabs>
          <w:tab w:val="clear" w:pos="720"/>
          <w:tab w:val="left" w:pos="1440" w:leader="none"/>
        </w:tabs>
        <w:spacing w:lineRule="auto" w:line="360"/>
        <w:rPr>
          <w:rFonts w:ascii="Arial" w:hAnsi="Arial" w:cs="Arial"/>
        </w:rPr>
      </w:pPr>
      <w:r>
        <w:rPr>
          <w:rFonts w:cs="Arial" w:ascii="Arial" w:hAnsi="Arial"/>
          <w:sz w:val="24"/>
        </w:rPr>
        <w:t>Subject:</w:t>
      </w:r>
      <w:r>
        <w:rPr>
          <w:rFonts w:cs="Arial" w:ascii="Arial" w:hAnsi="Arial"/>
          <w:caps/>
          <w:sz w:val="24"/>
        </w:rPr>
        <w:tab/>
        <w:t>Enron Wind Update/Week ended 1 june</w:t>
      </w:r>
      <w:r>
        <w:rPr>
          <w:rFonts w:cs="Arial" w:ascii="Arial" w:hAnsi="Arial"/>
          <w:caps/>
          <w:sz w:val="24"/>
        </w:rPr>
        <w:fldChar w:fldCharType="begin"/>
      </w:r>
      <w:r>
        <w:rPr>
          <w:caps/>
          <w:sz w:val="24"/>
          <w:rFonts w:cs="Arial" w:ascii="Arial" w:hAnsi="Arial"/>
        </w:rPr>
        <w:instrText xml:space="preserve"> FILLIN "SUBJECT"</w:instrText>
      </w:r>
      <w:r>
        <w:rPr>
          <w:caps/>
          <w:sz w:val="24"/>
          <w:rFonts w:cs="Arial" w:ascii="Arial" w:hAnsi="Arial"/>
        </w:rPr>
        <w:fldChar w:fldCharType="separate"/>
      </w:r>
      <w:r>
        <w:rPr>
          <w:caps/>
          <w:sz w:val="24"/>
          <w:rFonts w:cs="Arial" w:ascii="Arial" w:hAnsi="Arial"/>
        </w:rPr>
      </w:r>
      <w:r>
        <w:rPr>
          <w:caps/>
          <w:sz w:val="24"/>
          <w:rFonts w:cs="Arial" w:ascii="Arial" w:hAnsi="Arial"/>
        </w:rPr>
        <w:fldChar w:fldCharType="end"/>
      </w:r>
    </w:p>
    <w:p>
      <w:pPr>
        <w:pStyle w:val="Normal"/>
        <w:pBdr>
          <w:bottom w:val="single" w:sz="18" w:space="1" w:color="000000"/>
        </w:pBdr>
        <w:ind w:end="-270"/>
        <w:rPr>
          <w:rFonts w:ascii="Arial" w:hAnsi="Arial" w:cs="Arial"/>
        </w:rPr>
      </w:pPr>
      <w:r>
        <w:rPr>
          <w:rFonts w:cs="Arial" w:ascii="Arial" w:hAnsi="Arial"/>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r>
      <w:r>
        <w:rPr>
          <w:rFonts w:cs="Arial" w:ascii="Arial" w:hAnsi="Arial"/>
          <w:b/>
          <w:sz w:val="24"/>
        </w:rPr>
        <w:t>TRANSACTION/ACTION</w:t>
      </w:r>
      <w:r>
        <w:rPr>
          <w:rFonts w:cs="Arial" w:ascii="Arial" w:hAnsi="Arial"/>
          <w:sz w:val="24"/>
        </w:rPr>
        <w:tab/>
        <w:tab/>
        <w:tab/>
        <w:tab/>
      </w:r>
      <w:r>
        <w:rPr>
          <w:rFonts w:cs="Arial" w:ascii="Arial" w:hAnsi="Arial"/>
          <w:b/>
          <w:sz w:val="24"/>
        </w:rPr>
        <w:t>STATUS (updates in bold)</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BodyText"/>
              <w:rPr/>
            </w:pPr>
            <w:bookmarkStart w:id="0" w:name="Go_to_body_of_Memo"/>
            <w:bookmarkEnd w:id="0"/>
            <w:r>
              <w:rPr/>
              <w:t xml:space="preserve">1.  </w:t>
            </w:r>
            <w:r>
              <w:rPr>
                <w:b/>
              </w:rPr>
              <w:t>Aura/Sale of Enron Wind</w:t>
            </w:r>
          </w:p>
        </w:tc>
        <w:tc>
          <w:tcPr>
            <w:tcW w:w="4788"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b/>
              </w:rPr>
            </w:pPr>
            <w:r>
              <w:rPr>
                <w:b/>
              </w:rPr>
              <w:t>UBS due diligence continues, including site visits with UBS’ lenders in Germany, Spain and the US over the past week.  UBS Americas now involved (will probably provide some of the equity).  UBS Europe is sold on deal; key is getting lenders and UBS Americas comfortable.  We are targeting detailed management presentation to UBS and lenders June 13-15 in London.</w:t>
            </w:r>
          </w:p>
          <w:p>
            <w:pPr>
              <w:pStyle w:val="BodyText"/>
              <w:numPr>
                <w:ilvl w:val="0"/>
                <w:numId w:val="2"/>
              </w:numPr>
              <w:rPr>
                <w:b/>
              </w:rPr>
            </w:pPr>
            <w:r>
              <w:rPr>
                <w:b/>
              </w:rPr>
              <w:t xml:space="preserve">Technical, accounting and financial due diligence well advanced.  We have delivered revised 2002 projections (balance sheet, income statement and cash flows).  Major scrutiny on cash flow – and 2002 certainly much more speculative than 2001.  We have put forward an aggressive set of projections. Legal due diligence delayed as UBS has changed US counsel. Coordinating the due diligence effort, including preparation of upcoming management presentation and financial back-up, could still use more resources.  I have let Mark, Amit et al know this and await response. </w:t>
            </w:r>
          </w:p>
          <w:p>
            <w:pPr>
              <w:pStyle w:val="BodyText"/>
              <w:numPr>
                <w:ilvl w:val="0"/>
                <w:numId w:val="2"/>
              </w:numPr>
              <w:rPr/>
            </w:pPr>
            <w:r>
              <w:rPr>
                <w:b/>
              </w:rPr>
              <w:t xml:space="preserve">LJM taking back-up role, but due diligence is commencing.  Expect detailed accounting/finance review to commence week of June 11. </w:t>
            </w:r>
          </w:p>
        </w:tc>
      </w:tr>
      <w:tr>
        <w:trPr>
          <w:trHeight w:val="4760" w:hRule="atLeast"/>
        </w:trPr>
        <w:tc>
          <w:tcPr>
            <w:tcW w:w="4788" w:type="dxa"/>
            <w:tcBorders>
              <w:top w:val="single" w:sz="4" w:space="0" w:color="000000"/>
              <w:start w:val="single" w:sz="4" w:space="0" w:color="000000"/>
              <w:bottom w:val="single" w:sz="4" w:space="0" w:color="000000"/>
              <w:end w:val="single" w:sz="4" w:space="0" w:color="000000"/>
            </w:tcBorders>
          </w:tcPr>
          <w:p>
            <w:pPr>
              <w:pStyle w:val="BodyText"/>
              <w:rPr/>
            </w:pPr>
            <w:r>
              <w:rPr/>
              <w:t xml:space="preserve">2.  </w:t>
            </w:r>
            <w:r>
              <w:rPr>
                <w:b/>
              </w:rPr>
              <w:t>Key Commercial Transactions</w:t>
            </w:r>
          </w:p>
        </w:tc>
        <w:tc>
          <w:tcPr>
            <w:tcW w:w="4788"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pPr>
            <w:r>
              <w:rPr/>
              <w:t>Indian Mesa I/II Projects (U.S. 160MW) American Electric Power bid to purchase projects has improved substantially (projected gross margin increase from $21mm to $</w:t>
            </w:r>
            <w:r>
              <w:rPr>
                <w:b/>
              </w:rPr>
              <w:t>32</w:t>
            </w:r>
            <w:r>
              <w:rPr/>
              <w:t xml:space="preserve">mm); </w:t>
            </w:r>
            <w:r>
              <w:rPr>
                <w:b/>
              </w:rPr>
              <w:t xml:space="preserve"> approximately $5mm of this increase will be put into increased warranty reserves on our 750 turbines to cover expected expense of accelerating our retrofit program in 2001/2002.  This adjustment is included in our 2002 numbers and will be disclosed in our 2001 updates. </w:t>
            </w:r>
            <w:r>
              <w:rPr/>
              <w:t xml:space="preserve">AEP requires Enron Corp guaranty of our turbine warranties, as they have received in prior transactions.  We have already obtained internal approval for this guaranty.  </w:t>
            </w:r>
            <w:r>
              <w:rPr>
                <w:b/>
              </w:rPr>
              <w:t>Goal to sign detailed term sheet with AEP by June 30, obtain AEP board approval at next board meeting July 25 and sign transaction documents in late July/mid-August. Closing of AEP purchase (in our 2001 projection for December) is contingent on project completion</w:t>
            </w:r>
            <w:r>
              <w:rPr/>
              <w:t xml:space="preserve">. Debt financing on IMI targeted to close June 30; term sheet on IMII debt targeted for June 30 as well </w:t>
            </w:r>
            <w:r>
              <w:rPr>
                <w:b/>
              </w:rPr>
              <w:t>(IMII debt term sheet executed Friday June 1 – non-recourse construction and term financing with Enron supported equity bridge)</w:t>
            </w:r>
            <w:r>
              <w:rPr/>
              <w:t>.</w:t>
            </w:r>
          </w:p>
          <w:p>
            <w:pPr>
              <w:pStyle w:val="BodyText"/>
              <w:numPr>
                <w:ilvl w:val="0"/>
                <w:numId w:val="2"/>
              </w:numPr>
              <w:rPr/>
            </w:pPr>
            <w:r>
              <w:rPr>
                <w:b/>
              </w:rPr>
              <w:t>Final agreements executed for 30MW turbine sale on Fenner project (upstate New York).  Estimated gross margin of $3.8mm right on expectation; construction will commence in June with completion scheduled for November.</w:t>
            </w:r>
          </w:p>
          <w:p>
            <w:pPr>
              <w:pStyle w:val="BodyText"/>
              <w:numPr>
                <w:ilvl w:val="0"/>
                <w:numId w:val="2"/>
              </w:numPr>
              <w:rPr/>
            </w:pPr>
            <w:r>
              <w:rPr>
                <w:b/>
              </w:rPr>
              <w:t xml:space="preserve">US order book for 2001 now at 267 out of target of 300; expect to hit target although with current certainty that Federal PTC will be extended, market urgency to purchase turbines for installation by year-end has lessened. </w:t>
            </w:r>
          </w:p>
          <w:p>
            <w:pPr>
              <w:pStyle w:val="BodyText"/>
              <w:numPr>
                <w:ilvl w:val="0"/>
                <w:numId w:val="2"/>
              </w:numPr>
              <w:rPr/>
            </w:pPr>
            <w:r>
              <w:rPr/>
              <w:t xml:space="preserve">Renewed discussion with Spanish customer EHN for purchase of 200 1.5’s in ‘02/’03; </w:t>
            </w:r>
            <w:r>
              <w:rPr>
                <w:b/>
              </w:rPr>
              <w:t xml:space="preserve">will provide significant backlog for production out of our Spanish facility.  EHN is price driven and asking for turbine sale price which would yield 11% gross margin for us.  May be worth doing to secure backlog but awfully skinny margins will require a real cost savings effort to justify taking the order. </w:t>
            </w:r>
          </w:p>
          <w:p>
            <w:pPr>
              <w:pStyle w:val="BodyText"/>
              <w:numPr>
                <w:ilvl w:val="0"/>
                <w:numId w:val="2"/>
              </w:numPr>
              <w:rPr/>
            </w:pPr>
            <w:r>
              <w:rPr/>
              <w:t xml:space="preserve">Sale of Greek projects continues </w:t>
            </w:r>
            <w:r>
              <w:rPr>
                <w:b/>
              </w:rPr>
              <w:t>but June 30 closing will not be achieved; possible September 30 but signifcant uncertainties remain. P</w:t>
            </w:r>
            <w:r>
              <w:rPr/>
              <w:t>rincipal is equity fund managed by Deutsch Bank, with whom we are now negotiating.</w:t>
            </w:r>
          </w:p>
          <w:p>
            <w:pPr>
              <w:pStyle w:val="BodyText"/>
              <w:numPr>
                <w:ilvl w:val="0"/>
                <w:numId w:val="2"/>
              </w:numPr>
              <w:rPr/>
            </w:pPr>
            <w:r>
              <w:rPr>
                <w:b/>
              </w:rPr>
              <w:t>German installations for Q2, 2001 are behind schedule due to delay in customer building permits/financing; but expect timing variance only; will recover in Q3. Q2 impact under review and will report revised Q2 projections next week</w:t>
            </w:r>
            <w:r>
              <w:rPr/>
              <w:t>.</w:t>
            </w:r>
          </w:p>
          <w:p>
            <w:pPr>
              <w:pStyle w:val="BodyText"/>
              <w:numPr>
                <w:ilvl w:val="0"/>
                <w:numId w:val="2"/>
              </w:numPr>
              <w:rPr/>
            </w:pPr>
            <w:r>
              <w:rPr>
                <w:b/>
              </w:rPr>
              <w:t>Favorable meetings with Irish utility considering major off-shore project; attempting to avoid competitive tender to secure deal; likely 2002/2003 business.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
              <w:rPr/>
            </w:pPr>
            <w:r>
              <w:rPr/>
              <w:t xml:space="preserve">3.  </w:t>
            </w:r>
            <w:r>
              <w:rPr>
                <w:b/>
              </w:rPr>
              <w:t>Engineering/Manufacturing</w:t>
            </w:r>
            <w:r>
              <w:rPr/>
              <w:t>.</w:t>
            </w:r>
          </w:p>
        </w:tc>
        <w:tc>
          <w:tcPr>
            <w:tcW w:w="4788"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pPr>
            <w:r>
              <w:rPr/>
              <w:t xml:space="preserve">Third party suitability due diligence for  gearboxes to be deployed on US turbines continues with mixed to negative results on L&amp;S gearbox (91 units for 2001).  Will conduct accelerated life tests on L&amp;S gearbox; if we do not pass test, will present significant problem for US sales this year.  Working on re-deployment strategy for these gearboxes to less rigorous wind sites and procurement of additional gearboxes to replace L&amp;S. </w:t>
            </w:r>
            <w:r>
              <w:rPr>
                <w:b/>
              </w:rPr>
              <w:t>Have cleared due diligence for turbines (including gearboxes) for IMI/IMII debt financings.</w:t>
            </w:r>
          </w:p>
          <w:p>
            <w:pPr>
              <w:pStyle w:val="BodyText"/>
              <w:numPr>
                <w:ilvl w:val="0"/>
                <w:numId w:val="2"/>
              </w:numPr>
              <w:rPr/>
            </w:pPr>
            <w:r>
              <w:rPr/>
              <w:t xml:space="preserve">Have finalized third party design approvals for new gearbox designs (to be deployed Q3/Q4 ’01), which will overcome current suitability concerns, but not in time to complete all ’01 business. </w:t>
            </w:r>
          </w:p>
          <w:p>
            <w:pPr>
              <w:pStyle w:val="BodyText"/>
              <w:numPr>
                <w:ilvl w:val="0"/>
                <w:numId w:val="2"/>
              </w:numPr>
              <w:rPr/>
            </w:pPr>
            <w:r>
              <w:rPr/>
              <w:t>Have good results on noise testing for 77meter rotor 1.5 WTG, a key hurdle for ’01 and ’02 European sales.</w:t>
            </w:r>
          </w:p>
          <w:p>
            <w:pPr>
              <w:pStyle w:val="BodyText"/>
              <w:numPr>
                <w:ilvl w:val="0"/>
                <w:numId w:val="2"/>
              </w:numPr>
              <w:rPr/>
            </w:pPr>
            <w:r>
              <w:rPr>
                <w:b/>
              </w:rPr>
              <w:t>Prototype development of 3.2MW on-shore and 3.6MW off-shore turbines on schedule with prototype to fly Q4 2001/Q1 2002; key effort for off-shore market.</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
              <w:rPr/>
            </w:pPr>
            <w:r>
              <w:rPr/>
              <w:t xml:space="preserve">4.   </w:t>
            </w:r>
            <w:r>
              <w:rPr>
                <w:b/>
              </w:rPr>
              <w:t>Operations</w:t>
            </w:r>
            <w:r>
              <w:rPr/>
              <w:t>.</w:t>
            </w:r>
          </w:p>
        </w:tc>
        <w:tc>
          <w:tcPr>
            <w:tcW w:w="4788"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b w:val="false"/>
              </w:rPr>
            </w:pPr>
            <w:r>
              <w:rPr>
                <w:b w:val="false"/>
              </w:rPr>
              <w:t>US 750 upgrade program underway; will replace all high speed shafts on 750 fleet over next 2 years (not next 3-4 as originally planned), based on engineering test results which confirm that running with existing shafts could damage other gearbox components</w:t>
            </w:r>
            <w:r>
              <w:rPr/>
              <w:t xml:space="preserve">; </w:t>
            </w:r>
            <w:r>
              <w:rPr>
                <w:b/>
              </w:rPr>
              <w:t>UBS would like us to consider accelerating retrofit in order to sell 750 projects on balance sheet asap</w:t>
            </w:r>
            <w:r>
              <w:rPr>
                <w:b w:val="false"/>
              </w:rPr>
              <w:t>.</w:t>
            </w:r>
          </w:p>
          <w:p>
            <w:pPr>
              <w:pStyle w:val="BodyText"/>
              <w:numPr>
                <w:ilvl w:val="0"/>
                <w:numId w:val="2"/>
              </w:numPr>
              <w:rPr/>
            </w:pPr>
            <w:r>
              <w:rPr/>
              <w:t>Commenced lawsuit against SCE in California for breach of QF contracts.  Cleared all Enron traps in advance.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
              <w:rPr/>
            </w:pPr>
            <w:r>
              <w:rPr/>
              <w:t xml:space="preserve">5.   </w:t>
            </w:r>
            <w:r>
              <w:rPr>
                <w:b/>
              </w:rPr>
              <w:t>HR</w:t>
            </w:r>
          </w:p>
        </w:tc>
        <w:tc>
          <w:tcPr>
            <w:tcW w:w="4788"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pPr>
            <w:r>
              <w:rPr/>
              <w:t xml:space="preserve">Continued search for European GC, Spanish GM </w:t>
            </w:r>
            <w:r>
              <w:rPr>
                <w:b w:val="false"/>
              </w:rPr>
              <w:t>(</w:t>
            </w:r>
            <w:r>
              <w:rPr>
                <w:b/>
              </w:rPr>
              <w:t>candidate has been identified and will be hired subject to reference checks</w:t>
            </w:r>
            <w:r>
              <w:rPr/>
              <w:t xml:space="preserve"> </w:t>
            </w:r>
            <w:r>
              <w:rPr>
                <w:b w:val="false"/>
              </w:rPr>
              <w:t xml:space="preserve">– currently </w:t>
            </w:r>
            <w:r>
              <w:rPr/>
              <w:t xml:space="preserve">in a </w:t>
            </w:r>
            <w:r>
              <w:rPr>
                <w:b w:val="false"/>
              </w:rPr>
              <w:t>senior position with Gamesa, our largest Spanish competitor) , US QC head (internal candidate to be hired</w:t>
            </w:r>
            <w:r>
              <w:rPr>
                <w:b/>
              </w:rPr>
              <w:t xml:space="preserve">), head of global procurement and blade production (candidate identified) </w:t>
            </w:r>
            <w:r>
              <w:rPr/>
              <w:t>and numerous other positions; recruiting very hard in light of sale effort.</w:t>
            </w:r>
          </w:p>
          <w:p>
            <w:pPr>
              <w:pStyle w:val="BodyText"/>
              <w:numPr>
                <w:ilvl w:val="0"/>
                <w:numId w:val="2"/>
              </w:numPr>
              <w:rPr/>
            </w:pPr>
            <w:r>
              <w:rPr>
                <w:b/>
              </w:rPr>
              <w:t>Making progress with new blade employees in Holland; seems we have stopped the bleeding at that facility.</w:t>
            </w:r>
          </w:p>
        </w:tc>
      </w:tr>
    </w:tbl>
    <w:p>
      <w:pPr>
        <w:pStyle w:val="BodyText"/>
        <w:rPr/>
      </w:pPr>
      <w:r>
        <w:rPr/>
      </w:r>
    </w:p>
    <w:p>
      <w:pPr>
        <w:pStyle w:val="BodyText"/>
        <w:rPr>
          <w:b/>
        </w:rPr>
      </w:pPr>
      <w:r>
        <w:rPr>
          <w:b/>
        </w:rPr>
        <w:t>Week of June 4 is American Wind Energy Association conference in Washington D.C.; key industry conference with heavy participation by EWC.</w:t>
      </w:r>
      <w:r>
        <w:br w:type="page"/>
      </w:r>
    </w:p>
    <w:p>
      <w:pPr>
        <w:pStyle w:val="BodyText"/>
        <w:rPr>
          <w:b/>
        </w:rPr>
      </w:pPr>
      <w:r>
        <w:rPr>
          <w:b/>
        </w:rPr>
      </w:r>
    </w:p>
    <w:sectPr>
      <w:headerReference w:type="default" r:id="rId2"/>
      <w:headerReference w:type="first" r:id="rId3"/>
      <w:footerReference w:type="default" r:id="rId4"/>
      <w:footerReference w:type="first" r:id="rId5"/>
      <w:type w:val="nextPage"/>
      <w:pgSz w:w="12240" w:h="15840"/>
      <w:pgMar w:left="1440" w:right="1440" w:gutter="0" w:header="360" w:top="630" w:footer="620" w:bottom="6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lang w:eastAsia="en-US"/>
      </w:rPr>
      <w:fldChar w:fldCharType="begin"/>
    </w:r>
    <w:r>
      <w:rPr>
        <w:sz w:val="16"/>
        <w:rFonts w:cs="Arial" w:ascii="Arial" w:hAnsi="Arial"/>
        <w:lang w:eastAsia="en-US"/>
      </w:rPr>
      <w:instrText xml:space="preserve"> FILENAME \p </w:instrText>
    </w:r>
    <w:r>
      <w:rPr>
        <w:sz w:val="16"/>
        <w:rFonts w:cs="Arial" w:ascii="Arial" w:hAnsi="Arial"/>
        <w:lang w:eastAsia="en-US"/>
      </w:rPr>
      <w:fldChar w:fldCharType="separate"/>
    </w:r>
    <w:r>
      <w:rPr>
        <w:sz w:val="16"/>
        <w:rFonts w:cs="Arial" w:ascii="Arial" w:hAnsi="Arial"/>
        <w:lang w:eastAsia="en-US"/>
      </w:rPr>
      <w:t>/mnt/main-storage/datasets/enron-docs/doc/Horton6_1_01.doc</w:t>
    </w:r>
    <w:r>
      <w:rPr>
        <w:sz w:val="16"/>
        <w:rFonts w:cs="Arial" w:ascii="Arial" w:hAnsi="Arial"/>
        <w:lang w:eastAsia="en-US"/>
      </w:rPr>
      <w:fldChar w:fldCharType="end"/>
    </w:r>
  </w:p>
  <w:p>
    <w:pPr>
      <w:pStyle w:val="Footer"/>
      <w:jc w:val="center"/>
      <w:rPr>
        <w:rFonts w:ascii="Arial" w:hAnsi="Arial" w:cs="Arial"/>
        <w:sz w:val="16"/>
      </w:rPr>
    </w:pPr>
    <w:r>
      <w:rPr>
        <w:rFonts w:cs="Arial" w:ascii="Arial" w:hAnsi="Arial"/>
        <w:sz w:val="16"/>
      </w:rPr>
    </w:r>
  </w:p>
  <w:p>
    <w:pPr>
      <w:pStyle w:val="Footer"/>
      <w:pBdr>
        <w:top w:val="single" w:sz="8" w:space="1" w:color="000000"/>
      </w:pBdr>
      <w:jc w:val="center"/>
      <w:rPr>
        <w:rFonts w:ascii="Arial" w:hAnsi="Arial" w:cs="Arial"/>
        <w:sz w:val="16"/>
      </w:rPr>
    </w:pPr>
    <w:r>
      <w:rPr>
        <w:rFonts w:cs="Arial" w:ascii="Arial" w:hAnsi="Arial"/>
        <w:sz w:val="16"/>
      </w:rPr>
    </w:r>
  </w:p>
  <w:p>
    <w:pPr>
      <w:pStyle w:val="Footer"/>
      <w:pBdr>
        <w:top w:val="single" w:sz="8" w:space="1" w:color="000000"/>
      </w:pBdr>
      <w:jc w:val="center"/>
      <w:rPr/>
    </w:pPr>
    <w:r>
      <w:rPr>
        <w:rFonts w:cs="Arial" w:ascii="Arial" w:hAnsi="Arial"/>
        <w:sz w:val="16"/>
      </w:rPr>
      <w:t xml:space="preserve">444 S. Flower Street, Suite 4545, Los Angeles, California 90071-2946 </w:t>
    </w:r>
    <w:r>
      <w:rPr>
        <w:rFonts w:eastAsia="Symbol" w:cs="Symbol" w:ascii="Symbol" w:hAnsi="Symbol"/>
        <w:sz w:val="16"/>
      </w:rPr>
      <w:sym w:font="Symbol" w:char="f0b7"/>
    </w:r>
    <w:r>
      <w:rPr>
        <w:rFonts w:cs="Arial" w:ascii="Arial" w:hAnsi="Arial"/>
        <w:sz w:val="16"/>
      </w:rPr>
      <w:t xml:space="preserve"> Phone:  213-452-4881 </w:t>
    </w:r>
    <w:r>
      <w:rPr>
        <w:rFonts w:eastAsia="Symbol" w:cs="Symbol" w:ascii="Symbol" w:hAnsi="Symbol"/>
        <w:sz w:val="16"/>
      </w:rPr>
      <w:sym w:font="Symbol" w:char="f0b7"/>
    </w:r>
    <w:r>
      <w:rPr>
        <w:rFonts w:cs="Arial" w:ascii="Arial" w:hAnsi="Arial"/>
        <w:sz w:val="16"/>
      </w:rPr>
      <w:t xml:space="preserve"> Fax: 213-452-4888</w:t>
    </w:r>
  </w:p>
  <w:p>
    <w:pPr>
      <w:pStyle w:val="Footer"/>
      <w:pBdr>
        <w:top w:val="single" w:sz="8" w:space="1" w:color="000000"/>
      </w:pBdr>
      <w:jc w:val="center"/>
      <w:rPr/>
    </w:pPr>
    <w:r>
      <w:rPr>
        <w:rFonts w:cs="Arial" w:ascii="Arial" w:hAnsi="Arial"/>
        <w:sz w:val="16"/>
      </w:rPr>
      <w:t xml:space="preserve">E-mail: aumanof@enron.com </w:t>
    </w:r>
    <w:r>
      <w:rPr>
        <w:rFonts w:eastAsia="Symbol" w:cs="Symbol" w:ascii="Symbol" w:hAnsi="Symbol"/>
        <w:sz w:val="16"/>
      </w:rPr>
      <w:sym w:font="Symbol" w:char="f0b7"/>
    </w:r>
    <w:r>
      <w:rPr>
        <w:rFonts w:cs="Arial" w:ascii="Arial" w:hAnsi="Arial"/>
        <w:sz w:val="16"/>
      </w:rPr>
      <w:t xml:space="preserve"> Web Address: http://www.wind.enron.com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lang w:eastAsia="en-US"/>
      </w:rPr>
      <w:fldChar w:fldCharType="begin"/>
    </w:r>
    <w:r>
      <w:rPr>
        <w:sz w:val="16"/>
        <w:rFonts w:cs="Arial" w:ascii="Arial" w:hAnsi="Arial"/>
        <w:lang w:eastAsia="en-US"/>
      </w:rPr>
      <w:instrText xml:space="preserve"> FILENAME \p </w:instrText>
    </w:r>
    <w:r>
      <w:rPr>
        <w:sz w:val="16"/>
        <w:rFonts w:cs="Arial" w:ascii="Arial" w:hAnsi="Arial"/>
        <w:lang w:eastAsia="en-US"/>
      </w:rPr>
      <w:fldChar w:fldCharType="separate"/>
    </w:r>
    <w:r>
      <w:rPr>
        <w:sz w:val="16"/>
        <w:rFonts w:cs="Arial" w:ascii="Arial" w:hAnsi="Arial"/>
        <w:lang w:eastAsia="en-US"/>
      </w:rPr>
      <w:t>/mnt/main-storage/datasets/enron-docs/doc/Horton6_1_01.doc</w:t>
    </w:r>
    <w:r>
      <w:rPr>
        <w:sz w:val="16"/>
        <w:rFonts w:cs="Arial" w:ascii="Arial" w:hAnsi="Arial"/>
        <w:lang w:eastAsia="en-US"/>
      </w:rPr>
      <w:fldChar w:fldCharType="end"/>
    </w:r>
  </w:p>
  <w:p>
    <w:pPr>
      <w:pStyle w:val="Footer"/>
      <w:jc w:val="center"/>
      <w:rPr>
        <w:rFonts w:ascii="Arial" w:hAnsi="Arial" w:cs="Arial"/>
        <w:sz w:val="16"/>
      </w:rPr>
    </w:pPr>
    <w:r>
      <w:rPr>
        <w:rFonts w:cs="Arial" w:ascii="Arial" w:hAnsi="Arial"/>
        <w:sz w:val="16"/>
      </w:rPr>
    </w:r>
  </w:p>
  <w:p>
    <w:pPr>
      <w:pStyle w:val="Footer"/>
      <w:jc w:val="center"/>
      <w:rPr>
        <w:rFonts w:ascii="Arial" w:hAnsi="Arial" w:cs="Arial"/>
        <w:sz w:val="16"/>
      </w:rPr>
    </w:pPr>
    <w:r>
      <w:rPr>
        <w:rFonts w:cs="Arial" w:ascii="Arial" w:hAnsi="Arial"/>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Fonts w:ascii="Arial" w:hAnsi="Arial" w:cs="Arial"/>
      </w:rPr>
    </w:pPr>
    <w:r>
      <w:rPr>
        <w:rStyle w:val="PageNumber"/>
        <w:rFonts w:cs="Arial" w:ascii="Arial" w:hAnsi="Arial"/>
      </w:rPr>
      <w:t xml:space="preserve">Memo-Page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p>
    <w:pPr>
      <w:pStyle w:val="Header"/>
      <w:jc w:val="end"/>
      <w:rPr>
        <w:rStyle w:val="PageNumber"/>
        <w:rFonts w:ascii="Arial" w:hAnsi="Arial" w:cs="Arial"/>
      </w:rPr>
    </w:pPr>
    <w:r>
      <w:rPr/>
    </w:r>
  </w:p>
  <w:p>
    <w:pPr>
      <w:pStyle w:val="Header"/>
      <w:jc w:val="end"/>
      <w:rPr>
        <w:rStyle w:val="PageNumber"/>
        <w:rFonts w:ascii="Arial" w:hAnsi="Arial" w:cs="Arial"/>
      </w:rPr>
    </w:pPr>
    <w:r>
      <w:rPr/>
    </w:r>
  </w:p>
  <w:p>
    <w:pPr>
      <w:pStyle w:val="Header"/>
      <w:jc w:val="end"/>
      <w:rPr>
        <w:rStyle w:val="PageNumber"/>
        <w:rFonts w:ascii="Arial" w:hAnsi="Arial" w:cs="Ari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828" w:type="dxa"/>
      <w:jc w:val="start"/>
      <w:tblInd w:w="0" w:type="dxa"/>
      <w:tblLayout w:type="fixed"/>
      <w:tblCellMar>
        <w:top w:w="0" w:type="dxa"/>
        <w:start w:w="108" w:type="dxa"/>
        <w:bottom w:w="0" w:type="dxa"/>
        <w:end w:w="108" w:type="dxa"/>
      </w:tblCellMar>
    </w:tblPr>
    <w:tblGrid>
      <w:gridCol w:w="9828"/>
    </w:tblGrid>
    <w:tr>
      <w:trPr/>
      <w:tc>
        <w:tcPr>
          <w:tcW w:w="9828" w:type="dxa"/>
          <w:tcBorders/>
        </w:tcPr>
        <w:p>
          <w:pPr>
            <w:pStyle w:val="Header"/>
            <w:rPr>
              <w:b/>
              <w:sz w:val="18"/>
            </w:rPr>
          </w:pPr>
          <w:r>
            <w:rPr>
              <w:b/>
              <w:sz w:val="18"/>
            </w:rPr>
            <w:drawing>
              <wp:inline distT="0" distB="0" distL="0" distR="0">
                <wp:extent cx="1202690" cy="1202690"/>
                <wp:effectExtent l="0" t="0" r="0" b="0"/>
                <wp:docPr id="1" name="ENE34BL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34BLK" descr="" title=""/>
                        <pic:cNvPicPr>
                          <a:picLocks noChangeAspect="1" noChangeArrowheads="1"/>
                        </pic:cNvPicPr>
                      </pic:nvPicPr>
                      <pic:blipFill>
                        <a:blip r:embed="rId1"/>
                        <a:srcRect l="-13" t="-13" r="-13" b="-13"/>
                        <a:stretch>
                          <a:fillRect/>
                        </a:stretch>
                      </pic:blipFill>
                      <pic:spPr bwMode="auto">
                        <a:xfrm>
                          <a:off x="0" y="0"/>
                          <a:ext cx="1202690" cy="1202690"/>
                        </a:xfrm>
                        <a:prstGeom prst="rect">
                          <a:avLst/>
                        </a:prstGeom>
                        <a:noFill/>
                      </pic:spPr>
                    </pic:pic>
                  </a:graphicData>
                </a:graphic>
              </wp:inline>
            </w:drawing>
          </w:r>
          <w:r>
            <mc:AlternateContent>
              <mc:Choice Requires="wps">
                <w:drawing>
                  <wp:anchor behindDoc="1" distT="0" distB="0" distL="114935" distR="114935" simplePos="0" locked="0" layoutInCell="0" allowOverlap="1" relativeHeight="3">
                    <wp:simplePos x="0" y="0"/>
                    <wp:positionH relativeFrom="margin">
                      <wp:posOffset>4297680</wp:posOffset>
                    </wp:positionH>
                    <wp:positionV relativeFrom="paragraph">
                      <wp:posOffset>-45720</wp:posOffset>
                    </wp:positionV>
                    <wp:extent cx="1828800" cy="1463040"/>
                    <wp:effectExtent l="0" t="0" r="0" b="0"/>
                    <wp:wrapNone/>
                    <wp:docPr id="2" name="Frame1"/>
                    <a:graphic xmlns:a="http://schemas.openxmlformats.org/drawingml/2006/main">
                      <a:graphicData uri="http://schemas.microsoft.com/office/word/2010/wordprocessingShape">
                        <wps:wsp>
                          <wps:cNvSpPr txBox="1"/>
                          <wps:spPr>
                            <a:xfrm>
                              <a:off x="0" y="0"/>
                              <a:ext cx="1828800" cy="1463040"/>
                            </a:xfrm>
                            <a:prstGeom prst="rect"/>
                            <a:solidFill>
                              <a:srgbClr val="FFFFFF">
                                <a:alpha val="0"/>
                              </a:srgbClr>
                            </a:solidFill>
                          </wps:spPr>
                          <wps:txbx>
                            <w:txbxContent>
                              <w:p>
                                <w:pPr>
                                  <w:pStyle w:val="Normal"/>
                                  <w:rPr>
                                    <w:rFonts w:ascii="Arial" w:hAnsi="Arial" w:cs="Arial"/>
                                    <w:b/>
                                    <w:sz w:val="24"/>
                                  </w:rPr>
                                </w:pPr>
                                <w:r>
                                  <w:rPr>
                                    <w:rFonts w:cs="Arial" w:ascii="Arial" w:hAnsi="Arial"/>
                                    <w:b/>
                                    <w:sz w:val="24"/>
                                  </w:rPr>
                                  <w:t>Enron Wind Corp.</w:t>
                                </w:r>
                              </w:p>
                              <w:p>
                                <w:pPr>
                                  <w:pStyle w:val="Normal"/>
                                  <w:rPr>
                                    <w:rFonts w:ascii="Arial" w:hAnsi="Arial" w:cs="Arial"/>
                                  </w:rPr>
                                </w:pPr>
                                <w:r>
                                  <w:rPr>
                                    <w:rFonts w:cs="Arial" w:ascii="Arial" w:hAnsi="Arial"/>
                                  </w:rPr>
                                  <w:t>444 S. Flower Street</w:t>
                                </w:r>
                              </w:p>
                              <w:p>
                                <w:pPr>
                                  <w:pStyle w:val="Normal"/>
                                  <w:rPr>
                                    <w:rFonts w:ascii="Arial" w:hAnsi="Arial" w:cs="Arial"/>
                                  </w:rPr>
                                </w:pPr>
                                <w:r>
                                  <w:rPr>
                                    <w:rFonts w:cs="Arial" w:ascii="Arial" w:hAnsi="Arial"/>
                                  </w:rPr>
                                  <w:t>Suite 4545</w:t>
                                </w:r>
                              </w:p>
                              <w:p>
                                <w:pPr>
                                  <w:pStyle w:val="Normal"/>
                                  <w:rPr>
                                    <w:rFonts w:ascii="Arial" w:hAnsi="Arial" w:cs="Arial"/>
                                  </w:rPr>
                                </w:pPr>
                                <w:r>
                                  <w:rPr>
                                    <w:rFonts w:cs="Arial" w:ascii="Arial" w:hAnsi="Arial"/>
                                  </w:rPr>
                                  <w:t>Los Angeles, CA 90071</w:t>
                                </w:r>
                              </w:p>
                              <w:p>
                                <w:pPr>
                                  <w:pStyle w:val="Normal"/>
                                  <w:rPr>
                                    <w:rFonts w:ascii="Arial" w:hAnsi="Arial" w:cs="Arial"/>
                                  </w:rPr>
                                </w:pPr>
                                <w:r>
                                  <w:rPr>
                                    <w:rFonts w:cs="Arial" w:ascii="Arial" w:hAnsi="Arial"/>
                                  </w:rPr>
                                  <w:t>Tel: (213) 452-4881</w:t>
                                </w:r>
                              </w:p>
                              <w:p>
                                <w:pPr>
                                  <w:pStyle w:val="Normal"/>
                                  <w:rPr>
                                    <w:rFonts w:ascii="Arial" w:hAnsi="Arial" w:cs="Arial"/>
                                  </w:rPr>
                                </w:pPr>
                                <w:r>
                                  <w:rPr>
                                    <w:rFonts w:cs="Arial" w:ascii="Arial" w:hAnsi="Arial"/>
                                  </w:rPr>
                                  <w:t>Fax: (213) 452-4894</w:t>
                                </w:r>
                              </w:p>
                              <w:p>
                                <w:pPr>
                                  <w:pStyle w:val="Normal"/>
                                  <w:rPr>
                                    <w:rFonts w:ascii="Arial" w:hAnsi="Arial" w:cs="Arial"/>
                                  </w:rPr>
                                </w:pPr>
                                <w:r>
                                  <w:rPr>
                                    <w:rFonts w:cs="Arial" w:ascii="Arial" w:hAnsi="Arial"/>
                                  </w:rPr>
                                  <w:t>Adam.Umanoff@enron.com</w:t>
                                </w:r>
                              </w:p>
                              <w:p>
                                <w:pPr>
                                  <w:pStyle w:val="Normal"/>
                                  <w:rPr>
                                    <w:rFonts w:ascii="Arial" w:hAnsi="Arial" w:cs="Arial"/>
                                  </w:rPr>
                                </w:pPr>
                                <w:r>
                                  <w:rPr>
                                    <w:rFonts w:cs="Arial" w:ascii="Arial" w:hAnsi="Arial"/>
                                  </w:rPr>
                                  <w:t>www.wind.enron.com</w:t>
                                </w:r>
                              </w:p>
                            </w:txbxContent>
                          </wps:txbx>
                          <wps:bodyPr anchor="t" lIns="92075" tIns="46355" rIns="92075" bIns="46355">
                            <a:noAutofit/>
                          </wps:bodyPr>
                        </wps:wsp>
                      </a:graphicData>
                    </a:graphic>
                  </wp:anchor>
                </w:drawing>
              </mc:Choice>
              <mc:Fallback>
                <w:pict>
                  <v:rect fillcolor="#FFFFFF" style="position:absolute;rotation:-0;width:144pt;height:115.2pt;mso-wrap-distance-left:9.05pt;mso-wrap-distance-right:9.05pt;mso-wrap-distance-top:0pt;mso-wrap-distance-bottom:0pt;margin-top:-3.6pt;mso-position-vertical-relative:text;margin-left:338.4pt;mso-position-horizontal-relative:margin">
                    <v:fill opacity="0f"/>
                    <v:textbox inset="0.100694444444444in,0.0506944444444444in,0.100694444444444in,0.0506944444444444in">
                      <w:txbxContent>
                        <w:p>
                          <w:pPr>
                            <w:pStyle w:val="Normal"/>
                            <w:rPr>
                              <w:rFonts w:ascii="Arial" w:hAnsi="Arial" w:cs="Arial"/>
                              <w:b/>
                              <w:sz w:val="24"/>
                            </w:rPr>
                          </w:pPr>
                          <w:r>
                            <w:rPr>
                              <w:rFonts w:cs="Arial" w:ascii="Arial" w:hAnsi="Arial"/>
                              <w:b/>
                              <w:sz w:val="24"/>
                            </w:rPr>
                            <w:t>Enron Wind Corp.</w:t>
                          </w:r>
                        </w:p>
                        <w:p>
                          <w:pPr>
                            <w:pStyle w:val="Normal"/>
                            <w:rPr>
                              <w:rFonts w:ascii="Arial" w:hAnsi="Arial" w:cs="Arial"/>
                            </w:rPr>
                          </w:pPr>
                          <w:r>
                            <w:rPr>
                              <w:rFonts w:cs="Arial" w:ascii="Arial" w:hAnsi="Arial"/>
                            </w:rPr>
                            <w:t>444 S. Flower Street</w:t>
                          </w:r>
                        </w:p>
                        <w:p>
                          <w:pPr>
                            <w:pStyle w:val="Normal"/>
                            <w:rPr>
                              <w:rFonts w:ascii="Arial" w:hAnsi="Arial" w:cs="Arial"/>
                            </w:rPr>
                          </w:pPr>
                          <w:r>
                            <w:rPr>
                              <w:rFonts w:cs="Arial" w:ascii="Arial" w:hAnsi="Arial"/>
                            </w:rPr>
                            <w:t>Suite 4545</w:t>
                          </w:r>
                        </w:p>
                        <w:p>
                          <w:pPr>
                            <w:pStyle w:val="Normal"/>
                            <w:rPr>
                              <w:rFonts w:ascii="Arial" w:hAnsi="Arial" w:cs="Arial"/>
                            </w:rPr>
                          </w:pPr>
                          <w:r>
                            <w:rPr>
                              <w:rFonts w:cs="Arial" w:ascii="Arial" w:hAnsi="Arial"/>
                            </w:rPr>
                            <w:t>Los Angeles, CA 90071</w:t>
                          </w:r>
                        </w:p>
                        <w:p>
                          <w:pPr>
                            <w:pStyle w:val="Normal"/>
                            <w:rPr>
                              <w:rFonts w:ascii="Arial" w:hAnsi="Arial" w:cs="Arial"/>
                            </w:rPr>
                          </w:pPr>
                          <w:r>
                            <w:rPr>
                              <w:rFonts w:cs="Arial" w:ascii="Arial" w:hAnsi="Arial"/>
                            </w:rPr>
                            <w:t>Tel: (213) 452-4881</w:t>
                          </w:r>
                        </w:p>
                        <w:p>
                          <w:pPr>
                            <w:pStyle w:val="Normal"/>
                            <w:rPr>
                              <w:rFonts w:ascii="Arial" w:hAnsi="Arial" w:cs="Arial"/>
                            </w:rPr>
                          </w:pPr>
                          <w:r>
                            <w:rPr>
                              <w:rFonts w:cs="Arial" w:ascii="Arial" w:hAnsi="Arial"/>
                            </w:rPr>
                            <w:t>Fax: (213) 452-4894</w:t>
                          </w:r>
                        </w:p>
                        <w:p>
                          <w:pPr>
                            <w:pStyle w:val="Normal"/>
                            <w:rPr>
                              <w:rFonts w:ascii="Arial" w:hAnsi="Arial" w:cs="Arial"/>
                            </w:rPr>
                          </w:pPr>
                          <w:r>
                            <w:rPr>
                              <w:rFonts w:cs="Arial" w:ascii="Arial" w:hAnsi="Arial"/>
                            </w:rPr>
                            <w:t>Adam.Umanoff@enron.com</w:t>
                          </w:r>
                        </w:p>
                        <w:p>
                          <w:pPr>
                            <w:pStyle w:val="Normal"/>
                            <w:rPr>
                              <w:rFonts w:ascii="Arial" w:hAnsi="Arial" w:cs="Arial"/>
                            </w:rPr>
                          </w:pPr>
                          <w:r>
                            <w:rPr>
                              <w:rFonts w:cs="Arial" w:ascii="Arial" w:hAnsi="Arial"/>
                            </w:rPr>
                            <w:t>www.wind.enron.com</w:t>
                          </w:r>
                        </w:p>
                      </w:txbxContent>
                    </v:textbox>
                    <w10:wrap type="none"/>
                  </v:rect>
                </w:pict>
              </mc:Fallback>
            </mc:AlternateContent>
          </w:r>
        </w:p>
      </w:tc>
    </w:tr>
    <w:tr>
      <w:trPr>
        <w:trHeight w:val="1134" w:hRule="atLeast"/>
      </w:trPr>
      <w:tc>
        <w:tcPr>
          <w:tcW w:w="9828" w:type="dxa"/>
          <w:tcBorders/>
        </w:tcPr>
        <w:p>
          <w:pPr>
            <w:pStyle w:val="Heading"/>
            <w:pBdr>
              <w:top w:val="single" w:sz="18" w:space="7" w:color="000000"/>
              <w:bottom w:val="single" w:sz="18" w:space="7" w:color="000000"/>
            </w:pBdr>
            <w:rPr>
              <w:sz w:val="48"/>
            </w:rPr>
          </w:pPr>
          <w:r>
            <w:rPr>
              <w:sz w:val="48"/>
            </w:rPr>
            <w:t>MEMORANDUM</w:t>
          </w:r>
        </w:p>
        <w:p>
          <w:pPr>
            <w:pStyle w:val="Header"/>
            <w:rPr>
              <w:rFonts w:ascii="Arial" w:hAnsi="Arial" w:cs="Arial"/>
              <w:sz w:val="16"/>
            </w:rPr>
          </w:pPr>
          <w:r>
            <w:rPr>
              <w:rFonts w:cs="Arial" w:ascii="Arial" w:hAnsi="Arial"/>
              <w:sz w:val="16"/>
            </w:rPr>
          </w:r>
        </w:p>
      </w:tc>
    </w:tr>
  </w:tbl>
  <w:p>
    <w:pPr>
      <w:pStyle w:val="Header"/>
      <w:rPr>
        <w:rFonts w:ascii="Arial" w:hAnsi="Arial" w:cs="Arial"/>
        <w:sz w:val="16"/>
      </w:rPr>
    </w:pPr>
    <w:r>
      <w:rPr>
        <w:rFonts w:cs="Arial" w:ascii="Arial" w:hAnsi="Arial"/>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Times New Roman" w:hAnsi="Times New Roman" w:cs="Times New Roman"/>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pBdr>
        <w:top w:val="single" w:sz="4" w:space="1" w:color="000000"/>
        <w:bottom w:val="single" w:sz="4" w:space="1" w:color="000000"/>
      </w:pBdr>
      <w:jc w:val="center"/>
    </w:pPr>
    <w:rPr>
      <w:rFonts w:ascii="Arial" w:hAnsi="Arial" w:cs="Arial"/>
      <w:b/>
      <w:sz w:val="5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EWC Memo with Auto Fields</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2001-06-02T15:35:00Z</dcterms:created>
  <dc:creator>Melanie Curran</dc:creator>
  <dc:description/>
  <dc:language>en-CA</dc:language>
  <cp:lastModifiedBy>Adam Umanoff</cp:lastModifiedBy>
  <cp:lastPrinted>1999-11-02T09:40:00Z</cp:lastPrinted>
  <dcterms:modified xsi:type="dcterms:W3CDTF">2001-06-02T21:25:00Z</dcterms:modified>
  <cp:revision>3</cp:revision>
  <dc:subject/>
  <dc:title>MEMORANDUM</dc:title>
</cp:coreProperties>
</file>