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sz w:val="40"/>
          <w:lang w:val="en-CA"/>
        </w:rPr>
      </w:pPr>
      <w:r>
        <w:rPr>
          <w:sz w:val="40"/>
          <w:lang w:val="en-CA"/>
        </w:rPr>
        <w:object w:dxaOrig="2861" w:dyaOrig="25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9pt;width:79.25pt;height:79.25pt;mso-wrap-distance-left:9.05pt;mso-wrap-distance-right:9.05pt;mso-position-horizontal-relative:text;mso-position-vertical-relative:text" filled="f" o:ole="">
            <v:imagedata r:id="rId3" o:title=""/>
          </v:shape>
          <o:OLEObject Type="Embed" ProgID="" ShapeID="ole_rId2" DrawAspect="Content" ObjectID="_495570668" r:id="rId2"/>
        </w:objec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rFonts w:ascii="Arial" w:hAnsi="Arial" w:cs="Arial"/>
          <w:sz w:val="36"/>
          <w:u w:val="single"/>
        </w:rPr>
      </w:pPr>
      <w:r>
        <w:rPr>
          <w:rFonts w:cs="Arial" w:ascii="Arial" w:hAnsi="Arial"/>
          <w:b/>
          <w:i/>
          <w:sz w:val="36"/>
          <w:u w:val="single"/>
        </w:rPr>
        <w:t>MARINER ENERGY, INC.</w: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 w:hAnsi="Arial" w:cs="Arial"/>
        </w:rPr>
      </w:pPr>
      <w:r>
        <w:rPr>
          <w:rFonts w:eastAsia="Arial" w:cs="Arial" w:ascii="Arial" w:hAnsi="Arial"/>
        </w:rPr>
        <w:t xml:space="preserve">    </w:t>
      </w:r>
      <w:r>
        <w:rPr>
          <w:rFonts w:cs="Arial" w:ascii="Arial" w:hAnsi="Arial"/>
        </w:rPr>
        <w:t>580 WestLake Park Blvd., Suite 1300   Houston, Texas  77079</w:t>
      </w:r>
    </w:p>
    <w:p>
      <w:pPr>
        <w:pStyle w:val="Normal"/>
        <w:rPr>
          <w:rFonts w:ascii="Arial" w:hAnsi="Arial" w:cs="Arial"/>
          <w:b/>
        </w:rPr>
      </w:pPr>
      <w:r>
        <w:rPr>
          <w:rFonts w:cs="Arial" w:ascii="Arial" w:hAnsi="Arial"/>
          <w:b/>
        </w:rPr>
      </w:r>
    </w:p>
    <w:p>
      <w:pPr>
        <w:pStyle w:val="Heading5"/>
        <w:rPr/>
      </w:pPr>
      <w:r>
        <w:rPr>
          <w:sz w:val="28"/>
        </w:rPr>
        <w:t>News  Release</w:t>
      </w:r>
      <w:r>
        <w:rPr>
          <w:sz w:val="22"/>
        </w:rPr>
        <w:t xml:space="preserve"> </w:t>
      </w:r>
    </w:p>
    <w:p>
      <w:pPr>
        <w:pStyle w:val="Normal"/>
        <w:jc w:val="end"/>
        <w:rPr>
          <w:rFonts w:ascii="Arial" w:hAnsi="Arial" w:cs="Arial"/>
          <w:b/>
          <w:sz w:val="22"/>
        </w:rPr>
      </w:pPr>
      <w:r>
        <w:rPr>
          <w:rFonts w:cs="Arial" w:ascii="Arial" w:hAnsi="Arial"/>
          <w:b/>
          <w:sz w:val="22"/>
        </w:rPr>
        <w:tab/>
        <w:tab/>
        <w:tab/>
        <w:tab/>
        <w:tab/>
        <w:tab/>
        <w:tab/>
        <w:tab/>
      </w:r>
      <w:r>
        <w:rPr>
          <w:rFonts w:cs="Arial" w:ascii="Arial" w:hAnsi="Arial"/>
          <w:sz w:val="22"/>
        </w:rPr>
        <w:t>For Further Information Contact:</w:t>
      </w:r>
    </w:p>
    <w:p>
      <w:pPr>
        <w:pStyle w:val="Normal"/>
        <w:jc w:val="end"/>
        <w:rPr>
          <w:rFonts w:ascii="Arial" w:hAnsi="Arial" w:cs="Arial"/>
          <w:b/>
          <w:sz w:val="22"/>
        </w:rPr>
      </w:pPr>
      <w:r>
        <w:rPr>
          <w:rFonts w:cs="Arial" w:ascii="Arial" w:hAnsi="Arial"/>
          <w:b/>
          <w:sz w:val="22"/>
        </w:rPr>
        <w:t>Mike Wichterich</w:t>
      </w:r>
    </w:p>
    <w:p>
      <w:pPr>
        <w:pStyle w:val="Normal"/>
        <w:jc w:val="end"/>
        <w:rPr>
          <w:rFonts w:ascii="Arial" w:hAnsi="Arial" w:cs="Arial"/>
          <w:b/>
          <w:sz w:val="22"/>
        </w:rPr>
      </w:pPr>
      <w:r>
        <w:rPr>
          <w:rFonts w:cs="Arial" w:ascii="Arial" w:hAnsi="Arial"/>
          <w:b/>
          <w:sz w:val="22"/>
        </w:rPr>
        <w:t>(281) 584-5536</w:t>
      </w:r>
    </w:p>
    <w:p>
      <w:pPr>
        <w:pStyle w:val="Normal"/>
        <w:pBdr>
          <w:bottom w:val="single" w:sz="12" w:space="1" w:color="000000"/>
        </w:pBdr>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rPr>
          <w:rFonts w:ascii="Arial" w:hAnsi="Arial" w:cs="Arial"/>
          <w:b/>
          <w:sz w:val="28"/>
          <w:u w:val="single"/>
        </w:rPr>
      </w:pPr>
      <w:r>
        <w:rPr>
          <w:rFonts w:cs="Arial" w:ascii="Arial" w:hAnsi="Arial"/>
          <w:b/>
          <w:sz w:val="28"/>
          <w:u w:val="single"/>
        </w:rPr>
        <w:t>Mariner Energy Inc. Discusses Hornbeck-LEEVAC Announcement</w:t>
      </w:r>
    </w:p>
    <w:p>
      <w:pPr>
        <w:pStyle w:val="Normal"/>
        <w:rPr>
          <w:rFonts w:ascii="Arial" w:hAnsi="Arial" w:cs="Arial"/>
          <w:b/>
          <w:sz w:val="28"/>
          <w:u w:val="single"/>
        </w:rPr>
      </w:pPr>
      <w:r>
        <w:rPr>
          <w:rFonts w:cs="Arial" w:ascii="Arial" w:hAnsi="Arial"/>
          <w:b/>
          <w:sz w:val="28"/>
          <w:u w:val="single"/>
        </w:rPr>
      </w:r>
    </w:p>
    <w:p>
      <w:pPr>
        <w:pStyle w:val="BodyText"/>
        <w:rPr/>
      </w:pPr>
      <w:r>
        <w:rPr>
          <w:rFonts w:cs="Arial" w:ascii="Arial" w:hAnsi="Arial"/>
          <w:b/>
        </w:rPr>
        <w:t>Houston, TX</w:t>
      </w:r>
      <w:r>
        <w:rPr>
          <w:rFonts w:cs="Arial" w:ascii="Arial" w:hAnsi="Arial"/>
        </w:rPr>
        <w:t xml:space="preserve"> – December 19, 2001  - Mariner Energy, Inc. announced that consistent with the scheduled completion of its 2001 drilling program, it released the Noble Homer Ferrington semi-submersible rig and two offshore supply vessels owned by Hornbeck-LEEVAC Marine Services. Mariner has been pleased with the performance of Noble’s semi-submersible to date and expects to continue utilization of the rig in its 2002 drilling program. Under the terms of Mariner’s drilling contract with Noble, the term of Mariner’s commitment to use the Homer Ferrington is not a single continuous period but, rather, occurs intermittently and is subject to the usage rights retained by Noble and those owned by others during their applicable “drilling slots”.  Mariner’s release of the rig and the Hornbeck-LLEVAC vessels occurred at the scheduled end of Mariner’s 2001 drilling program and in compliance with the applicable agreements.  Mariner management believes that the breach of contract claims described by Hornbeck-LEEVAC in its recent announcement are without merit. </w:t>
      </w:r>
    </w:p>
    <w:p>
      <w:pPr>
        <w:pStyle w:val="BodyText"/>
        <w:rPr>
          <w:rFonts w:ascii="Arial" w:hAnsi="Arial" w:cs="Arial"/>
        </w:rPr>
      </w:pPr>
      <w:r>
        <w:rPr>
          <w:rFonts w:cs="Arial" w:ascii="Arial" w:hAnsi="Arial"/>
        </w:rPr>
      </w:r>
    </w:p>
    <w:p>
      <w:pPr>
        <w:pStyle w:val="BodyText"/>
        <w:rPr>
          <w:rFonts w:ascii="Arial" w:hAnsi="Arial" w:cs="Arial"/>
          <w:b/>
        </w:rPr>
      </w:pPr>
      <w:r>
        <w:rPr>
          <w:rFonts w:eastAsia="Arial" w:cs="Arial" w:ascii="Arial" w:hAnsi="Arial"/>
        </w:rPr>
        <w:t xml:space="preserve">  </w:t>
      </w:r>
    </w:p>
    <w:p>
      <w:pPr>
        <w:pStyle w:val="Normal"/>
        <w:rPr>
          <w:rFonts w:ascii="Arial" w:hAnsi="Arial" w:cs="Arial"/>
          <w:b/>
        </w:rPr>
      </w:pPr>
      <w:r>
        <w:rPr>
          <w:rFonts w:cs="Arial" w:ascii="Arial" w:hAnsi="Arial"/>
          <w:b/>
        </w:rPr>
      </w:r>
    </w:p>
    <w:p>
      <w:pPr>
        <w:pStyle w:val="BodyText"/>
        <w:rPr>
          <w:rFonts w:ascii="Arial" w:hAnsi="Arial" w:cs="Arial"/>
          <w:sz w:val="24"/>
        </w:rPr>
      </w:pPr>
      <w:r>
        <w:rPr>
          <w:rFonts w:cs="Arial" w:ascii="Arial" w:hAnsi="Arial"/>
          <w:sz w:val="24"/>
        </w:rPr>
        <w:tab/>
      </w:r>
    </w:p>
    <w:p>
      <w:pPr>
        <w:pStyle w:val="BodyText"/>
        <w:rPr>
          <w:rFonts w:ascii="Arial" w:hAnsi="Arial" w:cs="Arial"/>
          <w:sz w:val="24"/>
        </w:rPr>
      </w:pPr>
      <w:r>
        <w:rPr>
          <w:rFonts w:cs="Arial" w:ascii="Arial" w:hAnsi="Arial"/>
          <w:sz w:val="24"/>
        </w:rPr>
      </w:r>
    </w:p>
    <w:p>
      <w:pPr>
        <w:pStyle w:val="Normal"/>
        <w:jc w:val="center"/>
        <w:rPr>
          <w:rFonts w:ascii="Arial" w:hAnsi="Arial" w:cs="Arial"/>
          <w:sz w:val="22"/>
        </w:rPr>
      </w:pPr>
      <w:r>
        <w:rPr>
          <w:rFonts w:cs="Arial" w:ascii="Arial" w:hAnsi="Arial"/>
          <w:sz w:val="22"/>
        </w:rPr>
        <w:t>------------</w:t>
      </w:r>
    </w:p>
    <w:p>
      <w:pPr>
        <w:pStyle w:val="Normal"/>
        <w:jc w:val="center"/>
        <w:rPr>
          <w:rFonts w:ascii="Arial" w:hAnsi="Arial" w:cs="Arial"/>
          <w:sz w:val="22"/>
        </w:rPr>
      </w:pPr>
      <w:r>
        <w:rPr>
          <w:rFonts w:cs="Arial" w:ascii="Arial" w:hAnsi="Arial"/>
          <w:sz w:val="22"/>
        </w:rPr>
      </w:r>
    </w:p>
    <w:p>
      <w:pPr>
        <w:pStyle w:val="Normal"/>
        <w:ind w:firstLine="720" w:end="0"/>
        <w:rPr/>
      </w:pPr>
      <w:r>
        <w:rPr>
          <w:rFonts w:cs="Arial" w:ascii="Arial" w:hAnsi="Arial"/>
          <w:sz w:val="22"/>
        </w:rPr>
        <w:t>Mariner Energy, Inc. is a Houston-based oil and gas exploration company with principal operations in the Gulf of Mexico and along the U.S. Gulf Coast. This news release, along with previous news releases and a link to the Company’s filings with the Securities and Exchange Commission, can be accessed over the Internet using PRNewswire’s “company news” section at its web site (</w:t>
      </w:r>
      <w:hyperlink r:id="rId4">
        <w:r>
          <w:rPr>
            <w:rStyle w:val="Hyperlink"/>
            <w:rFonts w:cs="Arial" w:ascii="Arial" w:hAnsi="Arial"/>
            <w:sz w:val="22"/>
          </w:rPr>
          <w:t>www.prnewswire.com)</w:t>
        </w:r>
      </w:hyperlink>
      <w:r>
        <w:rPr>
          <w:rFonts w:cs="Arial" w:ascii="Arial" w:hAnsi="Arial"/>
          <w:sz w:val="22"/>
        </w:rPr>
        <w:t>.</w:t>
      </w:r>
    </w:p>
    <w:p>
      <w:pPr>
        <w:pStyle w:val="Normal"/>
        <w:ind w:firstLine="720" w:end="0"/>
        <w:rPr>
          <w:rFonts w:ascii="Arial" w:hAnsi="Arial" w:cs="Arial"/>
          <w:b/>
          <w:sz w:val="22"/>
        </w:rPr>
      </w:pPr>
      <w:r>
        <w:rPr>
          <w:rFonts w:cs="Arial" w:ascii="Arial" w:hAnsi="Arial"/>
          <w:b/>
          <w:sz w:val="22"/>
        </w:rPr>
      </w:r>
    </w:p>
    <w:p>
      <w:pPr>
        <w:pStyle w:val="Normal"/>
        <w:ind w:firstLine="720" w:end="0"/>
        <w:rPr>
          <w:rFonts w:ascii="Arial" w:hAnsi="Arial" w:cs="Arial"/>
          <w:sz w:val="22"/>
        </w:rPr>
      </w:pPr>
      <w:r>
        <w:rPr>
          <w:rFonts w:cs="Arial" w:ascii="Arial" w:hAnsi="Arial"/>
          <w:sz w:val="22"/>
        </w:rPr>
        <w:t>This news release contains statements regarding future financial performance and results and other statements which are not historical facts.  These constitute forward-looking statements which are subject to risks and uncertainties that could cause actual results to differ materially.  Such risks include, but are not limited to, oil and gas price volatility, results of future drilling, availability of drilling rigs, future production and costs and other factors described in the Company’s publicly available Securities and Exchange Commission filings.</w:t>
      </w:r>
    </w:p>
    <w:p>
      <w:pPr>
        <w:pStyle w:val="Normal"/>
        <w:spacing w:before="0" w:after="120"/>
        <w:rPr>
          <w:rFonts w:ascii="Arial" w:hAnsi="Arial" w:cs="Arial"/>
          <w:sz w:val="22"/>
        </w:rPr>
      </w:pPr>
      <w:r>
        <w:rPr>
          <w:rFonts w:cs="Arial" w:ascii="Arial" w:hAnsi="Arial"/>
          <w:sz w:val="22"/>
        </w:rPr>
      </w:r>
    </w:p>
    <w:sectPr>
      <w:footerReference w:type="default" r:id="rId5"/>
      <w:type w:val="nextPage"/>
      <w:pgSz w:w="12240" w:h="15840"/>
      <w:pgMar w:left="1440" w:right="1350" w:gutter="0" w:header="0" w:top="1080" w:footer="605" w:bottom="80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Fonts w:cs="Arial" w:ascii="Arial" w:hAnsi="Arial"/>
        <w:sz w:val="2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rPr>
  </w:style>
  <w:style w:type="paragraph" w:styleId="Heading3">
    <w:name w:val="heading 3"/>
    <w:basedOn w:val="Normal"/>
    <w:next w:val="Normal"/>
    <w:qFormat/>
    <w:pPr>
      <w:keepNext w:val="true"/>
      <w:numPr>
        <w:ilvl w:val="2"/>
        <w:numId w:val="1"/>
      </w:numPr>
      <w:outlineLvl w:val="2"/>
    </w:pPr>
    <w:rPr>
      <w:rFonts w:ascii="Arial" w:hAnsi="Arial" w:cs="Arial"/>
      <w:b/>
      <w:i/>
      <w:sz w:val="20"/>
    </w:rPr>
  </w:style>
  <w:style w:type="paragraph" w:styleId="Heading4">
    <w:name w:val="heading 4"/>
    <w:basedOn w:val="Normal"/>
    <w:next w:val="Normal"/>
    <w:qFormat/>
    <w:pPr>
      <w:keepNext w:val="true"/>
      <w:numPr>
        <w:ilvl w:val="3"/>
        <w:numId w:val="1"/>
      </w:numPr>
      <w:ind w:hanging="0" w:start="1350" w:end="0"/>
      <w:outlineLvl w:val="3"/>
    </w:pPr>
    <w:rPr>
      <w:rFonts w:ascii="CG Times" w:hAnsi="CG Times" w:cs="CG Times"/>
      <w:b/>
      <w:sz w:val="22"/>
    </w:rPr>
  </w:style>
  <w:style w:type="paragraph" w:styleId="Heading5">
    <w:name w:val="heading 5"/>
    <w:basedOn w:val="Normal"/>
    <w:next w:val="Normal"/>
    <w:qFormat/>
    <w:pPr>
      <w:keepNext w:val="true"/>
      <w:numPr>
        <w:ilvl w:val="4"/>
        <w:numId w:val="1"/>
      </w:numPr>
      <w:ind w:hanging="0" w:start="1170" w:end="0"/>
      <w:jc w:val="end"/>
      <w:outlineLvl w:val="4"/>
    </w:pPr>
    <w:rPr>
      <w:rFonts w:ascii="Arial" w:hAnsi="Arial" w:cs="Arial"/>
      <w:b/>
      <w:sz w:val="32"/>
    </w:rPr>
  </w:style>
  <w:style w:type="paragraph" w:styleId="Heading6">
    <w:name w:val="heading 6"/>
    <w:basedOn w:val="Normal"/>
    <w:next w:val="Normal"/>
    <w:qFormat/>
    <w:pPr>
      <w:keepNext w:val="true"/>
      <w:numPr>
        <w:ilvl w:val="5"/>
        <w:numId w:val="1"/>
      </w:numPr>
      <w:jc w:val="end"/>
      <w:outlineLvl w:val="5"/>
    </w:pPr>
    <w:rPr>
      <w:rFonts w:ascii="Arial" w:hAnsi="Arial" w:cs="Arial"/>
      <w:b/>
      <w:i/>
      <w:sz w:val="36"/>
      <w:u w:val="single"/>
    </w:rPr>
  </w:style>
  <w:style w:type="paragraph" w:styleId="Heading8">
    <w:name w:val="heading 8"/>
    <w:basedOn w:val="Normal"/>
    <w:next w:val="Normal"/>
    <w:qFormat/>
    <w:pPr>
      <w:keepNext w:val="true"/>
      <w:numPr>
        <w:ilvl w:val="7"/>
        <w:numId w:val="1"/>
      </w:numPr>
      <w:jc w:val="center"/>
      <w:outlineLvl w:val="7"/>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tabs>
        <w:tab w:val="clear" w:pos="720"/>
        <w:tab w:val="left" w:pos="-900" w:leader="none"/>
        <w:tab w:val="left" w:pos="-344" w:leader="none"/>
        <w:tab w:val="left" w:pos="326" w:leader="none"/>
        <w:tab w:val="left" w:pos="1096" w:leader="none"/>
        <w:tab w:val="left" w:pos="1586" w:leader="none"/>
        <w:tab w:val="left" w:pos="2306" w:leader="none"/>
        <w:tab w:val="right" w:pos="5040" w:leader="none"/>
        <w:tab w:val="left" w:pos="6250" w:leader="none"/>
        <w:tab w:val="left" w:pos="7240" w:leader="none"/>
        <w:tab w:val="decimal" w:pos="7776" w:leader="none"/>
        <w:tab w:val="decimal" w:pos="9101" w:leader="none"/>
        <w:tab w:val="right" w:pos="9360" w:leader="none"/>
      </w:tabs>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2">
    <w:name w:val="Body Text 2"/>
    <w:basedOn w:val="Normal"/>
    <w:qFormat/>
    <w:pPr/>
    <w:rPr>
      <w:rFonts w:ascii="Arial" w:hAnsi="Arial" w:cs="Arial"/>
      <w:sz w:val="22"/>
    </w:rPr>
  </w:style>
  <w:style w:type="paragraph" w:styleId="BodyText3">
    <w:name w:val="Body Text 3"/>
    <w:basedOn w:val="Normal"/>
    <w:qFormat/>
    <w:pPr>
      <w:spacing w:before="0" w:after="120"/>
    </w:pPr>
    <w:rPr>
      <w:rFonts w:ascii="Arial" w:hAnsi="Arial" w:cs="Arial"/>
      <w:sz w:val="18"/>
    </w:rPr>
  </w:style>
  <w:style w:type="paragraph" w:styleId="BodyTextIndent2">
    <w:name w:val="Body Text Indent 2"/>
    <w:basedOn w:val="Normal"/>
    <w:qFormat/>
    <w:pPr>
      <w:ind w:firstLine="720" w:start="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TOC1">
    <w:name w:val="toc 1"/>
    <w:basedOn w:val="Normal"/>
    <w:next w:val="Normal"/>
    <w:pPr>
      <w:tabs>
        <w:tab w:val="clear" w:pos="720"/>
        <w:tab w:val="left" w:pos="-900" w:leader="none"/>
        <w:tab w:val="left" w:pos="-344" w:leader="none"/>
        <w:tab w:val="decimal" w:pos="77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pPr>
    <w:rPr>
      <w:rFonts w:ascii="CG Times" w:hAnsi="CG Times" w:cs="CG Times"/>
      <w:sz w:val="20"/>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spacing w:before="120" w:after="0"/>
      <w:jc w:val="center"/>
    </w:pPr>
    <w:rPr>
      <w:b/>
      <w:sz w:val="32"/>
    </w:rPr>
  </w:style>
  <w:style w:type="paragraph" w:styleId="BodyTextIndent3">
    <w:name w:val="Body Text Indent 3"/>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2001-12-20T11:35:00Z</dcterms:created>
  <dc:creator>MWICHTERICH</dc:creator>
  <dc:description/>
  <dc:language>en-CA</dc:language>
  <cp:lastModifiedBy>Kimm Cashiola</cp:lastModifiedBy>
  <cp:lastPrinted>2001-12-19T14:32:00Z</cp:lastPrinted>
  <dcterms:modified xsi:type="dcterms:W3CDTF">2001-12-20T11:35:00Z</dcterms:modified>
  <cp:revision>2</cp:revision>
  <dc:subject/>
  <dc:title/>
</cp:coreProperties>
</file>