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Hong Kong Government Regulatory Profile: Telecommunication and IT</w:t>
      </w:r>
    </w:p>
    <w:p>
      <w:pPr>
        <w:pStyle w:val="Normal"/>
        <w:rPr>
          <w:sz w:val="24"/>
        </w:rPr>
      </w:pPr>
      <w:r>
        <w:rPr>
          <w:sz w:val="24"/>
        </w:rPr>
      </w:r>
    </w:p>
    <w:p>
      <w:pPr>
        <w:pStyle w:val="Normal"/>
        <w:numPr>
          <w:ilvl w:val="0"/>
          <w:numId w:val="7"/>
        </w:numPr>
        <w:rPr/>
      </w:pPr>
      <w:r>
        <w:rPr>
          <w:b/>
        </w:rPr>
        <w:t>History of Deregulation</w:t>
      </w:r>
    </w:p>
    <w:p>
      <w:pPr>
        <w:pStyle w:val="Normal"/>
        <w:rPr/>
      </w:pPr>
      <w:r>
        <w:rPr/>
      </w:r>
    </w:p>
    <w:p>
      <w:pPr>
        <w:pStyle w:val="Normal"/>
        <w:numPr>
          <w:ilvl w:val="1"/>
          <w:numId w:val="7"/>
        </w:numPr>
        <w:tabs>
          <w:tab w:val="left" w:pos="720" w:leader="none"/>
        </w:tabs>
        <w:ind w:hanging="360" w:start="720" w:end="0"/>
        <w:rPr/>
      </w:pPr>
      <w:r>
        <w:rPr/>
        <w:t>Local fixed network services have been opened to competition since the exclusive franchise granted to Hong Kong Telephone Company (PCCW HKT) expired on June 30, 1995. There are now four wire line-based FTNS operators providing local fixed network services: PCCW HKET, Hutchinson, New T &amp; T, and New World.</w:t>
      </w:r>
    </w:p>
    <w:p>
      <w:pPr>
        <w:pStyle w:val="Normal"/>
        <w:ind w:start="360" w:end="0"/>
        <w:rPr/>
      </w:pPr>
      <w:r>
        <w:rPr/>
      </w:r>
    </w:p>
    <w:p>
      <w:pPr>
        <w:pStyle w:val="Normal"/>
        <w:numPr>
          <w:ilvl w:val="1"/>
          <w:numId w:val="7"/>
        </w:numPr>
        <w:tabs>
          <w:tab w:val="left" w:pos="720" w:leader="none"/>
        </w:tabs>
        <w:ind w:hanging="360" w:start="720" w:end="0"/>
        <w:rPr/>
      </w:pPr>
      <w:r>
        <w:rPr/>
        <w:t>In April 1998, the government further liberalized the local telecommunication market, by:</w:t>
      </w:r>
    </w:p>
    <w:p>
      <w:pPr>
        <w:pStyle w:val="Normal"/>
        <w:rPr/>
      </w:pPr>
      <w:r>
        <w:rPr/>
      </w:r>
    </w:p>
    <w:p>
      <w:pPr>
        <w:pStyle w:val="Normal"/>
        <w:numPr>
          <w:ilvl w:val="1"/>
          <w:numId w:val="5"/>
        </w:numPr>
        <w:rPr/>
      </w:pPr>
      <w:r>
        <w:rPr/>
        <w:t>extending the moratorium on the issue of further FTNS licenses for Dec. 31, 2002.</w:t>
      </w:r>
    </w:p>
    <w:p>
      <w:pPr>
        <w:pStyle w:val="Normal"/>
        <w:numPr>
          <w:ilvl w:val="1"/>
          <w:numId w:val="5"/>
        </w:numPr>
        <w:rPr/>
      </w:pPr>
      <w:r>
        <w:rPr/>
        <w:t>permitting Hong Kong Cable Television Limited (HKVTC) to offer telecommunication services over its hybrid fiber coaxial cable network.</w:t>
      </w:r>
    </w:p>
    <w:p>
      <w:pPr>
        <w:pStyle w:val="Normal"/>
        <w:ind w:start="720" w:end="0"/>
        <w:rPr/>
      </w:pPr>
      <w:r>
        <w:rPr/>
      </w:r>
    </w:p>
    <w:p>
      <w:pPr>
        <w:pStyle w:val="Normal"/>
        <w:numPr>
          <w:ilvl w:val="1"/>
          <w:numId w:val="7"/>
        </w:numPr>
        <w:tabs>
          <w:tab w:val="left" w:pos="720" w:leader="none"/>
        </w:tabs>
        <w:ind w:hanging="360" w:start="720" w:end="0"/>
        <w:rPr/>
      </w:pPr>
      <w:r>
        <w:rPr/>
        <w:t>In January 1999, competition in external (international) telecommunication services began. Previously, Hong Kong Telecom (HKT) had exclusivity on external telecommunication services</w:t>
      </w:r>
    </w:p>
    <w:p>
      <w:pPr>
        <w:pStyle w:val="Normal"/>
        <w:ind w:start="360" w:end="0"/>
        <w:rPr/>
      </w:pPr>
      <w:r>
        <w:rPr/>
      </w:r>
    </w:p>
    <w:p>
      <w:pPr>
        <w:pStyle w:val="Normal"/>
        <w:numPr>
          <w:ilvl w:val="1"/>
          <w:numId w:val="7"/>
        </w:numPr>
        <w:tabs>
          <w:tab w:val="left" w:pos="720" w:leader="none"/>
        </w:tabs>
        <w:ind w:hanging="360" w:start="720" w:end="0"/>
        <w:rPr/>
      </w:pPr>
      <w:r>
        <w:rPr/>
        <w:t>The Office of the Telecommunications Authority (OFTA), formed by hiving off the then Telecommunications Branch of the Post Office, was established as a separate government department on July 1</w:t>
      </w:r>
      <w:r>
        <w:rPr>
          <w:vertAlign w:val="superscript"/>
        </w:rPr>
        <w:t>st</w:t>
      </w:r>
      <w:r>
        <w:rPr/>
        <w:t xml:space="preserve">, 1993. It serves as the executive arm of the Telecommunications Authority (TA), which is appointed under the Telecommunication Ordinance as the statutory body to oversee the regulation of the telecommunications sector in Hong Kong. </w:t>
      </w:r>
    </w:p>
    <w:p>
      <w:pPr>
        <w:pStyle w:val="Normal"/>
        <w:ind w:start="360" w:end="0"/>
        <w:rPr/>
      </w:pPr>
      <w:r>
        <w:rPr/>
      </w:r>
    </w:p>
    <w:p>
      <w:pPr>
        <w:pStyle w:val="Normal"/>
        <w:numPr>
          <w:ilvl w:val="1"/>
          <w:numId w:val="7"/>
        </w:numPr>
        <w:tabs>
          <w:tab w:val="left" w:pos="720" w:leader="none"/>
        </w:tabs>
        <w:ind w:hanging="360" w:start="720" w:end="0"/>
        <w:rPr/>
      </w:pPr>
      <w:r>
        <w:rPr/>
        <w:t>In January 2000, full competition in external telecommunications facilities began.</w:t>
      </w:r>
    </w:p>
    <w:p>
      <w:pPr>
        <w:pStyle w:val="Normal"/>
        <w:ind w:start="360" w:end="0"/>
        <w:rPr/>
      </w:pPr>
      <w:r>
        <w:rPr/>
      </w:r>
    </w:p>
    <w:p>
      <w:pPr>
        <w:pStyle w:val="Normal"/>
        <w:numPr>
          <w:ilvl w:val="0"/>
          <w:numId w:val="7"/>
        </w:numPr>
        <w:rPr>
          <w:b/>
        </w:rPr>
      </w:pPr>
      <w:r>
        <w:rPr>
          <w:b/>
        </w:rPr>
        <w:t>Licensing Framework</w:t>
      </w:r>
    </w:p>
    <w:p>
      <w:pPr>
        <w:pStyle w:val="Normal"/>
        <w:rPr>
          <w:b/>
        </w:rPr>
      </w:pPr>
      <w:r>
        <w:rPr>
          <w:b/>
        </w:rPr>
      </w:r>
    </w:p>
    <w:p>
      <w:pPr>
        <w:pStyle w:val="Normal"/>
        <w:ind w:start="360" w:end="0"/>
        <w:rPr/>
      </w:pPr>
      <w:r>
        <w:rPr/>
        <w:t>2.1 Licenses are separated between facilities based and service based:</w:t>
      </w:r>
    </w:p>
    <w:p>
      <w:pPr>
        <w:pStyle w:val="Normal"/>
        <w:ind w:start="360" w:end="0"/>
        <w:rPr/>
      </w:pPr>
      <w:r>
        <w:rPr/>
      </w:r>
    </w:p>
    <w:p>
      <w:pPr>
        <w:pStyle w:val="Normal"/>
        <w:numPr>
          <w:ilvl w:val="1"/>
          <w:numId w:val="8"/>
        </w:numPr>
        <w:rPr/>
      </w:pPr>
      <w:r>
        <w:rPr/>
        <w:t>Facilities based</w:t>
      </w:r>
    </w:p>
    <w:p>
      <w:pPr>
        <w:pStyle w:val="Normal"/>
        <w:numPr>
          <w:ilvl w:val="1"/>
          <w:numId w:val="3"/>
        </w:numPr>
        <w:rPr/>
      </w:pPr>
      <w:r>
        <w:rPr/>
        <w:t xml:space="preserve">Fixed Telecommunication Network Services (FTNS) license is required for the establishment and operation of facilities (cable, coppers, wireless, spectrum and satellite) within Hong Kong. </w:t>
      </w:r>
    </w:p>
    <w:p>
      <w:pPr>
        <w:pStyle w:val="Normal"/>
        <w:ind w:start="1080" w:end="0"/>
        <w:rPr/>
      </w:pPr>
      <w:r>
        <w:rPr/>
      </w:r>
    </w:p>
    <w:p>
      <w:pPr>
        <w:pStyle w:val="Normal"/>
        <w:numPr>
          <w:ilvl w:val="1"/>
          <w:numId w:val="3"/>
        </w:numPr>
        <w:rPr/>
      </w:pPr>
      <w:r>
        <w:rPr/>
        <w:t xml:space="preserve">External Fixed Telecommunication Network Services (EFTNS) license is required for the establishment and operation of facilities (submarine cable, satellite gateways, land cables, etc) out of  Hong Kong. </w:t>
      </w:r>
    </w:p>
    <w:p>
      <w:pPr>
        <w:pStyle w:val="Normal"/>
        <w:ind w:start="1080" w:end="0"/>
        <w:rPr/>
      </w:pPr>
      <w:r>
        <w:rPr/>
      </w:r>
    </w:p>
    <w:p>
      <w:pPr>
        <w:pStyle w:val="Normal"/>
        <w:numPr>
          <w:ilvl w:val="1"/>
          <w:numId w:val="8"/>
        </w:numPr>
        <w:rPr/>
      </w:pPr>
      <w:r>
        <w:rPr/>
        <w:t xml:space="preserve"> </w:t>
      </w:r>
      <w:r>
        <w:rPr/>
        <w:t>Service based</w:t>
      </w:r>
    </w:p>
    <w:p>
      <w:pPr>
        <w:pStyle w:val="Normal"/>
        <w:numPr>
          <w:ilvl w:val="1"/>
          <w:numId w:val="2"/>
        </w:numPr>
        <w:rPr/>
      </w:pPr>
      <w:r>
        <w:rPr/>
        <w:t>Value added services providers who use the fixed telecommunication networks operated by other licensed operators for carriage of their services are licensed under the Public non-exclusive telecommunication services (PNETS).</w:t>
      </w:r>
    </w:p>
    <w:p>
      <w:pPr>
        <w:pStyle w:val="Normal"/>
        <w:ind w:start="1065" w:end="0"/>
        <w:rPr/>
      </w:pPr>
      <w:r>
        <w:rPr/>
      </w:r>
    </w:p>
    <w:p>
      <w:pPr>
        <w:pStyle w:val="Normal"/>
        <w:numPr>
          <w:ilvl w:val="2"/>
          <w:numId w:val="2"/>
        </w:numPr>
        <w:rPr/>
      </w:pPr>
      <w:r>
        <w:rPr/>
        <w:t xml:space="preserve">International value added network services (IVANS) is operated under the PNETS license. </w:t>
      </w:r>
    </w:p>
    <w:p>
      <w:pPr>
        <w:pStyle w:val="Normal"/>
        <w:ind w:start="2130" w:end="0"/>
        <w:rPr/>
      </w:pPr>
      <w:r>
        <w:rPr/>
      </w:r>
    </w:p>
    <w:p>
      <w:pPr>
        <w:pStyle w:val="Normal"/>
        <w:numPr>
          <w:ilvl w:val="2"/>
          <w:numId w:val="2"/>
        </w:numPr>
        <w:rPr/>
      </w:pPr>
      <w:r>
        <w:rPr/>
        <w:t>Other service operated under the PNETS include Internet Service Providers (ISP), Virtual Private Network (VPN) Services Providers, External Communication Service (ECS) Operator, International Simple Resale (ISR) for Facsimile and Data Services and  International calling card service.</w:t>
      </w:r>
    </w:p>
    <w:p>
      <w:pPr>
        <w:pStyle w:val="Normal"/>
        <w:rPr>
          <w:rFonts w:ascii="Courier" w:hAnsi="Courier" w:cs="Courier"/>
          <w:color w:val="000000"/>
          <w:sz w:val="18"/>
          <w:lang w:eastAsia="en-US"/>
        </w:rPr>
      </w:pPr>
      <w:r>
        <w:rPr>
          <w:rFonts w:cs="Courier" w:ascii="Courier" w:hAnsi="Courier"/>
          <w:color w:val="000000"/>
          <w:sz w:val="18"/>
          <w:lang w:eastAsia="en-US"/>
        </w:rPr>
      </w:r>
    </w:p>
    <w:p>
      <w:pPr>
        <w:pStyle w:val="Normal"/>
        <w:numPr>
          <w:ilvl w:val="1"/>
          <w:numId w:val="2"/>
        </w:numPr>
        <w:rPr/>
      </w:pPr>
      <w:r>
        <w:rPr/>
        <w:t>Public non-exclusive telecommunication services using radio frequency spectrum are licensed under PRS license.</w:t>
      </w:r>
    </w:p>
    <w:p>
      <w:pPr>
        <w:pStyle w:val="Normal"/>
        <w:ind w:start="1065" w:end="0"/>
        <w:rPr/>
      </w:pPr>
      <w:r>
        <w:rPr/>
      </w:r>
    </w:p>
    <w:p>
      <w:pPr>
        <w:pStyle w:val="Normal"/>
        <w:numPr>
          <w:ilvl w:val="1"/>
          <w:numId w:val="2"/>
        </w:numPr>
        <w:rPr/>
      </w:pPr>
      <w:r>
        <w:rPr/>
        <w:t>License fee of HK$700 per year.</w:t>
      </w:r>
    </w:p>
    <w:p>
      <w:pPr>
        <w:pStyle w:val="Normal"/>
        <w:ind w:start="1065" w:end="0"/>
        <w:rPr/>
      </w:pPr>
      <w:r>
        <w:rPr/>
      </w:r>
    </w:p>
    <w:p>
      <w:pPr>
        <w:pStyle w:val="Normal"/>
        <w:numPr>
          <w:ilvl w:val="1"/>
          <w:numId w:val="8"/>
        </w:numPr>
        <w:rPr/>
      </w:pPr>
      <w:r>
        <w:rPr/>
        <w:t xml:space="preserve"> </w:t>
      </w:r>
      <w:r>
        <w:rPr/>
        <w:t>OFTA sets the legal framework for fair competition in the areas of interconnection, access and infrastructure sharing.</w:t>
      </w:r>
    </w:p>
    <w:p>
      <w:pPr>
        <w:pStyle w:val="BodyTextIndent"/>
        <w:ind w:hanging="0" w:start="0" w:end="0"/>
        <w:rPr/>
      </w:pPr>
      <w:r>
        <w:rPr/>
      </w:r>
    </w:p>
    <w:p>
      <w:pPr>
        <w:pStyle w:val="BodyTextIndent"/>
        <w:ind w:hanging="0" w:start="1260" w:end="0"/>
        <w:rPr/>
      </w:pPr>
      <w:r>
        <w:rPr/>
      </w:r>
    </w:p>
    <w:p>
      <w:pPr>
        <w:pStyle w:val="Normal"/>
        <w:numPr>
          <w:ilvl w:val="0"/>
          <w:numId w:val="7"/>
        </w:numPr>
        <w:rPr>
          <w:b/>
        </w:rPr>
      </w:pPr>
      <w:r>
        <w:rPr>
          <w:b/>
        </w:rPr>
        <w:t xml:space="preserve">Low tax rate </w:t>
      </w:r>
    </w:p>
    <w:p>
      <w:pPr>
        <w:pStyle w:val="Normal"/>
        <w:rPr>
          <w:b/>
        </w:rPr>
      </w:pPr>
      <w:r>
        <w:rPr>
          <w:b/>
        </w:rPr>
      </w:r>
    </w:p>
    <w:p>
      <w:pPr>
        <w:pStyle w:val="Normal"/>
        <w:numPr>
          <w:ilvl w:val="1"/>
          <w:numId w:val="4"/>
        </w:numPr>
        <w:rPr/>
      </w:pPr>
      <w:r>
        <w:rPr/>
        <w:t xml:space="preserve">Basic profits tax is 16.5 % on transactions in Hong Kong., and corporate tax is 16% </w:t>
      </w:r>
    </w:p>
    <w:p>
      <w:pPr>
        <w:pStyle w:val="Normal"/>
        <w:ind w:start="360" w:end="0"/>
        <w:rPr/>
      </w:pPr>
      <w:r>
        <w:rPr/>
      </w:r>
    </w:p>
    <w:p>
      <w:pPr>
        <w:pStyle w:val="Heading2"/>
        <w:numPr>
          <w:ilvl w:val="0"/>
          <w:numId w:val="7"/>
        </w:numPr>
        <w:rPr/>
      </w:pPr>
      <w:r>
        <w:rPr/>
        <w:t>Enron current regulatory position</w:t>
      </w:r>
    </w:p>
    <w:p>
      <w:pPr>
        <w:pStyle w:val="Normal"/>
        <w:rPr/>
      </w:pPr>
      <w:r>
        <w:rPr/>
      </w:r>
    </w:p>
    <w:p>
      <w:pPr>
        <w:pStyle w:val="Normal"/>
        <w:numPr>
          <w:ilvl w:val="1"/>
          <w:numId w:val="7"/>
        </w:numPr>
        <w:tabs>
          <w:tab w:val="left" w:pos="720" w:leader="none"/>
        </w:tabs>
        <w:ind w:hanging="360" w:start="720" w:end="0"/>
        <w:rPr/>
      </w:pPr>
      <w:r>
        <w:rPr/>
        <w:t>EBS Hong Kong Limited is the holder of IVANS (for the provision of  Mediacast, IP net and other IP related services within Hong Kong ) and a ETS license ( for the purpose of international bandwidth trading out of Hong Kong).</w:t>
      </w:r>
    </w:p>
    <w:p>
      <w:pPr>
        <w:pStyle w:val="Normal"/>
        <w:rPr/>
      </w:pPr>
      <w:r>
        <w:rPr/>
      </w:r>
    </w:p>
    <w:p>
      <w:pPr>
        <w:pStyle w:val="Normal"/>
        <w:numPr>
          <w:ilvl w:val="1"/>
          <w:numId w:val="7"/>
        </w:numPr>
        <w:tabs>
          <w:tab w:val="left" w:pos="720" w:leader="none"/>
        </w:tabs>
        <w:ind w:hanging="360" w:start="720" w:end="0"/>
        <w:rPr/>
      </w:pPr>
      <w:r>
        <w:rPr/>
        <w:t>EBS is currently submitting the tariff for bandwidth trading. Tariff includes the following terms:</w:t>
      </w:r>
    </w:p>
    <w:p>
      <w:pPr>
        <w:pStyle w:val="Normal"/>
        <w:rPr/>
      </w:pPr>
      <w:r>
        <w:rPr/>
      </w:r>
    </w:p>
    <w:p>
      <w:pPr>
        <w:pStyle w:val="Normal"/>
        <w:numPr>
          <w:ilvl w:val="1"/>
          <w:numId w:val="6"/>
        </w:numPr>
        <w:rPr/>
      </w:pPr>
      <w:r>
        <w:rPr/>
        <w:t>a description of the service;</w:t>
      </w:r>
    </w:p>
    <w:p>
      <w:pPr>
        <w:pStyle w:val="Normal"/>
        <w:numPr>
          <w:ilvl w:val="1"/>
          <w:numId w:val="6"/>
        </w:numPr>
        <w:rPr/>
      </w:pPr>
      <w:r>
        <w:rPr/>
        <w:t>discounts, allowance, rebates or credits given on the supply of the service</w:t>
      </w:r>
    </w:p>
    <w:p>
      <w:pPr>
        <w:pStyle w:val="Normal"/>
        <w:numPr>
          <w:ilvl w:val="1"/>
          <w:numId w:val="6"/>
        </w:numPr>
        <w:rPr/>
      </w:pPr>
      <w:r>
        <w:rPr/>
        <w:t>the supply of goods and other services related to the service</w:t>
      </w:r>
    </w:p>
    <w:p>
      <w:pPr>
        <w:pStyle w:val="Normal"/>
        <w:numPr>
          <w:ilvl w:val="1"/>
          <w:numId w:val="6"/>
        </w:numPr>
        <w:rPr/>
      </w:pPr>
      <w:r>
        <w:rPr/>
        <w:t>the payment of goods and other services related to the service</w:t>
      </w:r>
    </w:p>
    <w:p>
      <w:pPr>
        <w:pStyle w:val="Normal"/>
        <w:numPr>
          <w:ilvl w:val="1"/>
          <w:numId w:val="6"/>
        </w:numPr>
        <w:rPr/>
      </w:pPr>
      <w:r>
        <w:rPr/>
        <w:t xml:space="preserve">any other relevant information the Authority considers necessary as a part of the terms and conditions.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w:instrText>
    </w:r>
    <w:r>
      <w:rPr>
        <w:sz w:val="12"/>
        <w:rFonts w:cs="Arial" w:ascii="Arial" w:hAnsi="Arial"/>
        <w:lang w:eastAsia="en-US"/>
      </w:rPr>
      <w:fldChar w:fldCharType="separate"/>
    </w:r>
    <w:r>
      <w:rPr>
        <w:sz w:val="12"/>
        <w:rFonts w:cs="Arial" w:ascii="Arial" w:hAnsi="Arial"/>
        <w:lang w:eastAsia="en-US"/>
      </w:rPr>
      <w:t>Hong_Kong_Regulatory_Profile-fafce27b9ff75ef6e0674eebccbc7b90232975bf27de42231ef80c7125c645ec.doc</w:t>
    </w:r>
    <w:r>
      <w:rPr>
        <w:sz w:val="12"/>
        <w:rFonts w:cs="Arial" w:ascii="Arial" w:hAnsi="Arial"/>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6"/>
      </w:rPr>
    </w:pPr>
    <w:r>
      <w:rPr>
        <w:rFonts w:cs="Arial" w:ascii="Arial" w:hAnsi="Arial"/>
        <w:sz w:val="16"/>
      </w:rPr>
      <w:t xml:space="preserve">Enron Broadband Service </w:t>
    </w:r>
  </w:p>
  <w:p>
    <w:pPr>
      <w:pStyle w:val="Header"/>
      <w:rPr>
        <w:rFonts w:ascii="Arial" w:hAnsi="Arial" w:cs="Arial"/>
        <w:sz w:val="16"/>
      </w:rPr>
    </w:pPr>
    <w:r>
      <w:rPr>
        <w:rFonts w:cs="Arial" w:ascii="Arial" w:hAnsi="Arial"/>
        <w:sz w:val="16"/>
      </w:rPr>
      <w:t xml:space="preserve">Confidential </w:t>
    </w:r>
  </w:p>
  <w:p>
    <w:pPr>
      <w:pStyle w:val="Header"/>
      <w:rPr>
        <w:rFonts w:ascii="Arial" w:hAnsi="Arial" w:cs="Arial"/>
        <w:sz w:val="16"/>
      </w:rPr>
    </w:pPr>
    <w:r>
      <w:rPr>
        <w:rFonts w:cs="Arial" w:ascii="Arial" w:hAnsi="Arial"/>
        <w:sz w:val="16"/>
      </w:rPr>
      <w:t xml:space="preserve">Prepared by Xi Xi, EBS regulatory affairs </w:t>
    </w:r>
  </w:p>
  <w:p>
    <w:pPr>
      <w:pStyle w:val="Header"/>
      <w:rPr>
        <w:rFonts w:ascii="Arial" w:hAnsi="Arial" w:cs="Arial"/>
        <w:sz w:val="16"/>
      </w:rPr>
    </w:pPr>
    <w:r>
      <w:rPr>
        <w:rFonts w:cs="Arial" w:ascii="Arial" w:hAnsi="Arial"/>
        <w:sz w:val="16"/>
      </w:rPr>
      <w:t>Version Date: Jan 8,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095"/>
        </w:tabs>
        <w:ind w:start="1095" w:hanging="1095"/>
      </w:pPr>
      <w:rPr/>
    </w:lvl>
    <w:lvl w:ilvl="1">
      <w:start w:val="121"/>
      <w:numFmt w:val="decimal"/>
      <w:lvlText w:val="%1.%2"/>
      <w:lvlJc w:val="start"/>
      <w:pPr>
        <w:tabs>
          <w:tab w:val="num" w:pos="2160"/>
        </w:tabs>
        <w:ind w:start="2160" w:hanging="1095"/>
      </w:pPr>
      <w:rPr/>
    </w:lvl>
    <w:lvl w:ilvl="2">
      <w:start w:val="1"/>
      <w:numFmt w:val="decimal"/>
      <w:lvlText w:val="%1.%2.%3"/>
      <w:lvlJc w:val="start"/>
      <w:pPr>
        <w:tabs>
          <w:tab w:val="num" w:pos="3225"/>
        </w:tabs>
        <w:ind w:start="3225" w:hanging="1095"/>
      </w:pPr>
      <w:rPr/>
    </w:lvl>
    <w:lvl w:ilvl="3">
      <w:start w:val="1"/>
      <w:numFmt w:val="decimal"/>
      <w:lvlText w:val="%1.%2.%3.%4"/>
      <w:lvlJc w:val="start"/>
      <w:pPr>
        <w:tabs>
          <w:tab w:val="num" w:pos="4290"/>
        </w:tabs>
        <w:ind w:start="4290" w:hanging="1095"/>
      </w:pPr>
      <w:rPr/>
    </w:lvl>
    <w:lvl w:ilvl="4">
      <w:start w:val="1"/>
      <w:numFmt w:val="decimal"/>
      <w:lvlText w:val="%1.%2.%3.%4.%5"/>
      <w:lvlJc w:val="start"/>
      <w:pPr>
        <w:tabs>
          <w:tab w:val="num" w:pos="5355"/>
        </w:tabs>
        <w:ind w:start="5355" w:hanging="1095"/>
      </w:pPr>
      <w:rPr/>
    </w:lvl>
    <w:lvl w:ilvl="5">
      <w:start w:val="1"/>
      <w:numFmt w:val="decimal"/>
      <w:lvlText w:val="%1.%2.%3.%4.%5.%6"/>
      <w:lvlJc w:val="start"/>
      <w:pPr>
        <w:tabs>
          <w:tab w:val="num" w:pos="6420"/>
        </w:tabs>
        <w:ind w:start="6420" w:hanging="1095"/>
      </w:pPr>
      <w:rPr/>
    </w:lvl>
    <w:lvl w:ilvl="6">
      <w:start w:val="1"/>
      <w:numFmt w:val="decimal"/>
      <w:lvlText w:val="%1.%2.%3.%4.%5.%6.%7"/>
      <w:lvlJc w:val="start"/>
      <w:pPr>
        <w:tabs>
          <w:tab w:val="num" w:pos="7485"/>
        </w:tabs>
        <w:ind w:start="7485" w:hanging="1095"/>
      </w:pPr>
      <w:rPr/>
    </w:lvl>
    <w:lvl w:ilvl="7">
      <w:start w:val="1"/>
      <w:numFmt w:val="decimal"/>
      <w:lvlText w:val="%1.%2.%3.%4.%5.%6.%7.%8"/>
      <w:lvlJc w:val="start"/>
      <w:pPr>
        <w:tabs>
          <w:tab w:val="num" w:pos="8895"/>
        </w:tabs>
        <w:ind w:start="8895" w:hanging="1440"/>
      </w:pPr>
      <w:rPr/>
    </w:lvl>
    <w:lvl w:ilvl="8">
      <w:start w:val="1"/>
      <w:numFmt w:val="decimal"/>
      <w:lvlText w:val="%1.%2.%3.%4.%5.%6.%7.%8.%9"/>
      <w:lvlJc w:val="start"/>
      <w:pPr>
        <w:tabs>
          <w:tab w:val="num" w:pos="9960"/>
        </w:tabs>
        <w:ind w:start="9960" w:hanging="1440"/>
      </w:pPr>
      <w:rPr/>
    </w:lvl>
  </w:abstractNum>
  <w:abstractNum w:abstractNumId="3">
    <w:lvl w:ilvl="0">
      <w:start w:val="2"/>
      <w:numFmt w:val="decimal"/>
      <w:lvlText w:val="%1"/>
      <w:lvlJc w:val="start"/>
      <w:pPr>
        <w:tabs>
          <w:tab w:val="num" w:pos="900"/>
        </w:tabs>
        <w:ind w:start="900" w:hanging="900"/>
      </w:pPr>
      <w:rPr/>
    </w:lvl>
    <w:lvl w:ilvl="1">
      <w:start w:val="111"/>
      <w:numFmt w:val="decimal"/>
      <w:lvlText w:val="%1.%2"/>
      <w:lvlJc w:val="start"/>
      <w:pPr>
        <w:tabs>
          <w:tab w:val="num" w:pos="1980"/>
        </w:tabs>
        <w:ind w:start="1980" w:hanging="900"/>
      </w:pPr>
      <w:rPr/>
    </w:lvl>
    <w:lvl w:ilvl="2">
      <w:start w:val="1"/>
      <w:numFmt w:val="decimal"/>
      <w:lvlText w:val="%1.%2.%3"/>
      <w:lvlJc w:val="start"/>
      <w:pPr>
        <w:tabs>
          <w:tab w:val="num" w:pos="3060"/>
        </w:tabs>
        <w:ind w:start="3060" w:hanging="900"/>
      </w:pPr>
      <w:rPr/>
    </w:lvl>
    <w:lvl w:ilvl="3">
      <w:start w:val="1"/>
      <w:numFmt w:val="decimal"/>
      <w:lvlText w:val="%1.%2.%3.%4"/>
      <w:lvlJc w:val="start"/>
      <w:pPr>
        <w:tabs>
          <w:tab w:val="num" w:pos="4140"/>
        </w:tabs>
        <w:ind w:start="4140" w:hanging="900"/>
      </w:pPr>
      <w:rPr/>
    </w:lvl>
    <w:lvl w:ilvl="4">
      <w:start w:val="1"/>
      <w:numFmt w:val="decimal"/>
      <w:lvlText w:val="%1.%2.%3.%4.%5"/>
      <w:lvlJc w:val="start"/>
      <w:pPr>
        <w:tabs>
          <w:tab w:val="num" w:pos="5220"/>
        </w:tabs>
        <w:ind w:start="5220" w:hanging="900"/>
      </w:pPr>
      <w:rPr/>
    </w:lvl>
    <w:lvl w:ilvl="5">
      <w:start w:val="1"/>
      <w:numFmt w:val="decimal"/>
      <w:lvlText w:val="%1.%2.%3.%4.%5.%6"/>
      <w:lvlJc w:val="start"/>
      <w:pPr>
        <w:tabs>
          <w:tab w:val="num" w:pos="6480"/>
        </w:tabs>
        <w:ind w:start="6480" w:hanging="1080"/>
      </w:pPr>
      <w:rPr/>
    </w:lvl>
    <w:lvl w:ilvl="6">
      <w:start w:val="1"/>
      <w:numFmt w:val="decimal"/>
      <w:lvlText w:val="%1.%2.%3.%4.%5.%6.%7"/>
      <w:lvlJc w:val="start"/>
      <w:pPr>
        <w:tabs>
          <w:tab w:val="num" w:pos="7560"/>
        </w:tabs>
        <w:ind w:start="7560" w:hanging="1080"/>
      </w:pPr>
      <w:rPr/>
    </w:lvl>
    <w:lvl w:ilvl="7">
      <w:start w:val="1"/>
      <w:numFmt w:val="decimal"/>
      <w:lvlText w:val="%1.%2.%3.%4.%5.%6.%7.%8"/>
      <w:lvlJc w:val="start"/>
      <w:pPr>
        <w:tabs>
          <w:tab w:val="num" w:pos="9000"/>
        </w:tabs>
        <w:ind w:start="9000" w:hanging="1440"/>
      </w:pPr>
      <w:rPr/>
    </w:lvl>
    <w:lvl w:ilvl="8">
      <w:start w:val="1"/>
      <w:numFmt w:val="decimal"/>
      <w:lvlText w:val="%1.%2.%3.%4.%5.%6.%7.%8.%9"/>
      <w:lvlJc w:val="start"/>
      <w:pPr>
        <w:tabs>
          <w:tab w:val="num" w:pos="10080"/>
        </w:tabs>
        <w:ind w:start="10080" w:hanging="1440"/>
      </w:pPr>
      <w:rPr/>
    </w:lvl>
  </w:abstractNum>
  <w:abstractNum w:abstractNumId="4">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5">
    <w:lvl w:ilvl="0">
      <w:start w:val="1"/>
      <w:numFmt w:val="decimal"/>
      <w:lvlText w:val="%1"/>
      <w:lvlJc w:val="start"/>
      <w:pPr>
        <w:tabs>
          <w:tab w:val="num" w:pos="720"/>
        </w:tabs>
        <w:ind w:start="720" w:hanging="720"/>
      </w:pPr>
      <w:rPr/>
    </w:lvl>
    <w:lvl w:ilvl="1">
      <w:start w:val="2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6">
    <w:lvl w:ilvl="0">
      <w:start w:val="4"/>
      <w:numFmt w:val="decimal"/>
      <w:lvlText w:val="%1"/>
      <w:lvlJc w:val="start"/>
      <w:pPr>
        <w:tabs>
          <w:tab w:val="num" w:pos="720"/>
        </w:tabs>
        <w:ind w:start="720" w:hanging="720"/>
      </w:pPr>
      <w:rPr/>
    </w:lvl>
    <w:lvl w:ilvl="1">
      <w:start w:val="2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7">
    <w:lvl w:ilvl="0">
      <w:start w:val="1"/>
      <w:numFmt w:val="decimal"/>
      <w:lvlText w:val="%1."/>
      <w:lvlJc w:val="start"/>
      <w:pPr>
        <w:tabs>
          <w:tab w:val="num" w:pos="360"/>
        </w:tabs>
        <w:ind w:start="360" w:hanging="360"/>
      </w:pPr>
      <w:rPr/>
    </w:lvl>
    <w:lvl w:ilvl="1">
      <w:start w:val="1"/>
      <w:isLgl/>
      <w:numFmt w:val="decimal"/>
      <w:lvlText w:val="%1.%2"/>
      <w:lvlJc w:val="start"/>
      <w:pPr>
        <w:tabs>
          <w:tab w:val="num" w:pos="360"/>
        </w:tabs>
        <w:ind w:start="360" w:hanging="36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720"/>
        </w:tabs>
        <w:ind w:start="720" w:hanging="72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080"/>
        </w:tabs>
        <w:ind w:start="1080" w:hanging="108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abstractNum w:abstractNumId="8">
    <w:lvl w:ilvl="0">
      <w:start w:val="2"/>
      <w:numFmt w:val="decimal"/>
      <w:lvlText w:val="%1"/>
      <w:lvlJc w:val="start"/>
      <w:pPr>
        <w:tabs>
          <w:tab w:val="num" w:pos="435"/>
        </w:tabs>
        <w:ind w:start="435" w:hanging="435"/>
      </w:pPr>
      <w:rPr/>
    </w:lvl>
    <w:lvl w:ilvl="1">
      <w:start w:val="11"/>
      <w:numFmt w:val="decimal"/>
      <w:lvlText w:val="%1.%2"/>
      <w:lvlJc w:val="start"/>
      <w:pPr>
        <w:tabs>
          <w:tab w:val="num" w:pos="1065"/>
        </w:tabs>
        <w:ind w:start="1065" w:hanging="435"/>
      </w:pPr>
      <w:rPr/>
    </w:lvl>
    <w:lvl w:ilvl="2">
      <w:start w:val="1"/>
      <w:numFmt w:val="decimal"/>
      <w:lvlText w:val="%1.%2.%3"/>
      <w:lvlJc w:val="start"/>
      <w:pPr>
        <w:tabs>
          <w:tab w:val="num" w:pos="1980"/>
        </w:tabs>
        <w:ind w:start="1980" w:hanging="720"/>
      </w:pPr>
      <w:rPr/>
    </w:lvl>
    <w:lvl w:ilvl="3">
      <w:start w:val="1"/>
      <w:numFmt w:val="decimal"/>
      <w:lvlText w:val="%1.%2.%3.%4"/>
      <w:lvlJc w:val="start"/>
      <w:pPr>
        <w:tabs>
          <w:tab w:val="num" w:pos="2610"/>
        </w:tabs>
        <w:ind w:start="2610" w:hanging="720"/>
      </w:pPr>
      <w:rPr/>
    </w:lvl>
    <w:lvl w:ilvl="4">
      <w:start w:val="1"/>
      <w:numFmt w:val="decimal"/>
      <w:lvlText w:val="%1.%2.%3.%4.%5"/>
      <w:lvlJc w:val="start"/>
      <w:pPr>
        <w:tabs>
          <w:tab w:val="num" w:pos="3240"/>
        </w:tabs>
        <w:ind w:start="3240" w:hanging="720"/>
      </w:pPr>
      <w:rPr/>
    </w:lvl>
    <w:lvl w:ilvl="5">
      <w:start w:val="1"/>
      <w:numFmt w:val="decimal"/>
      <w:lvlText w:val="%1.%2.%3.%4.%5.%6"/>
      <w:lvlJc w:val="start"/>
      <w:pPr>
        <w:tabs>
          <w:tab w:val="num" w:pos="4230"/>
        </w:tabs>
        <w:ind w:start="4230" w:hanging="1080"/>
      </w:pPr>
      <w:rPr/>
    </w:lvl>
    <w:lvl w:ilvl="6">
      <w:start w:val="1"/>
      <w:numFmt w:val="decimal"/>
      <w:lvlText w:val="%1.%2.%3.%4.%5.%6.%7"/>
      <w:lvlJc w:val="start"/>
      <w:pPr>
        <w:tabs>
          <w:tab w:val="num" w:pos="4860"/>
        </w:tabs>
        <w:ind w:start="4860" w:hanging="1080"/>
      </w:pPr>
      <w:rPr/>
    </w:lvl>
    <w:lvl w:ilvl="7">
      <w:start w:val="1"/>
      <w:numFmt w:val="decimal"/>
      <w:lvlText w:val="%1.%2.%3.%4.%5.%6.%7.%8"/>
      <w:lvlJc w:val="start"/>
      <w:pPr>
        <w:tabs>
          <w:tab w:val="num" w:pos="5850"/>
        </w:tabs>
        <w:ind w:start="5850" w:hanging="1440"/>
      </w:pPr>
      <w:rPr/>
    </w:lvl>
    <w:lvl w:ilvl="8">
      <w:start w:val="1"/>
      <w:numFmt w:val="decimal"/>
      <w:lvlText w:val="%1.%2.%3.%4.%5.%6.%7.%8.%9"/>
      <w:lvlJc w:val="start"/>
      <w:pPr>
        <w:tabs>
          <w:tab w:val="num" w:pos="6480"/>
        </w:tabs>
        <w:ind w:start="648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0"/>
        <w:numId w:val="4"/>
      </w:numPr>
      <w:outlineLvl w:val="1"/>
    </w:pPr>
    <w:rPr>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260" w:start="1980" w:end="0"/>
    </w:pPr>
    <w:rPr/>
  </w:style>
  <w:style w:type="paragraph" w:styleId="BodyTextIndent2">
    <w:name w:val="Body Text Indent 2"/>
    <w:basedOn w:val="Normal"/>
    <w:qFormat/>
    <w:pPr>
      <w:tabs>
        <w:tab w:val="left" w:pos="720" w:leader="none"/>
      </w:tabs>
      <w:ind w:hanging="360" w:start="720" w:end="0"/>
    </w:pPr>
    <w:rPr/>
  </w:style>
  <w:style w:type="paragraph" w:styleId="BodyTextIndent3">
    <w:name w:val="Body Text Indent 3"/>
    <w:basedOn w:val="Normal"/>
    <w:qFormat/>
    <w:pPr>
      <w:keepLines/>
      <w:spacing w:lineRule="atLeast" w:line="240"/>
      <w:ind w:hanging="540" w:start="171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2001-01-08T20:24:00Z</dcterms:created>
  <dc:creator>xi_xi</dc:creator>
  <dc:description/>
  <dc:language>en-CA</dc:language>
  <cp:lastModifiedBy>xi_xi</cp:lastModifiedBy>
  <cp:lastPrinted>2001-01-08T16:30:00Z</cp:lastPrinted>
  <dcterms:modified xsi:type="dcterms:W3CDTF">2001-01-12T20:52:00Z</dcterms:modified>
  <cp:revision>4</cp:revision>
  <dc:subject/>
  <dc:title>Japanese Government Regulatory Profile: Telecommunication and IT</dc:title>
</cp:coreProperties>
</file>