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3118"/>
        <w:gridCol w:w="3119"/>
        <w:gridCol w:w="1241"/>
        <w:gridCol w:w="1"/>
      </w:tblGrid>
      <w:tr>
        <w:trPr>
          <w:trHeight w:val="280" w:hRule="atLeast"/>
        </w:trPr>
        <w:tc>
          <w:tcPr>
            <w:tcW w:w="4360" w:type="dxa"/>
            <w:gridSpan w:val="2"/>
            <w:tcBorders/>
          </w:tcPr>
          <w:p>
            <w:pPr>
              <w:pStyle w:val="COVERPAGE"/>
              <w:snapToGrid w:val="false"/>
              <w:rPr/>
            </w:pPr>
            <w:r>
              <w:rPr/>
            </w:r>
          </w:p>
        </w:tc>
        <w:tc>
          <w:tcPr>
            <w:tcW w:w="4360" w:type="dxa"/>
            <w:gridSpan w:val="2"/>
            <w:tcBorders/>
          </w:tcPr>
          <w:p>
            <w:pPr>
              <w:pStyle w:val="COVERPAGE"/>
              <w:snapToGrid w:val="false"/>
              <w:jc w:val="end"/>
              <w:rPr/>
            </w:pPr>
            <w:r>
              <w:rPr/>
            </w:r>
          </w:p>
        </w:tc>
      </w:tr>
      <w:tr>
        <w:trPr>
          <w:trHeight w:val="280" w:hRule="atLeast"/>
        </w:trPr>
        <w:tc>
          <w:tcPr>
            <w:tcW w:w="4360" w:type="dxa"/>
            <w:gridSpan w:val="2"/>
            <w:tcBorders/>
          </w:tcPr>
          <w:p>
            <w:pPr>
              <w:pStyle w:val="COVERPAGE"/>
              <w:snapToGrid w:val="false"/>
              <w:rPr/>
            </w:pPr>
            <w:r>
              <w:rPr/>
            </w:r>
          </w:p>
        </w:tc>
        <w:tc>
          <w:tcPr>
            <w:tcW w:w="4360" w:type="dxa"/>
            <w:gridSpan w:val="2"/>
            <w:tcBorders/>
          </w:tcPr>
          <w:p>
            <w:pPr>
              <w:pStyle w:val="COVERPAGE"/>
              <w:snapToGrid w:val="false"/>
              <w:jc w:val="end"/>
              <w:rPr/>
            </w:pPr>
            <w:r>
              <w:rPr/>
            </w:r>
          </w:p>
        </w:tc>
      </w:tr>
      <w:tr>
        <w:trPr>
          <w:trHeight w:val="574" w:hRule="atLeast"/>
        </w:trPr>
        <w:tc>
          <w:tcPr>
            <w:tcW w:w="4360" w:type="dxa"/>
            <w:gridSpan w:val="2"/>
            <w:tcBorders/>
          </w:tcPr>
          <w:p>
            <w:pPr>
              <w:pStyle w:val="COVERPAGE"/>
              <w:snapToGrid w:val="false"/>
              <w:rPr/>
            </w:pPr>
            <w:r>
              <w:rPr/>
            </w:r>
          </w:p>
        </w:tc>
        <w:tc>
          <w:tcPr>
            <w:tcW w:w="4360" w:type="dxa"/>
            <w:gridSpan w:val="2"/>
            <w:tcBorders/>
          </w:tcPr>
          <w:p>
            <w:pPr>
              <w:pStyle w:val="COVERPAGE"/>
              <w:snapToGrid w:val="false"/>
              <w:jc w:val="end"/>
              <w:rPr>
                <w:vanish/>
              </w:rPr>
            </w:pPr>
            <w:r>
              <w:rPr>
                <w:vanish/>
              </w:rPr>
            </w:r>
          </w:p>
        </w:tc>
      </w:tr>
      <w:tr>
        <w:trPr>
          <w:trHeight w:val="1134" w:hRule="atLeast"/>
        </w:trPr>
        <w:tc>
          <w:tcPr>
            <w:tcW w:w="8720" w:type="dxa"/>
            <w:gridSpan w:val="4"/>
            <w:tcBorders/>
          </w:tcPr>
          <w:p>
            <w:pPr>
              <w:pStyle w:val="COVERPAGE"/>
              <w:jc w:val="center"/>
              <w:rPr>
                <w:b/>
              </w:rPr>
            </w:pPr>
            <w:r>
              <w:rPr>
                <w:b/>
              </w:rPr>
              <w:t>STRICTLY PRIVATE AND CONFIDENTIAL</w:t>
            </w:r>
          </w:p>
        </w:tc>
      </w:tr>
      <w:tr>
        <w:trPr>
          <w:trHeight w:val="1600" w:hRule="atLeast"/>
        </w:trPr>
        <w:tc>
          <w:tcPr>
            <w:tcW w:w="8720" w:type="dxa"/>
            <w:gridSpan w:val="4"/>
            <w:tcBorders/>
          </w:tcPr>
          <w:p>
            <w:pPr>
              <w:pStyle w:val="COVERPAGE"/>
              <w:snapToGrid w:val="false"/>
              <w:jc w:val="center"/>
              <w:rPr>
                <w:b/>
                <w:caps/>
              </w:rPr>
            </w:pPr>
            <w:r>
              <w:rPr>
                <w:b/>
                <w:caps/>
              </w:rPr>
            </w:r>
          </w:p>
        </w:tc>
      </w:tr>
      <w:tr>
        <w:trPr>
          <w:trHeight w:val="2400" w:hRule="atLeast"/>
        </w:trPr>
        <w:tc>
          <w:tcPr>
            <w:tcW w:w="8720" w:type="dxa"/>
            <w:gridSpan w:val="4"/>
            <w:tcBorders/>
          </w:tcPr>
          <w:p>
            <w:pPr>
              <w:pStyle w:val="COVERPAGE"/>
              <w:snapToGrid w:val="false"/>
              <w:spacing w:before="0" w:after="240"/>
              <w:jc w:val="center"/>
              <w:rPr>
                <w:caps/>
              </w:rPr>
            </w:pPr>
            <w:r>
              <w:rPr>
                <w:caps/>
              </w:rPr>
            </w:r>
          </w:p>
        </w:tc>
      </w:tr>
      <w:tr>
        <w:trPr>
          <w:trHeight w:val="1400" w:hRule="atLeast"/>
        </w:trPr>
        <w:tc>
          <w:tcPr>
            <w:tcW w:w="1242" w:type="dxa"/>
            <w:tcBorders/>
          </w:tcPr>
          <w:p>
            <w:pPr>
              <w:pStyle w:val="COVERPAGE"/>
              <w:snapToGrid w:val="false"/>
              <w:rPr>
                <w:caps/>
              </w:rPr>
            </w:pPr>
            <w:r>
              <w:rPr>
                <w:caps/>
              </w:rPr>
            </w:r>
          </w:p>
        </w:tc>
        <w:tc>
          <w:tcPr>
            <w:tcW w:w="6237" w:type="dxa"/>
            <w:gridSpan w:val="2"/>
            <w:tcBorders>
              <w:top w:val="single" w:sz="4" w:space="0" w:color="000000"/>
              <w:bottom w:val="single" w:sz="4" w:space="0" w:color="000000"/>
            </w:tcBorders>
            <w:vAlign w:val="center"/>
          </w:tcPr>
          <w:p>
            <w:pPr>
              <w:pStyle w:val="COVERPAGE"/>
              <w:jc w:val="center"/>
              <w:rPr>
                <w:b/>
                <w:caps/>
              </w:rPr>
            </w:pPr>
            <w:r>
              <w:rPr>
                <w:b/>
                <w:caps/>
              </w:rPr>
              <w:t>ENRON COMMUNICATIONS, INC.</w:t>
            </w:r>
          </w:p>
          <w:p>
            <w:pPr>
              <w:pStyle w:val="COVERPAGE"/>
              <w:jc w:val="center"/>
              <w:rPr>
                <w:b/>
                <w:caps/>
              </w:rPr>
            </w:pPr>
            <w:r>
              <w:rPr>
                <w:b/>
                <w:caps/>
              </w:rPr>
              <w:t>SURVEY OF THE LAWS OF HONG KONG</w:t>
            </w:r>
          </w:p>
          <w:p>
            <w:pPr>
              <w:pStyle w:val="COVERPAGE"/>
              <w:jc w:val="center"/>
              <w:rPr>
                <w:b/>
                <w:caps/>
              </w:rPr>
            </w:pPr>
            <w:r>
              <w:rPr>
                <w:b/>
                <w:caps/>
              </w:rPr>
              <w:t>REGARDING TRADING OF BANDWIDTH AND ESTABLISHMENT OF BANDWIDTH TRADING POINTS</w:t>
            </w:r>
          </w:p>
        </w:tc>
        <w:tc>
          <w:tcPr>
            <w:tcW w:w="1242" w:type="dxa"/>
            <w:tcBorders/>
          </w:tcPr>
          <w:p>
            <w:pPr>
              <w:pStyle w:val="COVERPAGE"/>
              <w:snapToGrid w:val="false"/>
              <w:rPr>
                <w:b/>
                <w:caps/>
              </w:rPr>
            </w:pPr>
            <w:r>
              <w:rPr>
                <w:b/>
                <w:caps/>
              </w:rPr>
            </w:r>
          </w:p>
        </w:tc>
      </w:tr>
    </w:tbl>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sectPr>
          <w:headerReference w:type="default" r:id="rId2"/>
          <w:footerReference w:type="default" r:id="rId3"/>
          <w:type w:val="nextPage"/>
          <w:pgSz w:w="11906" w:h="16838"/>
          <w:pgMar w:left="1701" w:right="1701" w:gutter="0" w:header="720" w:top="1440" w:footer="567" w:bottom="1134"/>
          <w:pgNumType w:fmt="decimal"/>
          <w:formProt w:val="false"/>
          <w:textDirection w:val="lrTb"/>
          <w:docGrid w:type="default" w:linePitch="360" w:charSpace="0"/>
        </w:sectPr>
        <w:pStyle w:val="Normal"/>
        <w:jc w:val="center"/>
        <w:rPr>
          <w:b/>
        </w:rPr>
      </w:pPr>
      <w:r>
        <w:rPr>
          <w:b/>
        </w:rPr>
        <w:t>20 DECEMBER 1999</w:t>
      </w:r>
    </w:p>
    <w:p>
      <w:pPr>
        <w:pStyle w:val="Normal"/>
        <w:jc w:val="center"/>
        <w:rPr>
          <w:b/>
        </w:rPr>
      </w:pPr>
      <w:r>
        <w:rPr>
          <w:b/>
        </w:rPr>
      </w:r>
    </w:p>
    <w:tbl>
      <w:tblPr>
        <w:tblW w:w="8720" w:type="dxa"/>
        <w:jc w:val="start"/>
        <w:tblInd w:w="-34" w:type="dxa"/>
        <w:tblLayout w:type="fixed"/>
        <w:tblCellMar>
          <w:top w:w="0" w:type="dxa"/>
          <w:start w:w="108" w:type="dxa"/>
          <w:bottom w:w="0" w:type="dxa"/>
          <w:end w:w="108" w:type="dxa"/>
        </w:tblCellMar>
      </w:tblPr>
      <w:tblGrid>
        <w:gridCol w:w="4355"/>
        <w:gridCol w:w="4355"/>
        <w:gridCol w:w="10"/>
      </w:tblGrid>
      <w:tr>
        <w:trPr/>
        <w:tc>
          <w:tcPr>
            <w:tcW w:w="8720" w:type="dxa"/>
            <w:gridSpan w:val="2"/>
            <w:tcBorders/>
          </w:tcPr>
          <w:p>
            <w:pPr>
              <w:pStyle w:val="Normal"/>
              <w:spacing w:before="0" w:after="300"/>
              <w:jc w:val="center"/>
              <w:rPr>
                <w:b/>
              </w:rPr>
            </w:pPr>
            <w:r>
              <w:rPr>
                <w:b/>
              </w:rPr>
              <w:t>CONTENTS</w:t>
            </w:r>
          </w:p>
        </w:tc>
      </w:tr>
      <w:tr>
        <w:trPr/>
        <w:tc>
          <w:tcPr>
            <w:tcW w:w="4355" w:type="dxa"/>
            <w:tcBorders/>
          </w:tcPr>
          <w:p>
            <w:pPr>
              <w:pStyle w:val="Normal"/>
              <w:spacing w:before="0" w:after="300"/>
              <w:jc w:val="start"/>
              <w:rPr>
                <w:b/>
              </w:rPr>
            </w:pPr>
            <w:r>
              <w:rPr>
                <w:b/>
              </w:rPr>
              <w:t xml:space="preserve">Section </w:t>
            </w:r>
          </w:p>
        </w:tc>
        <w:tc>
          <w:tcPr>
            <w:tcW w:w="4355" w:type="dxa"/>
            <w:tcBorders/>
          </w:tcPr>
          <w:p>
            <w:pPr>
              <w:pStyle w:val="Normal"/>
              <w:spacing w:before="0" w:after="300"/>
              <w:jc w:val="end"/>
              <w:rPr>
                <w:b/>
              </w:rPr>
            </w:pPr>
            <w:r>
              <w:rPr>
                <w:b/>
              </w:rPr>
              <w:tab/>
              <w:t>Page</w:t>
            </w:r>
          </w:p>
        </w:tc>
      </w:tr>
    </w:tbl>
    <w:sdt>
      <w:sdtPr>
        <w:docPartObj>
          <w:docPartGallery w:val="Table of Contents"/>
          <w:docPartUnique w:val="true"/>
        </w:docPartObj>
      </w:sdtPr>
      <w:sdtContent>
        <w:p>
          <w:pPr>
            <w:pStyle w:val="TOC1"/>
            <w:tabs>
              <w:tab w:val="clear" w:pos="720"/>
              <w:tab w:val="left" w:pos="510" w:leader="none"/>
              <w:tab w:val="right" w:pos="8494" w:leader="dot"/>
            </w:tabs>
            <w:rPr>
              <w:lang w:val="en-CA"/>
            </w:rPr>
          </w:pPr>
          <w:r>
            <w:fldChar w:fldCharType="begin"/>
          </w:r>
          <w:r>
            <w:rPr>
              <w:kern w:val="2"/>
              <w:lang w:val="en-CA"/>
            </w:rPr>
            <w:instrText xml:space="preserve"> TOC \o "1-2" </w:instrText>
          </w:r>
          <w:r>
            <w:rPr>
              <w:kern w:val="2"/>
              <w:lang w:val="en-CA"/>
            </w:rPr>
            <w:fldChar w:fldCharType="separate"/>
          </w:r>
          <w:bookmarkStart w:id="0" w:name="TOC"/>
          <w:bookmarkEnd w:id="0"/>
          <w:r>
            <w:rPr>
              <w:kern w:val="2"/>
              <w:lang w:val="en-CA"/>
            </w:rPr>
            <w:t>1.</w:t>
          </w:r>
          <w:r>
            <w:rPr>
              <w:lang w:val="en-CA"/>
            </w:rPr>
            <w:tab/>
          </w:r>
          <w:r>
            <w:rPr>
              <w:kern w:val="2"/>
              <w:lang w:val="en-CA"/>
            </w:rPr>
            <w:t>INTRODUCTION</w:t>
          </w:r>
          <w:r>
            <w:rPr>
              <w:lang w:val="en-CA"/>
            </w:rPr>
            <w:tab/>
          </w:r>
          <w:hyperlink w:anchor="__RefHeading___Toc470323612">
            <w:r>
              <w:rPr>
                <w:rStyle w:val="IndexLink"/>
                <w:lang w:val="en-CA"/>
              </w:rPr>
              <w:t>1</w:t>
            </w:r>
          </w:hyperlink>
        </w:p>
        <w:p>
          <w:pPr>
            <w:pStyle w:val="TOC1"/>
            <w:tabs>
              <w:tab w:val="clear" w:pos="720"/>
              <w:tab w:val="left" w:pos="510" w:leader="none"/>
              <w:tab w:val="right" w:pos="8494" w:leader="dot"/>
            </w:tabs>
            <w:rPr>
              <w:lang w:val="en-CA"/>
            </w:rPr>
          </w:pPr>
          <w:r>
            <w:rPr>
              <w:kern w:val="2"/>
              <w:lang w:val="en-CA"/>
            </w:rPr>
            <w:t>2.</w:t>
          </w:r>
          <w:r>
            <w:rPr>
              <w:lang w:val="en-CA"/>
            </w:rPr>
            <w:tab/>
          </w:r>
          <w:r>
            <w:rPr>
              <w:kern w:val="2"/>
              <w:lang w:val="en-CA"/>
            </w:rPr>
            <w:t>SCOPE OF SURVEY</w:t>
          </w:r>
          <w:r>
            <w:rPr>
              <w:lang w:val="en-CA"/>
            </w:rPr>
            <w:tab/>
          </w:r>
          <w:hyperlink w:anchor="__RefHeading___Toc470323613">
            <w:r>
              <w:rPr>
                <w:rStyle w:val="IndexLink"/>
                <w:lang w:val="en-CA"/>
              </w:rPr>
              <w:t>1</w:t>
            </w:r>
          </w:hyperlink>
        </w:p>
        <w:p>
          <w:pPr>
            <w:pStyle w:val="TOC2"/>
            <w:tabs>
              <w:tab w:val="clear" w:pos="720"/>
              <w:tab w:val="left" w:pos="1190" w:leader="none"/>
              <w:tab w:val="right" w:pos="8494" w:leader="dot"/>
            </w:tabs>
            <w:rPr>
              <w:lang w:val="en-CA"/>
            </w:rPr>
          </w:pPr>
          <w:r>
            <w:rPr>
              <w:lang w:val="en-CA"/>
            </w:rPr>
            <w:t>2.1</w:t>
            <w:tab/>
            <w:t>Introduction</w:t>
            <w:tab/>
          </w:r>
          <w:hyperlink w:anchor="__RefHeading___Toc470323614">
            <w:r>
              <w:rPr>
                <w:rStyle w:val="IndexLink"/>
                <w:lang w:val="en-CA"/>
              </w:rPr>
              <w:t>1</w:t>
            </w:r>
          </w:hyperlink>
        </w:p>
        <w:p>
          <w:pPr>
            <w:pStyle w:val="TOC2"/>
            <w:tabs>
              <w:tab w:val="clear" w:pos="720"/>
              <w:tab w:val="left" w:pos="1190" w:leader="none"/>
              <w:tab w:val="right" w:pos="8494" w:leader="dot"/>
            </w:tabs>
            <w:rPr>
              <w:lang w:val="en-CA"/>
            </w:rPr>
          </w:pPr>
          <w:r>
            <w:rPr>
              <w:kern w:val="2"/>
              <w:lang w:val="en-CA"/>
            </w:rPr>
            <w:t>2.2</w:t>
          </w:r>
          <w:r>
            <w:rPr>
              <w:lang w:val="en-CA"/>
            </w:rPr>
            <w:tab/>
          </w:r>
          <w:r>
            <w:rPr>
              <w:kern w:val="2"/>
              <w:lang w:val="en-CA"/>
            </w:rPr>
            <w:t>Extent of survey</w:t>
          </w:r>
          <w:r>
            <w:rPr>
              <w:lang w:val="en-CA"/>
            </w:rPr>
            <w:tab/>
          </w:r>
          <w:hyperlink w:anchor="__RefHeading___Toc470323615">
            <w:r>
              <w:rPr>
                <w:rStyle w:val="IndexLink"/>
                <w:lang w:val="en-CA"/>
              </w:rPr>
              <w:t>1</w:t>
            </w:r>
          </w:hyperlink>
        </w:p>
        <w:p>
          <w:pPr>
            <w:pStyle w:val="TOC2"/>
            <w:tabs>
              <w:tab w:val="clear" w:pos="720"/>
              <w:tab w:val="left" w:pos="1190" w:leader="none"/>
              <w:tab w:val="right" w:pos="8494" w:leader="dot"/>
            </w:tabs>
            <w:rPr>
              <w:lang w:val="en-CA"/>
            </w:rPr>
          </w:pPr>
          <w:r>
            <w:rPr>
              <w:lang w:val="en-CA"/>
            </w:rPr>
            <w:t>2.3</w:t>
            <w:tab/>
            <w:t>Interpretation</w:t>
            <w:tab/>
          </w:r>
          <w:hyperlink w:anchor="__RefHeading___Toc470323616">
            <w:r>
              <w:rPr>
                <w:rStyle w:val="IndexLink"/>
                <w:lang w:val="en-CA"/>
              </w:rPr>
              <w:t>2</w:t>
            </w:r>
          </w:hyperlink>
        </w:p>
        <w:p>
          <w:pPr>
            <w:pStyle w:val="TOC1"/>
            <w:tabs>
              <w:tab w:val="clear" w:pos="720"/>
              <w:tab w:val="left" w:pos="510" w:leader="none"/>
              <w:tab w:val="right" w:pos="8494" w:leader="dot"/>
            </w:tabs>
            <w:rPr>
              <w:lang w:val="en-CA"/>
            </w:rPr>
          </w:pPr>
          <w:r>
            <w:rPr>
              <w:kern w:val="2"/>
              <w:lang w:val="en-CA"/>
            </w:rPr>
            <w:t>3.</w:t>
          </w:r>
          <w:r>
            <w:rPr>
              <w:lang w:val="en-CA"/>
            </w:rPr>
            <w:tab/>
          </w:r>
          <w:r>
            <w:rPr>
              <w:kern w:val="2"/>
              <w:lang w:val="en-CA"/>
            </w:rPr>
            <w:t>EXECUTIVE SUMMARY</w:t>
          </w:r>
          <w:r>
            <w:rPr>
              <w:lang w:val="en-CA"/>
            </w:rPr>
            <w:tab/>
          </w:r>
          <w:hyperlink w:anchor="__RefHeading___Toc470323617">
            <w:r>
              <w:rPr>
                <w:rStyle w:val="IndexLink"/>
                <w:lang w:val="en-CA"/>
              </w:rPr>
              <w:t>4</w:t>
            </w:r>
          </w:hyperlink>
        </w:p>
        <w:p>
          <w:pPr>
            <w:pStyle w:val="TOC2"/>
            <w:tabs>
              <w:tab w:val="clear" w:pos="720"/>
              <w:tab w:val="left" w:pos="1190" w:leader="none"/>
              <w:tab w:val="right" w:pos="8494" w:leader="dot"/>
            </w:tabs>
            <w:rPr>
              <w:lang w:val="en-CA"/>
            </w:rPr>
          </w:pPr>
          <w:r>
            <w:rPr>
              <w:kern w:val="2"/>
              <w:lang w:val="en-CA"/>
            </w:rPr>
            <w:t>3.1</w:t>
          </w:r>
          <w:r>
            <w:rPr>
              <w:lang w:val="en-CA"/>
            </w:rPr>
            <w:tab/>
          </w:r>
          <w:r>
            <w:rPr>
              <w:kern w:val="2"/>
              <w:lang w:val="en-CA"/>
            </w:rPr>
            <w:t>Telecommunication Regulation</w:t>
          </w:r>
          <w:r>
            <w:rPr>
              <w:lang w:val="en-CA"/>
            </w:rPr>
            <w:tab/>
          </w:r>
          <w:hyperlink w:anchor="__RefHeading___Toc470323618">
            <w:r>
              <w:rPr>
                <w:rStyle w:val="IndexLink"/>
                <w:lang w:val="en-CA"/>
              </w:rPr>
              <w:t>4</w:t>
            </w:r>
          </w:hyperlink>
        </w:p>
        <w:p>
          <w:pPr>
            <w:pStyle w:val="TOC2"/>
            <w:tabs>
              <w:tab w:val="clear" w:pos="720"/>
              <w:tab w:val="left" w:pos="1190" w:leader="none"/>
              <w:tab w:val="right" w:pos="8494" w:leader="dot"/>
            </w:tabs>
            <w:rPr>
              <w:lang w:val="en-CA"/>
            </w:rPr>
          </w:pPr>
          <w:r>
            <w:rPr>
              <w:kern w:val="2"/>
              <w:lang w:val="en-CA"/>
            </w:rPr>
            <w:t>3.2</w:t>
          </w:r>
          <w:r>
            <w:rPr>
              <w:lang w:val="en-CA"/>
            </w:rPr>
            <w:tab/>
          </w:r>
          <w:r>
            <w:rPr>
              <w:kern w:val="2"/>
              <w:lang w:val="en-CA"/>
            </w:rPr>
            <w:t>Financial Services or Securities Regulation</w:t>
          </w:r>
          <w:r>
            <w:rPr>
              <w:lang w:val="en-CA"/>
            </w:rPr>
            <w:tab/>
          </w:r>
          <w:hyperlink w:anchor="__RefHeading___Toc470323619">
            <w:r>
              <w:rPr>
                <w:rStyle w:val="IndexLink"/>
                <w:lang w:val="en-CA"/>
              </w:rPr>
              <w:t>5</w:t>
            </w:r>
          </w:hyperlink>
        </w:p>
        <w:p>
          <w:pPr>
            <w:pStyle w:val="TOC2"/>
            <w:tabs>
              <w:tab w:val="clear" w:pos="720"/>
              <w:tab w:val="left" w:pos="1190" w:leader="none"/>
              <w:tab w:val="right" w:pos="8494" w:leader="dot"/>
            </w:tabs>
            <w:rPr>
              <w:lang w:val="en-CA"/>
            </w:rPr>
          </w:pPr>
          <w:r>
            <w:rPr>
              <w:kern w:val="2"/>
              <w:lang w:val="en-CA"/>
            </w:rPr>
            <w:t>3.3</w:t>
          </w:r>
          <w:r>
            <w:rPr>
              <w:lang w:val="en-CA"/>
            </w:rPr>
            <w:tab/>
          </w:r>
          <w:r>
            <w:rPr>
              <w:kern w:val="2"/>
              <w:lang w:val="en-CA"/>
            </w:rPr>
            <w:t>Data Protection</w:t>
          </w:r>
          <w:r>
            <w:rPr>
              <w:lang w:val="en-CA"/>
            </w:rPr>
            <w:tab/>
          </w:r>
          <w:hyperlink w:anchor="__RefHeading___Toc470323620">
            <w:r>
              <w:rPr>
                <w:rStyle w:val="IndexLink"/>
                <w:lang w:val="en-CA"/>
              </w:rPr>
              <w:t>6</w:t>
            </w:r>
          </w:hyperlink>
        </w:p>
        <w:p>
          <w:pPr>
            <w:pStyle w:val="TOC2"/>
            <w:tabs>
              <w:tab w:val="clear" w:pos="720"/>
              <w:tab w:val="left" w:pos="1190" w:leader="none"/>
              <w:tab w:val="right" w:pos="8494" w:leader="dot"/>
            </w:tabs>
            <w:rPr>
              <w:lang w:val="en-CA"/>
            </w:rPr>
          </w:pPr>
          <w:r>
            <w:rPr>
              <w:kern w:val="2"/>
              <w:lang w:val="en-CA"/>
            </w:rPr>
            <w:t>3.4</w:t>
          </w:r>
          <w:r>
            <w:rPr>
              <w:lang w:val="en-CA"/>
            </w:rPr>
            <w:tab/>
          </w:r>
          <w:r>
            <w:rPr>
              <w:kern w:val="2"/>
              <w:lang w:val="en-CA"/>
            </w:rPr>
            <w:t>Competition Law</w:t>
          </w:r>
          <w:r>
            <w:rPr>
              <w:lang w:val="en-CA"/>
            </w:rPr>
            <w:tab/>
          </w:r>
          <w:hyperlink w:anchor="__RefHeading___Toc470323621">
            <w:r>
              <w:rPr>
                <w:rStyle w:val="IndexLink"/>
                <w:lang w:val="en-CA"/>
              </w:rPr>
              <w:t>6</w:t>
            </w:r>
          </w:hyperlink>
        </w:p>
        <w:p>
          <w:pPr>
            <w:pStyle w:val="TOC1"/>
            <w:tabs>
              <w:tab w:val="clear" w:pos="720"/>
              <w:tab w:val="left" w:pos="510" w:leader="none"/>
              <w:tab w:val="right" w:pos="8494" w:leader="dot"/>
            </w:tabs>
            <w:rPr>
              <w:lang w:val="en-CA"/>
            </w:rPr>
          </w:pPr>
          <w:r>
            <w:rPr>
              <w:kern w:val="2"/>
              <w:lang w:val="en-CA"/>
            </w:rPr>
            <w:t>4.</w:t>
          </w:r>
          <w:r>
            <w:rPr>
              <w:lang w:val="en-CA"/>
            </w:rPr>
            <w:tab/>
          </w:r>
          <w:r>
            <w:rPr>
              <w:kern w:val="2"/>
              <w:lang w:val="en-CA"/>
            </w:rPr>
            <w:t>SECTION 1 - BANDWIDTH TRADING TRANSACTIONS</w:t>
          </w:r>
          <w:r>
            <w:rPr>
              <w:lang w:val="en-CA"/>
            </w:rPr>
            <w:tab/>
          </w:r>
          <w:hyperlink w:anchor="__RefHeading___Toc470323622">
            <w:r>
              <w:rPr>
                <w:rStyle w:val="IndexLink"/>
                <w:lang w:val="en-CA"/>
              </w:rPr>
              <w:t>6</w:t>
            </w:r>
          </w:hyperlink>
        </w:p>
        <w:p>
          <w:pPr>
            <w:pStyle w:val="TOC2"/>
            <w:tabs>
              <w:tab w:val="clear" w:pos="720"/>
              <w:tab w:val="left" w:pos="1190" w:leader="none"/>
              <w:tab w:val="right" w:pos="8494" w:leader="dot"/>
            </w:tabs>
            <w:rPr>
              <w:lang w:val="en-CA"/>
            </w:rPr>
          </w:pPr>
          <w:r>
            <w:rPr>
              <w:lang w:val="en-CA"/>
            </w:rPr>
            <w:t>4.1</w:t>
            <w:tab/>
            <w:t>Assumptions</w:t>
            <w:tab/>
          </w:r>
          <w:hyperlink w:anchor="__RefHeading___Toc470323623">
            <w:r>
              <w:rPr>
                <w:rStyle w:val="IndexLink"/>
                <w:lang w:val="en-CA"/>
              </w:rPr>
              <w:t>6</w:t>
            </w:r>
          </w:hyperlink>
        </w:p>
        <w:p>
          <w:pPr>
            <w:pStyle w:val="TOC2"/>
            <w:tabs>
              <w:tab w:val="clear" w:pos="720"/>
              <w:tab w:val="left" w:pos="1190" w:leader="none"/>
              <w:tab w:val="left" w:pos="2268" w:leader="none"/>
              <w:tab w:val="right" w:pos="8494" w:leader="dot"/>
            </w:tabs>
            <w:rPr>
              <w:lang w:val="en-CA"/>
            </w:rPr>
          </w:pPr>
          <w:r>
            <w:rPr>
              <w:lang w:val="en-CA"/>
            </w:rPr>
            <w:t>4.2</w:t>
            <w:tab/>
            <w:t xml:space="preserve">Section 1A: </w:t>
            <w:tab/>
            <w:t>Licensing and Organisation</w:t>
            <w:tab/>
          </w:r>
          <w:hyperlink w:anchor="__RefHeading___Toc470323624">
            <w:r>
              <w:rPr>
                <w:rStyle w:val="IndexLink"/>
                <w:lang w:val="en-CA"/>
              </w:rPr>
              <w:t>7</w:t>
            </w:r>
          </w:hyperlink>
        </w:p>
        <w:p>
          <w:pPr>
            <w:pStyle w:val="TOC2"/>
            <w:tabs>
              <w:tab w:val="clear" w:pos="720"/>
              <w:tab w:val="left" w:pos="1190" w:leader="none"/>
              <w:tab w:val="left" w:pos="2268" w:leader="none"/>
              <w:tab w:val="right" w:pos="8494" w:leader="dot"/>
            </w:tabs>
            <w:rPr>
              <w:lang w:val="en-CA"/>
            </w:rPr>
          </w:pPr>
          <w:r>
            <w:rPr>
              <w:lang w:val="en-CA"/>
            </w:rPr>
            <w:t>4.3</w:t>
            <w:tab/>
            <w:t xml:space="preserve">Section 1B: </w:t>
            <w:tab/>
            <w:t>Capacity and Authority</w:t>
            <w:tab/>
          </w:r>
          <w:hyperlink w:anchor="__RefHeading___Toc470323625">
            <w:r>
              <w:rPr>
                <w:rStyle w:val="IndexLink"/>
                <w:lang w:val="en-CA"/>
              </w:rPr>
              <w:t>22</w:t>
            </w:r>
          </w:hyperlink>
        </w:p>
        <w:p>
          <w:pPr>
            <w:pStyle w:val="TOC2"/>
            <w:tabs>
              <w:tab w:val="clear" w:pos="720"/>
              <w:tab w:val="left" w:pos="1190" w:leader="none"/>
              <w:tab w:val="left" w:pos="2268" w:leader="none"/>
              <w:tab w:val="right" w:pos="8494" w:leader="dot"/>
            </w:tabs>
            <w:rPr>
              <w:lang w:val="en-CA"/>
            </w:rPr>
          </w:pPr>
          <w:r>
            <w:rPr>
              <w:lang w:val="en-CA"/>
            </w:rPr>
            <w:t>4.4</w:t>
            <w:tab/>
            <w:t xml:space="preserve">Section 1C: </w:t>
            <w:tab/>
            <w:t>General Contractual Terms and Formalities</w:t>
            <w:tab/>
          </w:r>
          <w:hyperlink w:anchor="__RefHeading___Toc470323626">
            <w:r>
              <w:rPr>
                <w:rStyle w:val="IndexLink"/>
                <w:lang w:val="en-CA"/>
              </w:rPr>
              <w:t>24</w:t>
            </w:r>
          </w:hyperlink>
        </w:p>
        <w:p>
          <w:pPr>
            <w:pStyle w:val="TOC2"/>
            <w:tabs>
              <w:tab w:val="clear" w:pos="720"/>
              <w:tab w:val="left" w:pos="1190" w:leader="none"/>
              <w:tab w:val="left" w:pos="2268" w:leader="none"/>
              <w:tab w:val="right" w:pos="8494" w:leader="dot"/>
            </w:tabs>
            <w:rPr>
              <w:lang w:val="en-CA"/>
            </w:rPr>
          </w:pPr>
          <w:r>
            <w:rPr>
              <w:lang w:val="en-CA"/>
            </w:rPr>
            <w:t>4.5</w:t>
            <w:tab/>
            <w:t>Section 1D:</w:t>
            <w:tab/>
            <w:t>Jurisdiction and Enforcement</w:t>
            <w:tab/>
          </w:r>
          <w:hyperlink w:anchor="__RefHeading___Toc470323627">
            <w:r>
              <w:rPr>
                <w:rStyle w:val="IndexLink"/>
                <w:lang w:val="en-CA"/>
              </w:rPr>
              <w:t>40</w:t>
            </w:r>
          </w:hyperlink>
        </w:p>
        <w:p>
          <w:pPr>
            <w:pStyle w:val="TOC2"/>
            <w:tabs>
              <w:tab w:val="clear" w:pos="720"/>
              <w:tab w:val="left" w:pos="1190" w:leader="none"/>
              <w:tab w:val="left" w:pos="2268" w:leader="none"/>
              <w:tab w:val="right" w:pos="8494" w:leader="dot"/>
            </w:tabs>
            <w:rPr>
              <w:lang w:val="en-CA"/>
            </w:rPr>
          </w:pPr>
          <w:r>
            <w:rPr>
              <w:lang w:val="en-CA"/>
            </w:rPr>
            <w:t>4.6</w:t>
            <w:tab/>
            <w:t>Section 1E:</w:t>
            <w:tab/>
            <w:t>Events of Default, Insolvency and Early Termination</w:t>
            <w:tab/>
          </w:r>
          <w:hyperlink w:anchor="__RefHeading___Toc470323628">
            <w:r>
              <w:rPr>
                <w:rStyle w:val="IndexLink"/>
                <w:lang w:val="en-CA"/>
              </w:rPr>
              <w:t>44</w:t>
            </w:r>
          </w:hyperlink>
        </w:p>
        <w:p>
          <w:pPr>
            <w:pStyle w:val="TOC2"/>
            <w:tabs>
              <w:tab w:val="clear" w:pos="720"/>
              <w:tab w:val="left" w:pos="1190" w:leader="none"/>
              <w:tab w:val="left" w:pos="2268" w:leader="none"/>
              <w:tab w:val="right" w:pos="8494" w:leader="dot"/>
            </w:tabs>
            <w:rPr>
              <w:lang w:val="en-CA"/>
            </w:rPr>
          </w:pPr>
          <w:r>
            <w:rPr>
              <w:lang w:val="en-CA"/>
            </w:rPr>
            <w:t>4.7</w:t>
            <w:tab/>
            <w:t>Section 1F:</w:t>
            <w:tab/>
            <w:t>Liquidated Damages provisions</w:t>
            <w:tab/>
          </w:r>
          <w:hyperlink w:anchor="__RefHeading___Toc470323629">
            <w:r>
              <w:rPr>
                <w:rStyle w:val="IndexLink"/>
                <w:lang w:val="en-CA"/>
              </w:rPr>
              <w:t>51</w:t>
            </w:r>
          </w:hyperlink>
        </w:p>
        <w:p>
          <w:pPr>
            <w:pStyle w:val="TOC2"/>
            <w:tabs>
              <w:tab w:val="clear" w:pos="720"/>
              <w:tab w:val="left" w:pos="1190" w:leader="none"/>
              <w:tab w:val="left" w:pos="2268" w:leader="none"/>
              <w:tab w:val="right" w:pos="8494" w:leader="dot"/>
            </w:tabs>
            <w:rPr>
              <w:lang w:val="en-CA"/>
            </w:rPr>
          </w:pPr>
          <w:r>
            <w:rPr>
              <w:lang w:val="en-CA"/>
            </w:rPr>
            <w:t>4.8</w:t>
            <w:tab/>
            <w:t>Section 1G:</w:t>
            <w:tab/>
            <w:t>Foreign Exchange Controls and Usury</w:t>
            <w:tab/>
          </w:r>
          <w:hyperlink w:anchor="__RefHeading___Toc470323630">
            <w:r>
              <w:rPr>
                <w:rStyle w:val="IndexLink"/>
                <w:lang w:val="en-CA"/>
              </w:rPr>
              <w:t>51</w:t>
            </w:r>
          </w:hyperlink>
        </w:p>
        <w:p>
          <w:pPr>
            <w:pStyle w:val="TOC2"/>
            <w:tabs>
              <w:tab w:val="clear" w:pos="720"/>
              <w:tab w:val="left" w:pos="1190" w:leader="none"/>
              <w:tab w:val="left" w:pos="2268" w:leader="none"/>
              <w:tab w:val="right" w:pos="8494" w:leader="dot"/>
            </w:tabs>
            <w:rPr>
              <w:lang w:val="en-CA"/>
            </w:rPr>
          </w:pPr>
          <w:r>
            <w:rPr>
              <w:lang w:val="en-CA"/>
            </w:rPr>
            <w:t>4.9</w:t>
            <w:tab/>
            <w:t>Section 1H:</w:t>
            <w:tab/>
            <w:t>Taxation</w:t>
            <w:tab/>
          </w:r>
          <w:hyperlink w:anchor="__RefHeading___Toc470323631">
            <w:r>
              <w:rPr>
                <w:rStyle w:val="IndexLink"/>
                <w:lang w:val="en-CA"/>
              </w:rPr>
              <w:t>52</w:t>
            </w:r>
          </w:hyperlink>
        </w:p>
        <w:p>
          <w:pPr>
            <w:pStyle w:val="TOC2"/>
            <w:tabs>
              <w:tab w:val="clear" w:pos="720"/>
              <w:tab w:val="left" w:pos="1190" w:leader="none"/>
              <w:tab w:val="left" w:pos="2268" w:leader="none"/>
              <w:tab w:val="right" w:pos="8494" w:leader="dot"/>
            </w:tabs>
            <w:rPr>
              <w:lang w:val="en-CA"/>
            </w:rPr>
          </w:pPr>
          <w:r>
            <w:rPr>
              <w:lang w:val="en-CA"/>
            </w:rPr>
            <w:t>4.10</w:t>
            <w:tab/>
            <w:t>Section 1I:</w:t>
            <w:tab/>
            <w:t>Miscellaneous</w:t>
            <w:tab/>
          </w:r>
          <w:hyperlink w:anchor="__RefHeading___Toc470323632">
            <w:r>
              <w:rPr>
                <w:rStyle w:val="IndexLink"/>
                <w:lang w:val="en-CA"/>
              </w:rPr>
              <w:t>55</w:t>
            </w:r>
          </w:hyperlink>
        </w:p>
        <w:p>
          <w:pPr>
            <w:pStyle w:val="TOC1"/>
            <w:tabs>
              <w:tab w:val="clear" w:pos="720"/>
              <w:tab w:val="left" w:pos="510" w:leader="none"/>
              <w:tab w:val="right" w:pos="8494" w:leader="dot"/>
            </w:tabs>
            <w:rPr>
              <w:lang w:val="en-CA"/>
            </w:rPr>
          </w:pPr>
          <w:r>
            <w:rPr>
              <w:lang w:val="en-CA"/>
            </w:rPr>
            <w:t>5.</w:t>
            <w:tab/>
            <w:t>SECTION 2: TRADING BANDWIDTH WITHOUT ACTUAL PHYSICAL DELIVERY</w:t>
            <w:tab/>
          </w:r>
          <w:hyperlink w:anchor="__RefHeading___Toc470323633">
            <w:r>
              <w:rPr>
                <w:rStyle w:val="IndexLink"/>
                <w:lang w:val="en-CA"/>
              </w:rPr>
              <w:t>58</w:t>
            </w:r>
          </w:hyperlink>
        </w:p>
        <w:p>
          <w:pPr>
            <w:pStyle w:val="TOC1"/>
            <w:tabs>
              <w:tab w:val="clear" w:pos="720"/>
              <w:tab w:val="left" w:pos="510" w:leader="none"/>
              <w:tab w:val="right" w:pos="8494" w:leader="dot"/>
            </w:tabs>
            <w:rPr>
              <w:lang w:val="en-CA"/>
            </w:rPr>
          </w:pPr>
          <w:r>
            <w:rPr>
              <w:lang w:val="en-CA"/>
            </w:rPr>
            <w:t>6.</w:t>
            <w:tab/>
            <w:t>SECTION 3: ESTABLISHMENT OF POOLING POINTS AND CONNECTION OF TELECOMMUNICATIONS NETWORKS TO POOLING POINTS</w:t>
            <w:tab/>
          </w:r>
          <w:hyperlink w:anchor="__RefHeading___Toc470323634">
            <w:r>
              <w:rPr>
                <w:rStyle w:val="IndexLink"/>
                <w:lang w:val="en-CA"/>
              </w:rPr>
              <w:t>59</w:t>
            </w:r>
          </w:hyperlink>
        </w:p>
        <w:p>
          <w:pPr>
            <w:pStyle w:val="TOC2"/>
            <w:tabs>
              <w:tab w:val="clear" w:pos="720"/>
              <w:tab w:val="left" w:pos="1190" w:leader="none"/>
              <w:tab w:val="left" w:pos="2268" w:leader="none"/>
              <w:tab w:val="right" w:pos="8494" w:leader="dot"/>
            </w:tabs>
            <w:rPr>
              <w:lang w:val="en-CA"/>
            </w:rPr>
          </w:pPr>
          <w:r>
            <w:rPr>
              <w:lang w:val="en-CA"/>
            </w:rPr>
            <w:t>6.1</w:t>
            <w:tab/>
            <w:t>Section 3A:</w:t>
            <w:tab/>
            <w:t>Establishment of Pooling Point in Hong Kong by a Pooling Point Operator</w:t>
            <w:tab/>
            <w:tab/>
          </w:r>
          <w:hyperlink w:anchor="__RefHeading___Toc470323635">
            <w:r>
              <w:rPr>
                <w:rStyle w:val="IndexLink"/>
                <w:lang w:val="en-CA"/>
              </w:rPr>
              <w:t>59</w:t>
            </w:r>
          </w:hyperlink>
        </w:p>
        <w:p>
          <w:pPr>
            <w:pStyle w:val="TOC2"/>
            <w:tabs>
              <w:tab w:val="clear" w:pos="720"/>
              <w:tab w:val="left" w:pos="1190" w:leader="none"/>
              <w:tab w:val="left" w:pos="2268" w:leader="none"/>
              <w:tab w:val="right" w:pos="8494" w:leader="dot"/>
            </w:tabs>
            <w:rPr>
              <w:lang w:val="en-CA"/>
            </w:rPr>
          </w:pPr>
          <w:r>
            <w:rPr>
              <w:lang w:val="en-CA"/>
            </w:rPr>
            <w:t>6.2</w:t>
            <w:tab/>
            <w:t>Section 3B:</w:t>
            <w:tab/>
            <w:t>Connection of a telecommunications network to the Pooling Point</w:t>
            <w:tab/>
          </w:r>
          <w:hyperlink w:anchor="__RefHeading___Toc470323636">
            <w:r>
              <w:rPr>
                <w:rStyle w:val="IndexLink"/>
                <w:lang w:val="en-CA"/>
              </w:rPr>
              <w:t>67</w:t>
            </w:r>
          </w:hyperlink>
        </w:p>
        <w:p>
          <w:pPr>
            <w:pStyle w:val="TOC2"/>
            <w:tabs>
              <w:tab w:val="clear" w:pos="720"/>
              <w:tab w:val="left" w:pos="1190" w:leader="none"/>
              <w:tab w:val="left" w:pos="2268" w:leader="none"/>
              <w:tab w:val="right" w:pos="8494" w:leader="dot"/>
            </w:tabs>
            <w:rPr>
              <w:lang w:val="en-CA"/>
            </w:rPr>
          </w:pPr>
          <w:r>
            <w:rPr>
              <w:lang w:val="en-CA"/>
            </w:rPr>
            <w:t>6.3</w:t>
            <w:tab/>
            <w:t>Section 3C:</w:t>
            <w:tab/>
            <w:t>Taxation</w:t>
            <w:tab/>
          </w:r>
          <w:hyperlink w:anchor="__RefHeading___Toc470323637">
            <w:r>
              <w:rPr>
                <w:rStyle w:val="IndexLink"/>
                <w:lang w:val="en-CA"/>
              </w:rPr>
              <w:t>71</w:t>
            </w:r>
          </w:hyperlink>
        </w:p>
        <w:p>
          <w:pPr>
            <w:pStyle w:val="TOC1"/>
            <w:tabs>
              <w:tab w:val="clear" w:pos="720"/>
              <w:tab w:val="left" w:pos="510" w:leader="none"/>
              <w:tab w:val="right" w:pos="8494" w:leader="dot"/>
            </w:tabs>
            <w:rPr>
              <w:lang w:val="en-CA"/>
            </w:rPr>
          </w:pPr>
          <w:r>
            <w:rPr>
              <w:lang w:val="en-CA"/>
            </w:rPr>
            <w:t>7.</w:t>
            <w:tab/>
            <w:t>SECTION 4: TRANSACTIONS OVER A SEGMENT BETWEEN POOLING POINTS, EITHER OR BOTH OF WHICH MAY BE LOCATED IN HONG KONG</w:t>
            <w:tab/>
          </w:r>
          <w:hyperlink w:anchor="__RefHeading___Toc470323638">
            <w:r>
              <w:rPr>
                <w:rStyle w:val="IndexLink"/>
                <w:lang w:val="en-CA"/>
              </w:rPr>
              <w:t>74</w:t>
            </w:r>
          </w:hyperlink>
        </w:p>
        <w:p>
          <w:pPr>
            <w:pStyle w:val="TOC1"/>
            <w:tabs>
              <w:tab w:val="clear" w:pos="720"/>
              <w:tab w:val="right" w:pos="8494" w:leader="dot"/>
            </w:tabs>
            <w:rPr>
              <w:lang w:val="en-CA"/>
            </w:rPr>
          </w:pPr>
          <w:r>
            <w:rPr>
              <w:lang w:val="en-CA"/>
            </w:rPr>
            <w:t>ANNEX</w:t>
            <w:tab/>
          </w:r>
          <w:hyperlink w:anchor="__RefHeading___Toc470323639">
            <w:r>
              <w:rPr>
                <w:rStyle w:val="IndexLink"/>
                <w:lang w:val="en-CA"/>
              </w:rPr>
              <w:t>76</w:t>
            </w:r>
          </w:hyperlink>
          <w:r>
            <w:rPr>
              <w:rStyle w:val="IndexLink"/>
              <w:lang w:val="en-CA"/>
            </w:rPr>
            <w:fldChar w:fldCharType="end"/>
          </w:r>
        </w:p>
      </w:sdtContent>
    </w:sdt>
    <w:p>
      <w:pPr>
        <w:sectPr>
          <w:headerReference w:type="default" r:id="rId4"/>
          <w:headerReference w:type="first" r:id="rId5"/>
          <w:footerReference w:type="default" r:id="rId6"/>
          <w:footerReference w:type="first" r:id="rId7"/>
          <w:type w:val="nextPage"/>
          <w:pgSz w:w="11906" w:h="16838"/>
          <w:pgMar w:left="1701" w:right="1701" w:gutter="0" w:header="720" w:top="1440" w:footer="567" w:bottom="1134"/>
          <w:pgNumType w:fmt="decimal"/>
          <w:formProt w:val="false"/>
          <w:textDirection w:val="lrTb"/>
          <w:docGrid w:type="default" w:linePitch="360" w:charSpace="0"/>
        </w:sectPr>
        <w:pStyle w:val="CommentText"/>
        <w:tabs>
          <w:tab w:val="clear" w:pos="720"/>
          <w:tab w:val="right" w:pos="8505" w:leader="dot"/>
        </w:tabs>
        <w:spacing w:before="0" w:after="200"/>
        <w:ind w:start="1608" w:end="0"/>
        <w:rPr>
          <w:lang w:val="en-CA"/>
        </w:rPr>
      </w:pPr>
      <w:r>
        <w:rPr>
          <w:lang w:val="en-CA"/>
        </w:rPr>
      </w:r>
    </w:p>
    <w:p>
      <w:pPr>
        <w:pStyle w:val="RightTab"/>
        <w:ind w:start="624" w:end="0"/>
        <w:jc w:val="end"/>
        <w:rPr>
          <w:kern w:val="2"/>
        </w:rPr>
      </w:pPr>
      <w:r>
        <w:rPr>
          <w:kern w:val="2"/>
        </w:rPr>
        <w:t>20 December 1999</w:t>
      </w:r>
    </w:p>
    <w:p>
      <w:pPr>
        <w:pStyle w:val="Normal"/>
        <w:ind w:start="624" w:end="0"/>
        <w:rPr>
          <w:kern w:val="2"/>
        </w:rPr>
      </w:pPr>
      <w:r>
        <w:rPr>
          <w:kern w:val="2"/>
        </w:rPr>
      </w:r>
    </w:p>
    <w:p>
      <w:pPr>
        <w:pStyle w:val="Normal"/>
        <w:jc w:val="center"/>
        <w:rPr>
          <w:b/>
        </w:rPr>
      </w:pPr>
      <w:r>
        <w:rPr>
          <w:b/>
        </w:rPr>
        <w:t>ENRON COMMUNICATIONS, INC.</w:t>
      </w:r>
    </w:p>
    <w:p>
      <w:pPr>
        <w:pStyle w:val="Normal"/>
        <w:spacing w:before="0" w:after="0"/>
        <w:jc w:val="center"/>
        <w:rPr>
          <w:b/>
        </w:rPr>
      </w:pPr>
      <w:r>
        <w:rPr>
          <w:b/>
        </w:rPr>
        <w:t>SURVEY OF THE LAWS OF HONG KONG</w:t>
      </w:r>
    </w:p>
    <w:p>
      <w:pPr>
        <w:pStyle w:val="Normal"/>
        <w:jc w:val="center"/>
        <w:rPr>
          <w:b/>
          <w:kern w:val="2"/>
        </w:rPr>
      </w:pPr>
      <w:r>
        <w:rPr>
          <w:b/>
        </w:rPr>
        <w:t>REGARDING TRADING OF BANDWIDTH AND ESTABLISHMENT OF BANDWIDTH TRADING POINTS</w:t>
      </w:r>
    </w:p>
    <w:p>
      <w:pPr>
        <w:pStyle w:val="Heading1"/>
        <w:ind w:hanging="0" w:start="0"/>
        <w:rPr/>
      </w:pPr>
      <w:bookmarkStart w:id="1" w:name="__RefHeading___Toc470323612"/>
      <w:bookmarkEnd w:id="1"/>
      <w:r>
        <w:rPr>
          <w:kern w:val="2"/>
        </w:rPr>
        <w:t>INTRODUCTION</w:t>
      </w:r>
    </w:p>
    <w:p>
      <w:pPr>
        <w:pStyle w:val="BodyText"/>
        <w:rPr/>
      </w:pPr>
      <w:r>
        <w:rPr/>
        <w:t>Enron Communications, Inc. ("</w:t>
      </w:r>
      <w:r>
        <w:rPr>
          <w:b/>
        </w:rPr>
        <w:t>ECI</w:t>
      </w:r>
      <w:r>
        <w:rPr/>
        <w:t>") has asked that we provide responses to the questions set out in the Survey of Hong Kong Special Administrative Region ("</w:t>
      </w:r>
      <w:r>
        <w:rPr>
          <w:b/>
        </w:rPr>
        <w:t>Hong Kong</w:t>
      </w:r>
      <w:r>
        <w:rPr/>
        <w:t>") regarding Trading of Bandwidth and Establishment of Bandwidth Posting Points (the "</w:t>
      </w:r>
      <w:r>
        <w:rPr>
          <w:b/>
        </w:rPr>
        <w:t>Survey Questionnaire</w:t>
      </w:r>
      <w:r>
        <w:rPr/>
        <w:t>", attached as the Annex to this Report), in connection with the establishment of a forward commodity market for the trading of telecommunications bandwidth.</w:t>
      </w:r>
    </w:p>
    <w:p>
      <w:pPr>
        <w:pStyle w:val="Heading1"/>
        <w:ind w:hanging="0" w:start="0"/>
        <w:rPr>
          <w:kern w:val="2"/>
        </w:rPr>
      </w:pPr>
      <w:bookmarkStart w:id="2" w:name="__RefHeading___Toc470323613"/>
      <w:bookmarkEnd w:id="2"/>
      <w:r>
        <w:rPr>
          <w:kern w:val="2"/>
        </w:rPr>
        <w:t>SCOPE OF SURVEY</w:t>
      </w:r>
    </w:p>
    <w:p>
      <w:pPr>
        <w:pStyle w:val="Heading2"/>
        <w:ind w:hanging="0" w:start="0"/>
        <w:rPr>
          <w:kern w:val="2"/>
        </w:rPr>
      </w:pPr>
      <w:bookmarkStart w:id="3" w:name="__RefHeading___Toc470323614"/>
      <w:bookmarkEnd w:id="3"/>
      <w:r>
        <w:rPr/>
        <w:t>Introduction</w:t>
      </w:r>
    </w:p>
    <w:p>
      <w:pPr>
        <w:pStyle w:val="BodyText"/>
        <w:rPr>
          <w:kern w:val="2"/>
        </w:rPr>
      </w:pPr>
      <w:r>
        <w:rPr>
          <w:kern w:val="2"/>
        </w:rPr>
        <w:t>We have conducted the survey of the laws of Hong Kong in accordance with the Survey Questionnaire, and on the basis of our review of the documents and information provided by ECI.  This Report sets out our responses to the Survey Questionnaire.</w:t>
      </w:r>
    </w:p>
    <w:p>
      <w:pPr>
        <w:pStyle w:val="BodyText"/>
        <w:rPr>
          <w:kern w:val="2"/>
        </w:rPr>
      </w:pPr>
      <w:r>
        <w:rPr>
          <w:kern w:val="2"/>
        </w:rPr>
        <w:t xml:space="preserve">This Report should be used by ECI solely in connection with the establishment of a market for trading telecommunications bandwidth and ECI should not rely on it for any other purpose.  </w:t>
      </w:r>
    </w:p>
    <w:p>
      <w:pPr>
        <w:pStyle w:val="Heading2"/>
        <w:ind w:hanging="0" w:start="0"/>
        <w:rPr>
          <w:kern w:val="2"/>
        </w:rPr>
      </w:pPr>
      <w:bookmarkStart w:id="4" w:name="__RefHeading___Toc470323615"/>
      <w:bookmarkEnd w:id="4"/>
      <w:r>
        <w:rPr>
          <w:kern w:val="2"/>
        </w:rPr>
        <w:t>Extent of survey</w:t>
      </w:r>
    </w:p>
    <w:p>
      <w:pPr>
        <w:pStyle w:val="BodyText"/>
        <w:rPr>
          <w:kern w:val="2"/>
        </w:rPr>
      </w:pPr>
      <w:r>
        <w:rPr>
          <w:kern w:val="2"/>
        </w:rPr>
        <w:t>You have discussed with our London office the extent of the legal survey which Clifford Chance were to perform and it has been agreed that the survey should be conducted by Clifford Chance with the following guidelines in mind:</w:t>
      </w:r>
    </w:p>
    <w:p>
      <w:pPr>
        <w:pStyle w:val="Heading3"/>
        <w:ind w:hanging="0" w:start="0"/>
        <w:rPr>
          <w:kern w:val="2"/>
        </w:rPr>
      </w:pPr>
      <w:r>
        <w:rPr>
          <w:kern w:val="2"/>
        </w:rPr>
        <w:t>You have confirmed that you do not wish us to discuss any aspects of the Proposal with relevant regulators in Hong Kong, including on a "no-names" basis.  Given the "novelty" of the Proposal for the purposes of Hong Kong law and regulation, we are unable to advise conclusively on certain issues.  We have highlighted such issues in the relevant sections of this Report.</w:t>
      </w:r>
    </w:p>
    <w:p>
      <w:pPr>
        <w:pStyle w:val="Heading3"/>
        <w:ind w:hanging="0" w:start="0"/>
        <w:rPr>
          <w:kern w:val="2"/>
        </w:rPr>
      </w:pPr>
      <w:r>
        <w:rPr>
          <w:kern w:val="2"/>
        </w:rPr>
        <w:t>You have confirmed that you do require us to provide responses to questions in the Survey Questionnaire on taxation, but you do not require us to advise on accounting or other financial aspects or implications of the survey questions.</w:t>
      </w:r>
    </w:p>
    <w:p>
      <w:pPr>
        <w:pStyle w:val="Heading3"/>
        <w:ind w:hanging="0" w:start="0"/>
        <w:rPr>
          <w:kern w:val="2"/>
        </w:rPr>
      </w:pPr>
      <w:r>
        <w:rPr>
          <w:kern w:val="2"/>
        </w:rPr>
        <w:t xml:space="preserve">You have confirmed that you do not wish us to review or advise on any financial services or securities law regulatory aspects of the Proposal, except in so far as the trading of Bandwidth may be regarded as constituting the operation of a financial market or exchange which is subject to financial market supervision, and where such supervision may impinge upon the implementation of the Proposal in Hong Kong. </w:t>
      </w:r>
    </w:p>
    <w:p>
      <w:pPr>
        <w:pStyle w:val="BodyText"/>
        <w:rPr>
          <w:kern w:val="2"/>
        </w:rPr>
      </w:pPr>
      <w:r>
        <w:rPr>
          <w:kern w:val="2"/>
        </w:rPr>
        <w:t>The survey responses have been prepared on the basis of the information contained in the Documents, and we have assumed that the Documents contain all factual information which has a bearing on the questions in the Survey Questionnaire.  In addition, many of the survey questions are very general in nature and therefore, of necessity, the relevant responses are also general.  More specific analysis may be required once ECI has identified its preferred approach for the Proposal.</w:t>
      </w:r>
    </w:p>
    <w:p>
      <w:pPr>
        <w:pStyle w:val="BodyText"/>
        <w:rPr>
          <w:kern w:val="2"/>
        </w:rPr>
      </w:pPr>
      <w:r>
        <w:rPr>
          <w:kern w:val="2"/>
        </w:rPr>
        <w:t>The Documents include materials which are not governed by Hong Kong law.  We have not advised on the laws of any jurisdiction other than those of Hong Kong which are in effect at the date of this Report.</w:t>
      </w:r>
    </w:p>
    <w:p>
      <w:pPr>
        <w:pStyle w:val="Heading2"/>
        <w:ind w:hanging="0" w:start="0"/>
        <w:rPr>
          <w:kern w:val="2"/>
        </w:rPr>
      </w:pPr>
      <w:bookmarkStart w:id="5" w:name="__RefHeading___Toc470323616"/>
      <w:bookmarkEnd w:id="5"/>
      <w:r>
        <w:rPr/>
        <w:t>Interpretation</w:t>
      </w:r>
    </w:p>
    <w:p>
      <w:pPr>
        <w:pStyle w:val="Heading3"/>
        <w:ind w:hanging="0" w:start="0"/>
        <w:rPr>
          <w:b/>
          <w:i/>
          <w:i/>
        </w:rPr>
      </w:pPr>
      <w:r>
        <w:rPr>
          <w:kern w:val="2"/>
        </w:rPr>
        <w:t>In this Report, the following words and expressions have the meanings set out below (and as set out in the Survey Questionnaire):</w:t>
      </w:r>
    </w:p>
    <w:p>
      <w:pPr>
        <w:pStyle w:val="BodyText2"/>
        <w:rPr/>
      </w:pPr>
      <w:r>
        <w:rPr/>
        <w:t>"</w:t>
      </w:r>
      <w:r>
        <w:rPr>
          <w:b/>
        </w:rPr>
        <w:t>Bandwidth</w:t>
      </w:r>
      <w:r>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rPr/>
      </w:pPr>
      <w:r>
        <w:rPr/>
        <w:t xml:space="preserve">Please note, though, that from the descriptions in the Documents, however, we have in addition assumed that the Bandwidth will be provided across some form of point-to-point unswitched link across terrestrial or submarine cable or fibre, and not, for example, by way of satellite transponder or microwave fixed link. </w:t>
      </w:r>
    </w:p>
    <w:p>
      <w:pPr>
        <w:pStyle w:val="BodyText2"/>
        <w:rPr>
          <w:i/>
          <w:i/>
        </w:rPr>
      </w:pPr>
      <w:r>
        <w:rPr/>
        <w:t>"</w:t>
      </w:r>
      <w:r>
        <w:rPr>
          <w:b/>
        </w:rPr>
        <w:t>CECO</w:t>
      </w:r>
      <w:r>
        <w:rPr/>
        <w:t xml:space="preserve">" means the Control of Exemption Clauses Ordinance (Cap. 71). </w:t>
      </w:r>
    </w:p>
    <w:p>
      <w:pPr>
        <w:pStyle w:val="BodyText2"/>
        <w:rPr/>
      </w:pPr>
      <w:r>
        <w:rPr/>
        <w:t>"</w:t>
      </w:r>
      <w:r>
        <w:rPr>
          <w:b/>
        </w:rPr>
        <w:t>Documents</w:t>
      </w:r>
      <w:r>
        <w:rPr/>
        <w:t>" means the Survey Questionnaire (including the annexed Master Agreement and GTCs) and the paper copy and CD-Rom version of the Enron "Market Starter Kit".</w:t>
      </w:r>
      <w:r>
        <w:rPr>
          <w:b/>
          <w:i/>
        </w:rPr>
        <w:t xml:space="preserve"> </w:t>
      </w:r>
    </w:p>
    <w:p>
      <w:pPr>
        <w:pStyle w:val="BodyText2"/>
        <w:rPr/>
      </w:pPr>
      <w:r>
        <w:rPr/>
        <w:t>"</w:t>
      </w:r>
      <w:r>
        <w:rPr>
          <w:b/>
        </w:rPr>
        <w:t>EFTNS</w:t>
      </w:r>
      <w:r>
        <w:rPr/>
        <w:t>" means external fixed telecommunication network services.</w:t>
      </w:r>
    </w:p>
    <w:p>
      <w:pPr>
        <w:pStyle w:val="BodyText2"/>
        <w:rPr/>
      </w:pPr>
      <w:r>
        <w:rPr/>
        <w:t>"</w:t>
      </w:r>
      <w:r>
        <w:rPr>
          <w:b/>
        </w:rPr>
        <w:t>FTNS</w:t>
      </w:r>
      <w:r>
        <w:rPr/>
        <w:t>" means fixed telecommunication network services.</w:t>
      </w:r>
    </w:p>
    <w:p>
      <w:pPr>
        <w:pStyle w:val="BodyText2"/>
        <w:rPr/>
      </w:pPr>
      <w:r>
        <w:rPr/>
        <w:t>"</w:t>
      </w:r>
      <w:r>
        <w:rPr>
          <w:b/>
        </w:rPr>
        <w:t>GTCs</w:t>
      </w:r>
      <w:r>
        <w:rPr/>
        <w:t>" means the General Terms and Conditions for Bandwidth Trading appended to the Survey Questionnaire.</w:t>
      </w:r>
    </w:p>
    <w:p>
      <w:pPr>
        <w:pStyle w:val="BodyText2"/>
        <w:rPr/>
      </w:pPr>
      <w:r>
        <w:rPr/>
        <w:t>"</w:t>
      </w:r>
      <w:r>
        <w:rPr>
          <w:b/>
        </w:rPr>
        <w:t>Gambling Ordinance</w:t>
      </w:r>
      <w:r>
        <w:rPr/>
        <w:t>" means the Gambling Ordinance (Cap. 148).</w:t>
      </w:r>
    </w:p>
    <w:p>
      <w:pPr>
        <w:pStyle w:val="BodyText2"/>
        <w:rPr/>
      </w:pPr>
      <w:r>
        <w:rPr/>
        <w:t>"</w:t>
      </w:r>
      <w:r>
        <w:rPr>
          <w:b/>
        </w:rPr>
        <w:t>HKT</w:t>
      </w:r>
      <w:r>
        <w:rPr/>
        <w:t>" means, for the purposes of this report, the group of companies comprising HKTI, Cable &amp; Wireless HKT Telephone Limited and Cable &amp; Wireless HKT CAS Limited.</w:t>
      </w:r>
    </w:p>
    <w:p>
      <w:pPr>
        <w:pStyle w:val="BodyText2"/>
        <w:rPr/>
      </w:pPr>
      <w:r>
        <w:rPr/>
        <w:t>"</w:t>
      </w:r>
      <w:r>
        <w:rPr>
          <w:b/>
        </w:rPr>
        <w:t>HKTI</w:t>
      </w:r>
      <w:r>
        <w:rPr/>
        <w:t>" means Hong Kong Telecom International Limited, now called Cable &amp; Wireless HKT International Limited.</w:t>
      </w:r>
    </w:p>
    <w:p>
      <w:pPr>
        <w:pStyle w:val="BodyText2"/>
        <w:rPr/>
      </w:pPr>
      <w:r>
        <w:rPr/>
        <w:t>"</w:t>
      </w:r>
      <w:r>
        <w:rPr>
          <w:b/>
        </w:rPr>
        <w:t>ICO</w:t>
      </w:r>
      <w:r>
        <w:rPr/>
        <w:t xml:space="preserve">" means the Interception of Communications Ordinance (Cap. 532). </w:t>
      </w:r>
    </w:p>
    <w:p>
      <w:pPr>
        <w:pStyle w:val="BodyText2"/>
        <w:rPr/>
      </w:pPr>
      <w:r>
        <w:rPr/>
        <w:t>"</w:t>
      </w:r>
      <w:r>
        <w:rPr>
          <w:b/>
        </w:rPr>
        <w:t>IPLC</w:t>
      </w:r>
      <w:r>
        <w:rPr/>
        <w:t>" means international private leased circuit.</w:t>
      </w:r>
    </w:p>
    <w:p>
      <w:pPr>
        <w:pStyle w:val="BodyText2"/>
        <w:rPr/>
      </w:pPr>
      <w:r>
        <w:rPr/>
        <w:t>"</w:t>
      </w:r>
      <w:r>
        <w:rPr>
          <w:b/>
        </w:rPr>
        <w:t>IRU</w:t>
      </w:r>
      <w:r>
        <w:rPr/>
        <w:t>" means an indefeasible right of use.</w:t>
      </w:r>
    </w:p>
    <w:p>
      <w:pPr>
        <w:pStyle w:val="BodyText2"/>
        <w:rPr/>
      </w:pPr>
      <w:r>
        <w:rPr/>
        <w:t>"</w:t>
      </w:r>
      <w:r>
        <w:rPr>
          <w:b/>
        </w:rPr>
        <w:t>ISR</w:t>
      </w:r>
      <w:r>
        <w:rPr/>
        <w:t>" means international simple resale.</w:t>
      </w:r>
    </w:p>
    <w:p>
      <w:pPr>
        <w:pStyle w:val="BodyText2"/>
        <w:rPr/>
      </w:pPr>
      <w:r>
        <w:rPr/>
        <w:t>"</w:t>
      </w:r>
      <w:r>
        <w:rPr>
          <w:b/>
        </w:rPr>
        <w:t>IVAN</w:t>
      </w:r>
      <w:r>
        <w:rPr/>
        <w:t>" means international value-added network.</w:t>
      </w:r>
    </w:p>
    <w:p>
      <w:pPr>
        <w:pStyle w:val="BodyText2"/>
        <w:rPr/>
      </w:pPr>
      <w:r>
        <w:rPr/>
        <w:t>"</w:t>
      </w:r>
      <w:r>
        <w:rPr>
          <w:b/>
        </w:rPr>
        <w:t>MO</w:t>
      </w:r>
      <w:r>
        <w:rPr/>
        <w:t xml:space="preserve">" means the Misrepresentation Ordinance (Cap. 284). </w:t>
      </w:r>
    </w:p>
    <w:p>
      <w:pPr>
        <w:pStyle w:val="BodyText2"/>
        <w:rPr/>
      </w:pPr>
      <w:r>
        <w:rPr/>
        <w:t>"</w:t>
      </w:r>
      <w:r>
        <w:rPr>
          <w:b/>
        </w:rPr>
        <w:t>Master Agreement</w:t>
      </w:r>
      <w:r>
        <w:rPr/>
        <w:t>" means the Master Agreement for Bandwidth Trading appended to the Survey Questionnaire.</w:t>
      </w:r>
    </w:p>
    <w:p>
      <w:pPr>
        <w:pStyle w:val="BodyText2"/>
        <w:rPr/>
      </w:pPr>
      <w:r>
        <w:rPr/>
        <w:t>"</w:t>
      </w:r>
      <w:r>
        <w:rPr>
          <w:b/>
        </w:rPr>
        <w:t>OFTA</w:t>
      </w:r>
      <w:r>
        <w:rPr/>
        <w:t>" means the Office of the Telecommunications Authority.</w:t>
      </w:r>
    </w:p>
    <w:p>
      <w:pPr>
        <w:pStyle w:val="BodyText2"/>
        <w:rPr/>
      </w:pPr>
      <w:r>
        <w:rPr/>
        <w:t>"</w:t>
      </w:r>
      <w:r>
        <w:rPr>
          <w:b/>
        </w:rPr>
        <w:t>PCS</w:t>
      </w:r>
      <w:r>
        <w:rPr/>
        <w:t>" means personal communications services.</w:t>
      </w:r>
    </w:p>
    <w:p>
      <w:pPr>
        <w:pStyle w:val="BodyText2"/>
        <w:rPr/>
      </w:pPr>
      <w:r>
        <w:rPr/>
        <w:t>"</w:t>
      </w:r>
      <w:r>
        <w:rPr>
          <w:b/>
        </w:rPr>
        <w:t>PDPO</w:t>
      </w:r>
      <w:r>
        <w:rPr/>
        <w:t xml:space="preserve">" means the Personal Data (Privacy) Ordinance (Cap. 486). </w:t>
      </w:r>
    </w:p>
    <w:p>
      <w:pPr>
        <w:pStyle w:val="BodyText2"/>
        <w:rPr/>
      </w:pPr>
      <w:r>
        <w:rPr/>
        <w:t>"</w:t>
      </w:r>
      <w:r>
        <w:rPr>
          <w:b/>
        </w:rPr>
        <w:t>PNETS</w:t>
      </w:r>
      <w:r>
        <w:rPr/>
        <w:t>" means public non-exclusive telecommunications services.</w:t>
      </w:r>
    </w:p>
    <w:p>
      <w:pPr>
        <w:pStyle w:val="BodyText2"/>
        <w:rPr/>
      </w:pPr>
      <w:r>
        <w:rPr/>
        <w:t>"</w:t>
      </w:r>
      <w:r>
        <w:rPr>
          <w:b/>
        </w:rPr>
        <w:t>PRS</w:t>
      </w:r>
      <w:r>
        <w:rPr/>
        <w:t>" means public radiocommunication services.</w:t>
      </w:r>
    </w:p>
    <w:p>
      <w:pPr>
        <w:pStyle w:val="BodyText2"/>
        <w:rPr/>
      </w:pPr>
      <w:r>
        <w:rPr/>
        <w:t>"</w:t>
      </w:r>
      <w:r>
        <w:rPr>
          <w:b/>
        </w:rPr>
        <w:t>Pooling Point</w:t>
      </w:r>
      <w:r>
        <w:rPr/>
        <w:t>" means a type of telecommunications equipment (and all hardware and software ancillary thereto) either owned and/or operated and/or administered by an entity or entities (collectively termed a "</w:t>
      </w:r>
      <w:r>
        <w:rPr>
          <w:b/>
        </w:rPr>
        <w:t>Pooling Point Developer</w:t>
      </w:r>
      <w:r>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rPr/>
      </w:pPr>
      <w:r>
        <w:rPr/>
        <w:t>"</w:t>
      </w:r>
      <w:r>
        <w:rPr>
          <w:b/>
        </w:rPr>
        <w:t>Proposal</w:t>
      </w:r>
      <w:r>
        <w:rPr/>
        <w:t>" means the Bandwidth Transactions and establishment of Pooling Points, as described in the Documents.</w:t>
      </w:r>
    </w:p>
    <w:p>
      <w:pPr>
        <w:pStyle w:val="BodyText2"/>
        <w:rPr/>
      </w:pPr>
      <w:r>
        <w:rPr/>
        <w:t>"</w:t>
      </w:r>
      <w:r>
        <w:rPr>
          <w:b/>
        </w:rPr>
        <w:t>PSTN</w:t>
      </w:r>
      <w:r>
        <w:rPr/>
        <w:t>" means public switched telecommunications network.</w:t>
      </w:r>
    </w:p>
    <w:p>
      <w:pPr>
        <w:pStyle w:val="BodyText2"/>
        <w:rPr/>
      </w:pPr>
      <w:r>
        <w:rPr/>
        <w:t>"</w:t>
      </w:r>
      <w:r>
        <w:rPr>
          <w:b/>
        </w:rPr>
        <w:t>SOGO</w:t>
      </w:r>
      <w:r>
        <w:rPr/>
        <w:t>" means the Sale of Goods Ordinance (Cap. 26).</w:t>
      </w:r>
    </w:p>
    <w:p>
      <w:pPr>
        <w:pStyle w:val="BodyText2"/>
        <w:rPr/>
      </w:pPr>
      <w:r>
        <w:rPr/>
        <w:t>"</w:t>
      </w:r>
      <w:r>
        <w:rPr>
          <w:b/>
        </w:rPr>
        <w:t>SPETS</w:t>
      </w:r>
      <w:r>
        <w:rPr/>
        <w:t>" means self-provided external telecommunication system.</w:t>
      </w:r>
    </w:p>
    <w:p>
      <w:pPr>
        <w:pStyle w:val="BodyText2"/>
        <w:rPr/>
      </w:pPr>
      <w:r>
        <w:rPr/>
        <w:t>"</w:t>
      </w:r>
      <w:r>
        <w:rPr>
          <w:b/>
        </w:rPr>
        <w:t>SSITO</w:t>
      </w:r>
      <w:r>
        <w:rPr/>
        <w:t xml:space="preserve">" means the Supply of Services (Implied Terms) Ordinance (Cap. 457).  </w:t>
      </w:r>
    </w:p>
    <w:p>
      <w:pPr>
        <w:pStyle w:val="BodyText2"/>
        <w:rPr/>
      </w:pPr>
      <w:r>
        <w:rPr/>
        <w:t>"</w:t>
      </w:r>
      <w:r>
        <w:rPr>
          <w:b/>
        </w:rPr>
        <w:t>Segment</w:t>
      </w:r>
      <w:r>
        <w:rPr/>
        <w:t>" means the electronically continuous path between two geographical reference points.</w:t>
      </w:r>
    </w:p>
    <w:p>
      <w:pPr>
        <w:pStyle w:val="BodyText2"/>
        <w:rPr/>
      </w:pPr>
      <w:r>
        <w:rPr/>
        <w:t>"</w:t>
      </w:r>
      <w:r>
        <w:rPr>
          <w:b/>
        </w:rPr>
        <w:t>TA</w:t>
      </w:r>
      <w:r>
        <w:rPr/>
        <w:t>" means the Telecommunications Authority appointed pursuant to the Telecommunication Ordinance.</w:t>
      </w:r>
    </w:p>
    <w:p>
      <w:pPr>
        <w:pStyle w:val="BodyText2"/>
        <w:rPr/>
      </w:pPr>
      <w:r>
        <w:rPr/>
        <w:t>"</w:t>
      </w:r>
      <w:r>
        <w:rPr>
          <w:b/>
        </w:rPr>
        <w:t>Telecommunication Bill</w:t>
      </w:r>
      <w:r>
        <w:rPr/>
        <w:t xml:space="preserve">" means the Telecommunication (Amendment) Bill 1999. </w:t>
      </w:r>
    </w:p>
    <w:p>
      <w:pPr>
        <w:pStyle w:val="BodyText2"/>
        <w:rPr/>
      </w:pPr>
      <w:r>
        <w:rPr/>
        <w:t>"</w:t>
      </w:r>
      <w:r>
        <w:rPr>
          <w:b/>
        </w:rPr>
        <w:t>Telecommunication Ordinance</w:t>
      </w:r>
      <w:r>
        <w:rPr/>
        <w:t>" means the Telecommunication Ordinance (Cap. 106).</w:t>
      </w:r>
    </w:p>
    <w:p>
      <w:pPr>
        <w:pStyle w:val="BodyText2"/>
        <w:rPr/>
      </w:pPr>
      <w:r>
        <w:rPr/>
        <w:t>"</w:t>
      </w:r>
      <w:r>
        <w:rPr>
          <w:b/>
        </w:rPr>
        <w:t>Telecommunication Regulations</w:t>
      </w:r>
      <w:r>
        <w:rPr/>
        <w:t>" means the Telecommunication Regulations (Cap. 106 sub. leg. A).</w:t>
      </w:r>
    </w:p>
    <w:p>
      <w:pPr>
        <w:pStyle w:val="BodyText2"/>
        <w:rPr/>
      </w:pPr>
      <w:r>
        <w:rPr/>
        <w:t>"</w:t>
      </w:r>
      <w:r>
        <w:rPr>
          <w:b/>
        </w:rPr>
        <w:t>Transaction</w:t>
      </w:r>
      <w:r>
        <w:rPr/>
        <w:t>" means a transaction between ECI and a third party (the "</w:t>
      </w:r>
      <w:r>
        <w:rPr>
          <w:b/>
        </w:rPr>
        <w:t>Local Counterparty</w:t>
      </w:r>
      <w:r>
        <w:rPr/>
        <w:t>") for the sale or purchase of a specified quantity of Bandwidth over a Segment for a specified duration of time for physical delivery in return for monetary consideration.</w:t>
      </w:r>
    </w:p>
    <w:p>
      <w:pPr>
        <w:pStyle w:val="BodyText2"/>
        <w:rPr/>
      </w:pPr>
      <w:r>
        <w:rPr/>
        <w:t>"</w:t>
      </w:r>
      <w:r>
        <w:rPr>
          <w:b/>
        </w:rPr>
        <w:t>VPN</w:t>
      </w:r>
      <w:r>
        <w:rPr/>
        <w:t>" means virtual private network.</w:t>
      </w:r>
    </w:p>
    <w:p>
      <w:pPr>
        <w:pStyle w:val="Heading3"/>
        <w:ind w:hanging="0" w:start="0"/>
        <w:rPr>
          <w:kern w:val="2"/>
        </w:rPr>
      </w:pPr>
      <w:r>
        <w:rPr/>
        <w:t>Terms defined in the Master Agreement and/or GTCs have the same meanings (where capitalised) in this Report.</w:t>
      </w:r>
    </w:p>
    <w:p>
      <w:pPr>
        <w:pStyle w:val="Heading1"/>
        <w:ind w:hanging="0" w:start="0"/>
        <w:rPr>
          <w:kern w:val="2"/>
        </w:rPr>
      </w:pPr>
      <w:bookmarkStart w:id="6" w:name="__RefHeading___Toc470323617"/>
      <w:bookmarkEnd w:id="6"/>
      <w:r>
        <w:rPr>
          <w:kern w:val="2"/>
        </w:rPr>
        <w:t>EXECUTIVE SUMMARY</w:t>
      </w:r>
    </w:p>
    <w:p>
      <w:pPr>
        <w:pStyle w:val="BodyText"/>
        <w:rPr>
          <w:kern w:val="2"/>
        </w:rPr>
      </w:pPr>
      <w:r>
        <w:rPr>
          <w:kern w:val="2"/>
        </w:rPr>
        <w:t>This executive summary highlights those issues identified by the legal survey which we consider, in our absolute discretion, may be of particular interest to ECI, having regard to the discussions which our London office has had with you regarding the extent of the survey.</w:t>
      </w:r>
    </w:p>
    <w:p>
      <w:pPr>
        <w:pStyle w:val="Heading2"/>
        <w:ind w:hanging="0" w:start="0"/>
        <w:rPr>
          <w:kern w:val="2"/>
        </w:rPr>
      </w:pPr>
      <w:bookmarkStart w:id="7" w:name="__RefHeading___Toc470323618"/>
      <w:r>
        <w:rPr>
          <w:kern w:val="2"/>
        </w:rPr>
        <w:t>Telecommunication Regulation</w:t>
      </w:r>
      <w:bookmarkEnd w:id="7"/>
      <w:r>
        <w:rPr>
          <w:kern w:val="2"/>
        </w:rPr>
        <w:t xml:space="preserve"> </w:t>
      </w:r>
    </w:p>
    <w:p>
      <w:pPr>
        <w:pStyle w:val="Normal"/>
        <w:numPr>
          <w:ilvl w:val="0"/>
          <w:numId w:val="46"/>
        </w:numPr>
        <w:tabs>
          <w:tab w:val="clear" w:pos="720"/>
        </w:tabs>
        <w:ind w:hanging="709" w:start="1333" w:end="0"/>
        <w:rPr/>
      </w:pPr>
      <w:r>
        <w:rPr/>
        <w:t>A telecommunications licence is required under the Telecommunication Ordinance by a person who in Hong Kong establishes or maintains any means of telecommunications or provides a telecommunication service involving the establishment or maintenance of any means of telecommunications.</w:t>
      </w:r>
    </w:p>
    <w:p>
      <w:pPr>
        <w:pStyle w:val="Normal"/>
        <w:numPr>
          <w:ilvl w:val="0"/>
          <w:numId w:val="46"/>
        </w:numPr>
        <w:tabs>
          <w:tab w:val="clear" w:pos="720"/>
        </w:tabs>
        <w:ind w:hanging="709" w:start="1333" w:end="0"/>
        <w:rPr/>
      </w:pPr>
      <w:r>
        <w:rPr/>
        <w:t>If the Transactions between ECI and a Local Counterparty concern Bandwidth on a Segment which does not cross Hong Kong territory, neither ECI nor a Local Counterparty would fall within the Hong Kong telecommunications licensing regime by virtue of the Transactions alone.</w:t>
      </w:r>
    </w:p>
    <w:p>
      <w:pPr>
        <w:pStyle w:val="Normal"/>
        <w:numPr>
          <w:ilvl w:val="0"/>
          <w:numId w:val="46"/>
        </w:numPr>
        <w:tabs>
          <w:tab w:val="clear" w:pos="720"/>
        </w:tabs>
        <w:ind w:hanging="709" w:start="1333" w:end="0"/>
        <w:rPr/>
      </w:pPr>
      <w:r>
        <w:rPr/>
        <w:t>If the Transactions between ECI and a Local Counterparty concern Bandwidth on a Segment which crosses Hong Kong territory (even though the Segment end points or Pooling Points are located outside Hong Kong), then the party which has established or which maintains a telecommunications network or circuit over which the Bandwidth crosses Hong Kong territory will require a telecommunications licence.  The type of licence would depend on the nature of the means of telecommunication, or the nature of the telecommunications services involved.</w:t>
      </w:r>
    </w:p>
    <w:p>
      <w:pPr>
        <w:pStyle w:val="Normal"/>
        <w:numPr>
          <w:ilvl w:val="0"/>
          <w:numId w:val="46"/>
        </w:numPr>
        <w:tabs>
          <w:tab w:val="clear" w:pos="720"/>
        </w:tabs>
        <w:ind w:hanging="709" w:start="1333" w:end="0"/>
        <w:rPr/>
      </w:pPr>
      <w:r>
        <w:rPr/>
        <w:t>A Pooling Point Developer in Hong Kong would require a telecommunications licence to establish and operate a Pooling Point in Hong Kong and offer the associated Pooling Point services to Network Operators in Hong Kong.  We think the relevant licence would be a PNETS licence.</w:t>
      </w:r>
    </w:p>
    <w:p>
      <w:pPr>
        <w:pStyle w:val="Normal"/>
        <w:numPr>
          <w:ilvl w:val="0"/>
          <w:numId w:val="46"/>
        </w:numPr>
        <w:tabs>
          <w:tab w:val="clear" w:pos="720"/>
        </w:tabs>
        <w:ind w:hanging="709" w:start="1333" w:end="0"/>
        <w:rPr/>
      </w:pPr>
      <w:r>
        <w:rPr/>
        <w:t>A Network Operator of a Network in Hong Kong will require a telecommunications licence if the nature of the "Network" is such that it constitutes a "means of telecommunication", the establishment or maintenance of which requires a licence under the Telecommunication Ordinance.  The type of licence would depend on the nature of the means of telecommunication, or the nature of the telecommunication service involved.</w:t>
      </w:r>
    </w:p>
    <w:p>
      <w:pPr>
        <w:pStyle w:val="Normal"/>
        <w:numPr>
          <w:ilvl w:val="0"/>
          <w:numId w:val="46"/>
        </w:numPr>
        <w:tabs>
          <w:tab w:val="clear" w:pos="720"/>
        </w:tabs>
        <w:ind w:hanging="709" w:start="1333" w:end="0"/>
        <w:rPr/>
      </w:pPr>
      <w:r>
        <w:rPr/>
        <w:t xml:space="preserve">A Network Operator wishing to connect its Network to the Pooling Point in Hong Kong would not require a telecommunications licence for the connection of the Network to the Pooling Point </w:t>
      </w:r>
      <w:r>
        <w:rPr>
          <w:i/>
        </w:rPr>
        <w:t>per se</w:t>
      </w:r>
      <w:r>
        <w:rPr/>
        <w:t>.  We would expect the Pooling Point Developer's licence and the Network Operator's licence (assuming the Network operator required a telecommunication licence) to permit the connection and associated services.</w:t>
      </w:r>
    </w:p>
    <w:p>
      <w:pPr>
        <w:pStyle w:val="Normal"/>
        <w:numPr>
          <w:ilvl w:val="0"/>
          <w:numId w:val="46"/>
        </w:numPr>
        <w:tabs>
          <w:tab w:val="clear" w:pos="720"/>
        </w:tabs>
        <w:ind w:hanging="709" w:start="1333" w:end="0"/>
        <w:rPr/>
      </w:pPr>
      <w:r>
        <w:rPr/>
        <w:t>As a general requirement, telecommunications licensees must be registered under the Companies Ordinance (Cap.32).  This means that the licensee must either be registered as an oversea company, or must be a Hong Kong incorporated company.</w:t>
      </w:r>
    </w:p>
    <w:p>
      <w:pPr>
        <w:pStyle w:val="Heading2"/>
        <w:ind w:hanging="0" w:start="0"/>
        <w:rPr>
          <w:kern w:val="2"/>
        </w:rPr>
      </w:pPr>
      <w:bookmarkStart w:id="8" w:name="__RefHeading___Toc470323619"/>
      <w:bookmarkEnd w:id="8"/>
      <w:r>
        <w:rPr>
          <w:kern w:val="2"/>
        </w:rPr>
        <w:t>Financial Services or Securities Regulation</w:t>
      </w:r>
    </w:p>
    <w:p>
      <w:pPr>
        <w:pStyle w:val="Normal"/>
        <w:numPr>
          <w:ilvl w:val="0"/>
          <w:numId w:val="16"/>
        </w:numPr>
        <w:tabs>
          <w:tab w:val="clear" w:pos="720"/>
        </w:tabs>
        <w:ind w:hanging="652" w:start="1276" w:end="0"/>
        <w:rPr>
          <w:kern w:val="2"/>
        </w:rPr>
      </w:pPr>
      <w:r>
        <w:rPr/>
        <w:t>The trading of Bandwidth would not be regarded as constituting the operation of a financial market or exchange under the current Hong Kong financial services regulatory regime.  However, you should note that the Hong Kong financial services regulatory regime is currently under review.  Please see Section 4.10 for further detail in this regard.</w:t>
      </w:r>
    </w:p>
    <w:p>
      <w:pPr>
        <w:pStyle w:val="Normal"/>
        <w:numPr>
          <w:ilvl w:val="0"/>
          <w:numId w:val="16"/>
        </w:numPr>
        <w:tabs>
          <w:tab w:val="clear" w:pos="720"/>
        </w:tabs>
        <w:ind w:hanging="652" w:start="1276" w:end="0"/>
        <w:rPr>
          <w:kern w:val="2"/>
        </w:rPr>
      </w:pPr>
      <w:r>
        <w:rPr/>
        <w:t>Subject to the assumptions and qualifications referred to in Section 4.6 below, section 6 of the Master Agreement/GTCs (which provides for the termination and liquidation of obligations) would be valid and effective under Hong Kong law in the event that an Event of Default (whether as a result of an Insolvency Proceeding or not) has occurred in relation to a Local Counterparty which is a company (as defined in Section 4.6.1).</w:t>
      </w:r>
    </w:p>
    <w:p>
      <w:pPr>
        <w:pStyle w:val="Heading2"/>
        <w:keepNext w:val="true"/>
        <w:ind w:hanging="0" w:start="0"/>
        <w:rPr>
          <w:kern w:val="2"/>
        </w:rPr>
      </w:pPr>
      <w:bookmarkStart w:id="9" w:name="__RefHeading___Toc470323620"/>
      <w:bookmarkEnd w:id="9"/>
      <w:r>
        <w:rPr>
          <w:kern w:val="2"/>
        </w:rPr>
        <w:t>Data Protection</w:t>
      </w:r>
    </w:p>
    <w:p>
      <w:pPr>
        <w:pStyle w:val="BodyText"/>
        <w:keepNext w:val="true"/>
        <w:numPr>
          <w:ilvl w:val="0"/>
          <w:numId w:val="42"/>
        </w:numPr>
        <w:tabs>
          <w:tab w:val="left" w:pos="1344" w:leader="none"/>
          <w:tab w:val="left" w:pos="1418" w:leader="none"/>
        </w:tabs>
        <w:ind w:hanging="720" w:start="1344" w:end="0"/>
        <w:rPr>
          <w:kern w:val="2"/>
        </w:rPr>
      </w:pPr>
      <w:r>
        <w:rPr>
          <w:kern w:val="2"/>
        </w:rPr>
        <w:t>ECI may record the telephone lines of its traders.  It should, however, obtain the consent of its traders and the Local Counterparty to their conversations being recorded.</w:t>
      </w:r>
    </w:p>
    <w:p>
      <w:pPr>
        <w:pStyle w:val="BodyText"/>
        <w:numPr>
          <w:ilvl w:val="0"/>
          <w:numId w:val="42"/>
        </w:numPr>
        <w:tabs>
          <w:tab w:val="left" w:pos="1344" w:leader="none"/>
          <w:tab w:val="left" w:pos="1418" w:leader="none"/>
        </w:tabs>
        <w:ind w:hanging="720" w:start="1344" w:end="0"/>
        <w:rPr>
          <w:kern w:val="2"/>
        </w:rPr>
      </w:pPr>
      <w:r>
        <w:rPr>
          <w:kern w:val="2"/>
        </w:rPr>
        <w:t>If ECI or the Local Counterparty collects, retains and uses any "data" which are "personal data" (as these terms are defined in the Personal Data (Privacy) Ordinance (see Question 1C(d)(i) below for the relevant definitions), then the Personal Data (Privacy) Ordinance shall regulate the collection, retention or use of such data.</w:t>
      </w:r>
    </w:p>
    <w:p>
      <w:pPr>
        <w:pStyle w:val="BodyText"/>
        <w:numPr>
          <w:ilvl w:val="0"/>
          <w:numId w:val="42"/>
        </w:numPr>
        <w:tabs>
          <w:tab w:val="left" w:pos="1344" w:leader="none"/>
          <w:tab w:val="left" w:pos="1418" w:leader="none"/>
        </w:tabs>
        <w:ind w:hanging="720" w:start="1344" w:end="0"/>
        <w:rPr>
          <w:kern w:val="2"/>
        </w:rPr>
      </w:pPr>
      <w:r>
        <w:rPr>
          <w:kern w:val="2"/>
        </w:rPr>
        <w:t>It is a criminal offence to fail to comply with an order of the Chief Executive in Council of Hong Kong (or his authorized gate) to intercept telecoms messages.</w:t>
      </w:r>
    </w:p>
    <w:p>
      <w:pPr>
        <w:pStyle w:val="Heading2"/>
        <w:ind w:hanging="0" w:start="0"/>
        <w:rPr>
          <w:kern w:val="2"/>
        </w:rPr>
      </w:pPr>
      <w:bookmarkStart w:id="10" w:name="__RefHeading___Toc470323621"/>
      <w:bookmarkEnd w:id="10"/>
      <w:r>
        <w:rPr>
          <w:kern w:val="2"/>
        </w:rPr>
        <w:t>Competition Law</w:t>
      </w:r>
    </w:p>
    <w:p>
      <w:pPr>
        <w:pStyle w:val="BodyText"/>
        <w:rPr/>
      </w:pPr>
      <w:r>
        <w:rPr/>
        <w:t xml:space="preserve">There is no general competition law in Hong Kong.  However, telecommunications licences generally contain conditions proscribing certain anti-competitive behaviour.  In addition, amendments expected to be made to the Telecommunication Ordinance next year will introduce provisions proscribing certain anti-competitive conduct into primary telecommunications legislation. </w:t>
      </w:r>
    </w:p>
    <w:p>
      <w:pPr>
        <w:pStyle w:val="Heading1"/>
        <w:ind w:hanging="0" w:start="0"/>
        <w:rPr/>
      </w:pPr>
      <w:bookmarkStart w:id="11" w:name="__RefHeading___Toc470323622"/>
      <w:bookmarkEnd w:id="11"/>
      <w:r>
        <w:rPr>
          <w:kern w:val="2"/>
        </w:rPr>
        <w:t>SECTION 1 - BANDWIDTH TRADING TRANSACTIONS</w:t>
      </w:r>
    </w:p>
    <w:p>
      <w:pPr>
        <w:pStyle w:val="Heading2"/>
        <w:ind w:hanging="0" w:start="0"/>
        <w:rPr>
          <w:kern w:val="2"/>
        </w:rPr>
      </w:pPr>
      <w:bookmarkStart w:id="12" w:name="__RefHeading___Toc470323623"/>
      <w:bookmarkEnd w:id="12"/>
      <w:r>
        <w:rPr/>
        <w:t>Assumptions</w:t>
      </w:r>
    </w:p>
    <w:p>
      <w:pPr>
        <w:pStyle w:val="BodyText"/>
        <w:rPr>
          <w:kern w:val="2"/>
        </w:rPr>
      </w:pPr>
      <w:r>
        <w:rPr>
          <w:kern w:val="2"/>
        </w:rPr>
        <w:t>You have asked us to assume for the purposes of this section that:</w:t>
      </w:r>
    </w:p>
    <w:p>
      <w:pPr>
        <w:pStyle w:val="Normal"/>
        <w:numPr>
          <w:ilvl w:val="0"/>
          <w:numId w:val="24"/>
        </w:numPr>
        <w:spacing w:before="0" w:after="240"/>
        <w:rPr/>
      </w:pPr>
      <w:r>
        <w:rPr/>
        <w:t>each Local Counterparty is either incorporated, or has a branch or other presence, in Hong Kong;</w:t>
      </w:r>
    </w:p>
    <w:p>
      <w:pPr>
        <w:pStyle w:val="ListAlpha2"/>
        <w:numPr>
          <w:ilvl w:val="0"/>
          <w:numId w:val="24"/>
        </w:numPr>
        <w:spacing w:before="0" w:after="240"/>
        <w:rPr/>
      </w:pPr>
      <w:r>
        <w:rPr/>
        <w:t>ECI is not incorporated in Hong Kong and does not have a branch or other presence in Hong Kong;</w:t>
      </w:r>
    </w:p>
    <w:p>
      <w:pPr>
        <w:pStyle w:val="Normal"/>
        <w:numPr>
          <w:ilvl w:val="0"/>
          <w:numId w:val="24"/>
        </w:numPr>
        <w:spacing w:before="0" w:after="240"/>
        <w:rPr/>
      </w:pPr>
      <w:r>
        <w:rPr/>
        <w:t>either or both of ECI or a Local Counterparty may or may not be owners or operators of any telecommunications networks, equipment, facilities or circuits or providers of telecommunications services located in Hong Kong or elsewhere;</w:t>
      </w:r>
    </w:p>
    <w:p>
      <w:pPr>
        <w:pStyle w:val="Normal"/>
        <w:numPr>
          <w:ilvl w:val="0"/>
          <w:numId w:val="24"/>
        </w:numPr>
        <w:spacing w:before="0" w:after="240"/>
        <w:rPr/>
      </w:pPr>
      <w:r>
        <w:rPr/>
        <w:t>occasionally representatives of ECI may visit potential or actual Local Counterparties in Hong Kong with a view to marketing the concept of the Transactions to such Local Counterparties and with a view to soliciting such Local Counterparties to enter into the Transactions;</w:t>
      </w:r>
    </w:p>
    <w:p>
      <w:pPr>
        <w:pStyle w:val="Normal"/>
        <w:numPr>
          <w:ilvl w:val="0"/>
          <w:numId w:val="24"/>
        </w:numPr>
        <w:spacing w:before="0" w:after="240"/>
        <w:rPr/>
      </w:pPr>
      <w:r>
        <w:rPr/>
        <w:t xml:space="preserve">the Transactions are in respect of a Segment which is between specific addresses each of which is located </w:t>
      </w:r>
      <w:r>
        <w:rPr>
          <w:i/>
        </w:rPr>
        <w:t>outside</w:t>
      </w:r>
      <w:r>
        <w:rPr/>
        <w:t xml:space="preserve"> of Hong Kong; and </w:t>
      </w:r>
    </w:p>
    <w:p>
      <w:pPr>
        <w:pStyle w:val="Normal"/>
        <w:numPr>
          <w:ilvl w:val="0"/>
          <w:numId w:val="24"/>
        </w:numPr>
        <w:spacing w:before="0" w:after="240"/>
        <w:rPr/>
      </w:pPr>
      <w:r>
        <w:rPr/>
        <w:t>the Local Counterparties may be corporations or partnerships, utilities, municipalities, government-owned entities or financial institutions, but they will not be individuals.</w:t>
      </w:r>
    </w:p>
    <w:p>
      <w:pPr>
        <w:pStyle w:val="Heading2"/>
        <w:ind w:hanging="0" w:start="0"/>
        <w:rPr/>
      </w:pPr>
      <w:bookmarkStart w:id="13" w:name="__RefHeading___Toc470323624"/>
      <w:r>
        <w:rPr/>
        <w:t>Section 1A:  Licensing and Organisation</w:t>
      </w:r>
      <w:bookmarkEnd w:id="13"/>
      <w:r>
        <w:rPr/>
        <w:t xml:space="preserve"> </w:t>
      </w:r>
    </w:p>
    <w:p>
      <w:pPr>
        <w:pStyle w:val="BodyText"/>
        <w:rPr/>
      </w:pPr>
      <w:r>
        <w:rPr/>
        <w:t>As you have highlighted telecommunications regulation as a key area of concern and interest, we have included in this Report a short section setting out an overview of the telecommunications regulatory regime in Hong Kong.</w:t>
      </w:r>
    </w:p>
    <w:p>
      <w:pPr>
        <w:pStyle w:val="BodyText"/>
        <w:rPr>
          <w:b/>
          <w:i/>
          <w:i/>
        </w:rPr>
      </w:pPr>
      <w:r>
        <w:rPr>
          <w:b/>
          <w:i/>
        </w:rPr>
        <w:t>Overview of the telecommunications regulatory regime</w:t>
      </w:r>
    </w:p>
    <w:p>
      <w:pPr>
        <w:pStyle w:val="BodyText"/>
        <w:rPr>
          <w:b/>
          <w:i/>
          <w:i/>
        </w:rPr>
      </w:pPr>
      <w:r>
        <w:rPr/>
        <w:t>Hong Kong has one of the most liberalised telecommunications sectors in the world. As a result of the Government's policy of liberalisation, there are now numerous participants in the market, but it is still fair to say that Cable &amp; Wireless HKT Limited (previously called Hongkong Telecommunications Ltd.), through various subsidiaries, is the dominant player in the Hong Kong telecommunications sector.  It is unusual among former monopoly providers in that it has never been a government-owned utility.  It is a privately owned and publicly listed company, its major shareholders being Cable &amp; Wireless which currently holds approximately 54% and China Telecom (Hong Kong) Group Limited which currently holds approximately 11%.</w:t>
      </w:r>
    </w:p>
    <w:p>
      <w:pPr>
        <w:pStyle w:val="BodyText"/>
        <w:rPr/>
      </w:pPr>
      <w:r>
        <w:rPr/>
        <w:t xml:space="preserve">Telecommunications regulation in Hong Kong is embodied in statutory enactments, subsidiary legislation, and various policy statements and guidelines.  </w:t>
      </w:r>
    </w:p>
    <w:p>
      <w:pPr>
        <w:pStyle w:val="BodyText"/>
        <w:rPr/>
      </w:pPr>
      <w:r>
        <w:rPr/>
        <w:t>The principal statute regulating telecommunications in Hong Kong is the Telecommunication Ordinance (Cap 106) ("</w:t>
      </w:r>
      <w:r>
        <w:rPr>
          <w:b/>
        </w:rPr>
        <w:t>Telecommunication Ordinance</w:t>
      </w:r>
      <w:r>
        <w:rPr/>
        <w:t>").  The Telecommunication Ordinance provides for the licensing and control of telecommunications, telecommunication services and telecommunication apparatus and equipment. The Telecommunication Regulations (Cap. 106 sub.leg. A) ("</w:t>
      </w:r>
      <w:r>
        <w:rPr>
          <w:b/>
        </w:rPr>
        <w:t>Telecommunication Regulations</w:t>
      </w:r>
      <w:r>
        <w:rPr/>
        <w:t>") made pursuant to the Telecommunication Ordinance, set out the forms of licences which may be issued and contains a number of provisions relating to such licences.  There are various other regulations and orders issued pursuant to the Telecommunication Ordinance.</w:t>
      </w:r>
    </w:p>
    <w:p>
      <w:pPr>
        <w:pStyle w:val="BodyText"/>
        <w:rPr/>
      </w:pPr>
      <w:r>
        <w:rPr/>
        <w:t>The Telecommunication Ordinance is scheduled to be amended in 2000, when the Telecommunication (Amendment) Bill 1999 ("</w:t>
      </w:r>
      <w:r>
        <w:rPr>
          <w:b/>
        </w:rPr>
        <w:t>Telecommunication Bill</w:t>
      </w:r>
      <w:r>
        <w:rPr/>
        <w:t>") is enacted.  The purpose of the amendments set out in the Telecommunication Bill  is to reinforce the existing framework by, for example:</w:t>
      </w:r>
    </w:p>
    <w:p>
      <w:pPr>
        <w:pStyle w:val="ListAlpha3"/>
        <w:numPr>
          <w:ilvl w:val="0"/>
          <w:numId w:val="23"/>
        </w:numPr>
        <w:rPr/>
      </w:pPr>
      <w:r>
        <w:rPr/>
        <w:t>giving the Telecommunications Authority formal legal power in certain areas which to date have not been specifically legislated for, such as technical standards and allocation of radio spectrum;</w:t>
      </w:r>
    </w:p>
    <w:p>
      <w:pPr>
        <w:pStyle w:val="ListAlpha3"/>
        <w:numPr>
          <w:ilvl w:val="0"/>
          <w:numId w:val="23"/>
        </w:numPr>
        <w:rPr/>
      </w:pPr>
      <w:r>
        <w:rPr/>
        <w:t>improving the competition provisions by enacting as primary legislation the content of certain licence conditions designed to promote competition in the sector (see Section 1I(c) below);</w:t>
      </w:r>
    </w:p>
    <w:p>
      <w:pPr>
        <w:pStyle w:val="ListAlpha3"/>
        <w:numPr>
          <w:ilvl w:val="0"/>
          <w:numId w:val="23"/>
        </w:numPr>
        <w:rPr/>
      </w:pPr>
      <w:r>
        <w:rPr/>
        <w:t>clarifying, consolidating and updating various other parts of the existing Ordinance (for example, licensing).</w:t>
      </w:r>
    </w:p>
    <w:p>
      <w:pPr>
        <w:pStyle w:val="BodyText"/>
        <w:rPr/>
      </w:pPr>
      <w:r>
        <w:rPr/>
        <w:t>A number of consequential amendments to existing legislation are also covered by the Telecommunication Bill, for example, the repeal of the Telephone Ordinance (Cap. 269) which regulates the Hong Kong telecommunications numbering plan (which following the enactment of the Telecommunications Bill will be regulated under the Telecommunication Ordinance).</w:t>
      </w:r>
    </w:p>
    <w:p>
      <w:pPr>
        <w:pStyle w:val="BodyText"/>
        <w:rPr/>
      </w:pPr>
      <w:r>
        <w:rPr/>
        <w:t>The Telecommunications Authority ("</w:t>
      </w:r>
      <w:r>
        <w:rPr>
          <w:b/>
        </w:rPr>
        <w:t>TA</w:t>
      </w:r>
      <w:r>
        <w:rPr/>
        <w:t xml:space="preserve">"), who concurrently is the Director-General of Telecommunications, is appointed under the Telecommunication Ordinance and has overall responsibility for telecommunications regulation in Hong Kong as it is set out in that Ordinance, in the Telephone Ordinance and in various other legislation and statutory instruments.  </w:t>
      </w:r>
    </w:p>
    <w:p>
      <w:pPr>
        <w:pStyle w:val="BodyText"/>
        <w:rPr/>
      </w:pPr>
      <w:r>
        <w:rPr/>
        <w:t>The Office of the Telecommunications Authority ("</w:t>
      </w:r>
      <w:r>
        <w:rPr>
          <w:b/>
        </w:rPr>
        <w:t>OFTA</w:t>
      </w:r>
      <w:r>
        <w:rPr/>
        <w:t>") serves as the TA’s executive arm.  OFTA came into being on 1 July 1993 in recognition of the fact that an independent regulatory body would be necessary to further the Hong Kong Government’s aim of increasing competition in the sector, and took over the tasks previously performed by the Telecommunications Branch of the Post Office.  The TA's general responsibilities include:</w:t>
      </w:r>
    </w:p>
    <w:p>
      <w:pPr>
        <w:pStyle w:val="BodyText"/>
        <w:numPr>
          <w:ilvl w:val="0"/>
          <w:numId w:val="8"/>
        </w:numPr>
        <w:rPr/>
      </w:pPr>
      <w:r>
        <w:rPr/>
        <w:t>issue of licences;</w:t>
      </w:r>
    </w:p>
    <w:p>
      <w:pPr>
        <w:pStyle w:val="BodyText"/>
        <w:numPr>
          <w:ilvl w:val="0"/>
          <w:numId w:val="8"/>
        </w:numPr>
        <w:rPr/>
      </w:pPr>
      <w:r>
        <w:rPr/>
        <w:t>determination of terms of interconnection;</w:t>
      </w:r>
    </w:p>
    <w:p>
      <w:pPr>
        <w:pStyle w:val="BodyText"/>
        <w:numPr>
          <w:ilvl w:val="0"/>
          <w:numId w:val="8"/>
        </w:numPr>
        <w:rPr/>
      </w:pPr>
      <w:r>
        <w:rPr/>
        <w:t>promotion of fair and efficient market conduct in the telecommunications sector;</w:t>
      </w:r>
    </w:p>
    <w:p>
      <w:pPr>
        <w:pStyle w:val="BodyText"/>
        <w:numPr>
          <w:ilvl w:val="0"/>
          <w:numId w:val="8"/>
        </w:numPr>
        <w:rPr/>
      </w:pPr>
      <w:r>
        <w:rPr/>
        <w:t>management of the frequency spectrum;</w:t>
      </w:r>
    </w:p>
    <w:p>
      <w:pPr>
        <w:pStyle w:val="BodyText"/>
        <w:numPr>
          <w:ilvl w:val="0"/>
          <w:numId w:val="8"/>
        </w:numPr>
        <w:rPr/>
      </w:pPr>
      <w:r>
        <w:rPr/>
        <w:t>development of technical standards and customer equipment testing; and</w:t>
      </w:r>
    </w:p>
    <w:p>
      <w:pPr>
        <w:pStyle w:val="BodyText"/>
        <w:numPr>
          <w:ilvl w:val="0"/>
          <w:numId w:val="8"/>
        </w:numPr>
        <w:rPr/>
      </w:pPr>
      <w:r>
        <w:rPr/>
        <w:t>protection of consumer interests.</w:t>
      </w:r>
    </w:p>
    <w:p>
      <w:pPr>
        <w:pStyle w:val="BodyText"/>
        <w:rPr/>
      </w:pPr>
      <w:r>
        <w:rPr/>
        <w:t>The Telecommunication Ordinance provides that a licence is required for the establishment or maintenance of any means of telecommunication in Hong Kong (see our answer to Question 1A(a)(ii) below for more detail).  Licences may be issued either by the Chief Executive in Council of Hong Kong or the TA, who is authorised to issue licences specified in the Telecommunication Regulations.  Such licences may also authorise the licensee to establish and maintain such ancillary or associated telecommunication services as the TA thinks fit. Under section 34(4) of the Telecommunication Ordinance, any licence may at any time be cancelled or withdrawn by the authority which granted the licence, or suspended by that authority for a period not exceeding 12 months, if the licensee breaches a condition of the licence.  The Chief Executive may also cancel or suspend a licence at any time if he considers that this is required in the public interest.</w:t>
      </w:r>
    </w:p>
    <w:p>
      <w:pPr>
        <w:pStyle w:val="BodyText"/>
        <w:rPr/>
      </w:pPr>
      <w:r>
        <w:rPr/>
        <w:t>Various types of licences have been issued and/or are shortly to be available under the Telecommunication Ordinance.  The major categories of licences are as follows:</w:t>
      </w:r>
    </w:p>
    <w:p>
      <w:pPr>
        <w:pStyle w:val="BodyText2"/>
        <w:numPr>
          <w:ilvl w:val="0"/>
          <w:numId w:val="25"/>
        </w:numPr>
        <w:rPr/>
      </w:pPr>
      <w:r>
        <w:rPr>
          <w:b/>
        </w:rPr>
        <w:t>Fixed Telecommunication Network Services ("FTNS") licence</w:t>
      </w:r>
      <w:r>
        <w:rPr/>
        <w:t>, under which licensees are authorised to establish and maintain domestic fixed line telecommunication networks in Hong Kong.  At present there are four FTNS licensees in Hong Kong</w:t>
      </w:r>
      <w:r>
        <w:rPr>
          <w:rStyle w:val="FootnoteCharacters"/>
          <w:rStyle w:val="FootnoteReference"/>
        </w:rPr>
        <w:footnoteReference w:id="2"/>
      </w:r>
      <w:r>
        <w:rPr/>
        <w:t>, following the liberalisation of domestic fixed line telecommunications in 1995.  The Government has announced a moratorium on the issuance of further wireline FTNS licences until 31 December 2002.</w:t>
      </w:r>
      <w:r>
        <w:rPr>
          <w:rStyle w:val="FootnoteCharacters"/>
          <w:rStyle w:val="FootnoteReference"/>
        </w:rPr>
        <w:footnoteReference w:id="3"/>
      </w:r>
      <w:r>
        <w:rPr/>
        <w:t xml:space="preserve"> </w:t>
      </w:r>
    </w:p>
    <w:p>
      <w:pPr>
        <w:pStyle w:val="BodyText2"/>
        <w:numPr>
          <w:ilvl w:val="0"/>
          <w:numId w:val="25"/>
        </w:numPr>
        <w:rPr/>
      </w:pPr>
      <w:r>
        <w:rPr>
          <w:b/>
        </w:rPr>
        <w:t>Public Radiocommunication Services ("PRS") licence</w:t>
      </w:r>
      <w:r>
        <w:rPr/>
        <w:t xml:space="preserve">, which covers the establishment and maintenance of public mobile communications networks in Hong Kong as well as public radiocommunication services such as paging, trunked radio services and public mobile data services.  </w:t>
      </w:r>
    </w:p>
    <w:p>
      <w:pPr>
        <w:pStyle w:val="BodyText2"/>
        <w:numPr>
          <w:ilvl w:val="0"/>
          <w:numId w:val="43"/>
        </w:numPr>
        <w:tabs>
          <w:tab w:val="clear" w:pos="720"/>
          <w:tab w:val="left" w:pos="1778" w:leader="none"/>
        </w:tabs>
        <w:ind w:hanging="360" w:start="1778" w:end="0"/>
        <w:rPr/>
      </w:pPr>
      <w:r>
        <w:rPr/>
        <w:t xml:space="preserve">In relation to </w:t>
      </w:r>
      <w:r>
        <w:rPr>
          <w:b/>
          <w:i/>
        </w:rPr>
        <w:t>public mobile communications networks</w:t>
      </w:r>
      <w:r>
        <w:rPr/>
        <w:t xml:space="preserve"> (e.g. cellular networks), due to technical and spectrum availability restrictions, only a limited number of licences can be granted.  The TA's normal practice is to invite applications for such licences, and there have been two rounds of mobile communications licensing in Hong Kong since liberalisation commenced in 1985.  Five cellular licences were issued initially, and following a personal communications services ("</w:t>
      </w:r>
      <w:r>
        <w:rPr>
          <w:b/>
        </w:rPr>
        <w:t>PCS</w:t>
      </w:r>
      <w:r>
        <w:rPr/>
        <w:t xml:space="preserve">") licensing round in 1996, six additional licences were issued. </w:t>
      </w:r>
    </w:p>
    <w:p>
      <w:pPr>
        <w:pStyle w:val="BodyText2"/>
        <w:numPr>
          <w:ilvl w:val="0"/>
          <w:numId w:val="43"/>
        </w:numPr>
        <w:tabs>
          <w:tab w:val="clear" w:pos="720"/>
          <w:tab w:val="left" w:pos="1778" w:leader="none"/>
        </w:tabs>
        <w:ind w:hanging="360" w:start="1778" w:end="0"/>
        <w:rPr/>
      </w:pPr>
      <w:r>
        <w:rPr/>
        <w:t xml:space="preserve">In relation to </w:t>
      </w:r>
      <w:r>
        <w:rPr>
          <w:b/>
          <w:i/>
        </w:rPr>
        <w:t>public radiocommunication services</w:t>
      </w:r>
      <w:r>
        <w:rPr/>
        <w:t xml:space="preserve">, at present, applications may be filed at any time with the TA for the types of public radiocommunication services mentioned above.  These licences are non-exclusive, and generally, the only limitation on the number of such licences is spectrum availability. </w:t>
      </w:r>
    </w:p>
    <w:p>
      <w:pPr>
        <w:pStyle w:val="BodyText2"/>
        <w:numPr>
          <w:ilvl w:val="0"/>
          <w:numId w:val="25"/>
        </w:numPr>
        <w:rPr/>
      </w:pPr>
      <w:r>
        <w:rPr>
          <w:b/>
        </w:rPr>
        <w:t xml:space="preserve">Public Non-Exclusive Telecommunications Service ("PNETS") licence, </w:t>
      </w:r>
      <w:r>
        <w:rPr/>
        <w:t>a</w:t>
      </w:r>
      <w:r>
        <w:rPr>
          <w:b/>
        </w:rPr>
        <w:t xml:space="preserve"> </w:t>
      </w:r>
      <w:r>
        <w:rPr/>
        <w:t xml:space="preserve">licence category which has been used by OFTA to cover the provision of a number of different value added telecommunications services where the service provider provides the service to the public using the network of a licensed operator.  In practice, the PNETS licence is also used as a "sweep-up" licence category, where a licence is required by virtue of the Telecommunication Ordinance but where the existing categories are not applicable to the means of telecommunications or telecommunications service for which the licence is required.  Examples include: </w:t>
      </w:r>
    </w:p>
    <w:p>
      <w:pPr>
        <w:pStyle w:val="squarebullet"/>
        <w:numPr>
          <w:ilvl w:val="0"/>
          <w:numId w:val="33"/>
        </w:numPr>
        <w:tabs>
          <w:tab w:val="clear" w:pos="720"/>
          <w:tab w:val="left" w:pos="1778" w:leader="none"/>
        </w:tabs>
        <w:ind w:hanging="360" w:start="1778" w:end="0"/>
        <w:rPr/>
      </w:pPr>
      <w:r>
        <w:rPr>
          <w:b/>
          <w:i/>
        </w:rPr>
        <w:t>Virtual private network ("VPN") services</w:t>
      </w:r>
      <w:r>
        <w:rPr/>
        <w:t>: the VPN service enables a customer of the licensee to establish a private network over the service for the purposes of telecommunications between members of the same corporate group as the customer, or of the organisation of which the customer is a member, and made in the course of the business of that corporate group or in pursuance of the common interest of that organisation.  The connection to the service must be through dedicated circuits, except that the party at the Hong Kong end may access the service through the PSTN provided that the overseas party is connected to the service through a dedicated circuit, or vice versa, and provided that certain other requirements are met.  The licence does not authorise the provision of external public telephone service or the provision of external dedicated and leased circuits to customers.</w:t>
      </w:r>
    </w:p>
    <w:p>
      <w:pPr>
        <w:pStyle w:val="squarebullet"/>
        <w:numPr>
          <w:ilvl w:val="0"/>
          <w:numId w:val="33"/>
        </w:numPr>
        <w:tabs>
          <w:tab w:val="clear" w:pos="720"/>
          <w:tab w:val="left" w:pos="1778" w:leader="none"/>
        </w:tabs>
        <w:ind w:hanging="360" w:start="1778" w:end="0"/>
        <w:rPr/>
      </w:pPr>
      <w:r>
        <w:rPr>
          <w:b/>
          <w:i/>
        </w:rPr>
        <w:t>International value-added network ("IVAN") services</w:t>
      </w:r>
      <w:r>
        <w:rPr/>
        <w:t>: the IVAN service is a local and/or external (i.e. for communication to places outside Hong Kong) public telecommunication service provided over circuits supplied by public telecommunications networks and/or via licensed public telecommunication services.  IVAN services may include data, facsimile electronic mailbox/messaging, electronic data interchange, code, protocol and/or format conversions, database access and retrieval.  Where international private leased circuits ("</w:t>
      </w:r>
      <w:r>
        <w:rPr>
          <w:b/>
        </w:rPr>
        <w:t>IPLCs</w:t>
      </w:r>
      <w:r>
        <w:rPr/>
        <w:t xml:space="preserve">") are used to provide the service, value-added voice services (for example voice mailbox and audiotex services) may be provided as an IVAN service over an IPLC.  The IVAN service licence does not authorise basic voice, telex or simple resale. </w:t>
      </w:r>
    </w:p>
    <w:p>
      <w:pPr>
        <w:pStyle w:val="squarebullet"/>
        <w:numPr>
          <w:ilvl w:val="0"/>
          <w:numId w:val="33"/>
        </w:numPr>
        <w:tabs>
          <w:tab w:val="clear" w:pos="720"/>
          <w:tab w:val="left" w:pos="1778" w:leader="none"/>
        </w:tabs>
        <w:ind w:hanging="360" w:start="1778" w:end="0"/>
        <w:rPr/>
      </w:pPr>
      <w:r>
        <w:rPr>
          <w:b/>
          <w:i/>
        </w:rPr>
        <w:t>International simple resale ("ISR") for facsimile and data services</w:t>
      </w:r>
      <w:r>
        <w:rPr/>
        <w:t>:  this is an external public switched non-telephonic (i.e. not real-time, two-way speech communications) service operated over IPLCs provided by an FTNS licensee or over other external switched non-telephonic telecommunication services lawfully operated over IPLCs supplied by an FTNS licensee.  The ISR for facsimile and data service licence does not permit the provision of real-time, two-way speech communication, a telecommunication service routed in transit via Hong Kong (unless the TA has approved this in writing) or the provision to customers of a circuit between any termination point in Hong Kong and one or more points outside Hong Kong.</w:t>
      </w:r>
    </w:p>
    <w:p>
      <w:pPr>
        <w:pStyle w:val="squarebullet"/>
        <w:numPr>
          <w:ilvl w:val="0"/>
          <w:numId w:val="33"/>
        </w:numPr>
        <w:tabs>
          <w:tab w:val="clear" w:pos="720"/>
          <w:tab w:val="left" w:pos="1778" w:leader="none"/>
        </w:tabs>
        <w:ind w:hanging="360" w:start="1778" w:end="0"/>
        <w:rPr>
          <w:b/>
          <w:i/>
          <w:i/>
        </w:rPr>
      </w:pPr>
      <w:r>
        <w:rPr>
          <w:b/>
          <w:i/>
        </w:rPr>
        <w:t>External telecommunications services</w:t>
      </w:r>
      <w:r>
        <w:rPr/>
        <w:t xml:space="preserve">: this licence authorises the provision of an external public telecommunications service (voice, facsimile and/or data) over external leased circuits supplied by an FTNS licensee authorised to supply external leased circuits or over other external switched telecommunication services licensed in Hong Kong.  The licensed service may be operated through the ISR of external leased circuits, Internet services, callback services, other ISR services, other public switched data communications services, or on the gateways of FTNS operators for external public telephone services, provided these services are operated in compliance with their relevant licences.  The licensed service does not include the provision of a telecommunication service routed in transit via Hong Kong (unless the TA has approved this in writing) or the provision to customers of a circuit between any point in point and one or more points outside Hong Kong. </w:t>
      </w:r>
    </w:p>
    <w:p>
      <w:pPr>
        <w:pStyle w:val="squarebullet"/>
        <w:numPr>
          <w:ilvl w:val="0"/>
          <w:numId w:val="33"/>
        </w:numPr>
        <w:tabs>
          <w:tab w:val="clear" w:pos="720"/>
          <w:tab w:val="left" w:pos="1778" w:leader="none"/>
        </w:tabs>
        <w:ind w:hanging="360" w:start="1778" w:end="0"/>
        <w:rPr>
          <w:b/>
          <w:i/>
          <w:i/>
        </w:rPr>
      </w:pPr>
      <w:r>
        <w:rPr>
          <w:b/>
          <w:i/>
        </w:rPr>
        <w:t>Internet services</w:t>
      </w:r>
      <w:r>
        <w:rPr/>
        <w:t xml:space="preserve">: Internet services providers are licensed under an IVAN services-type of PNETS licence.  Please see above description of IVAN services. </w:t>
      </w:r>
    </w:p>
    <w:p>
      <w:pPr>
        <w:pStyle w:val="BodyText2"/>
        <w:numPr>
          <w:ilvl w:val="0"/>
          <w:numId w:val="25"/>
        </w:numPr>
        <w:rPr>
          <w:i/>
          <w:i/>
        </w:rPr>
      </w:pPr>
      <w:r>
        <w:rPr>
          <w:b/>
        </w:rPr>
        <w:t>External Fixed Telecommunication Network Services ("EFTNS") licence</w:t>
      </w:r>
      <w:r>
        <w:rPr/>
        <w:t xml:space="preserve"> - OFTA is currently considering proposals received from a number of applicants in relation to the grant of EFTNS licences.  Historically, all external telecommunication circuits and services were provided by Hong Kong Telecom International Limited ("HKTI" - now called Cable &amp; Wireless HKT International Limited) under an exclusive licence.  However, as a result of an agreement between the Government and Cable &amp; Wireless HKT Limited on the early termination of the exclusive licence of HKTI, HKTI’s exclusivity in relation to external telecommunications services ended with effect from 1 January 1999, and in respect of external telecommunication facilities will end with effect from 1 January 2000.</w:t>
      </w:r>
      <w:r>
        <w:rPr>
          <w:rStyle w:val="FootnoteCharacters"/>
          <w:rStyle w:val="FootnoteReference"/>
        </w:rPr>
        <w:footnoteReference w:id="4"/>
      </w:r>
      <w:r>
        <w:rPr/>
        <w:t xml:space="preserve">  The new EFTNS licences are expected to be issued in early 2000, and will cover external telecommunications facilities based on submarine or land cables or on non-cable-based facilities.</w:t>
      </w:r>
    </w:p>
    <w:p>
      <w:pPr>
        <w:pStyle w:val="BodyText2"/>
        <w:numPr>
          <w:ilvl w:val="0"/>
          <w:numId w:val="25"/>
        </w:numPr>
        <w:rPr>
          <w:i/>
          <w:i/>
        </w:rPr>
      </w:pPr>
      <w:r>
        <w:rPr>
          <w:b/>
        </w:rPr>
        <w:t>Self-Provided External Telecommunication System ("SPETS") licence</w:t>
      </w:r>
      <w:r>
        <w:rPr/>
        <w:t>.  SPETS licensees are authorised to self-provide external circuits for the transmission and reception of their own telecommunication messages to or from Hong Kong.  The SPETS licensee may not operate any public telecommunications service in Hong Kong by virtue only of holding a SPETS licence.  If the licensee is a company, the licensed system may be used only for intra-corporate messaging.  If the licensee is an organisation (a group of persons, businesses or companies engaged in a common business/activity which group was formed for the purpose of furthering such common business/activity), the licensed system may be used only for messages relating to the common business/activity.  The messages may include sound, data, text and images.  Connection to the PSTN is not permitted and if the licensed system needs to be connected between various points in Hong Kong, the SPETS licensee should try to use leased circuits provided by FTNS licensees (installation of local cable by the SPETS licensee will be permitted only in exceptional circumstances).</w:t>
      </w:r>
      <w:r>
        <w:rPr>
          <w:rStyle w:val="FootnoteCharacters"/>
          <w:rStyle w:val="FootnoteReference"/>
        </w:rPr>
        <w:footnoteReference w:id="5"/>
      </w:r>
      <w:r>
        <w:rPr/>
        <w:t xml:space="preserve"> </w:t>
      </w:r>
    </w:p>
    <w:p>
      <w:pPr>
        <w:pStyle w:val="BodyText"/>
        <w:rPr/>
      </w:pPr>
      <w:r>
        <w:rPr/>
        <w:t>There are no foreign ownership restrictions for telecommunications licensees in Hong Kong.</w:t>
      </w:r>
    </w:p>
    <w:p>
      <w:pPr>
        <w:pStyle w:val="BodyText"/>
        <w:ind w:hanging="816" w:start="1440" w:end="0"/>
        <w:rPr/>
      </w:pPr>
      <w:r>
        <w:rPr/>
        <w:t>(a)(i)</w:t>
        <w:tab/>
      </w:r>
      <w:r>
        <w:rPr>
          <w:b/>
          <w:i/>
        </w:rPr>
        <w:t>How would the Transactions fall to be examined or categorised under the telecoms regulatory regime in Hong Kong and what would be the impact of such categorisation?</w:t>
      </w:r>
    </w:p>
    <w:p>
      <w:pPr>
        <w:pStyle w:val="BodyText2"/>
        <w:rPr/>
      </w:pPr>
      <w:r>
        <w:rPr/>
        <w:t>The telecommunications regulatory regime in Hong Kong is concerned with the licensing and control of telecommunications, telecommunications services and telecommunications apparatus and equipment.</w:t>
      </w:r>
    </w:p>
    <w:p>
      <w:pPr>
        <w:pStyle w:val="BodyText2"/>
        <w:rPr/>
      </w:pPr>
      <w:r>
        <w:rPr/>
        <w:t>The Transactions themselves would be regarded simply as commercial contracts for the purposes of telecommunications regulation.  They would not be regulated or otherwise "categorised" under the Hong Kong telecommunications regulatory regime, except insofar as they involve the establishment or maintenance of any means of telecommunications (see below paragraph (a)(ii)).</w:t>
      </w:r>
    </w:p>
    <w:p>
      <w:pPr>
        <w:pStyle w:val="BodyText"/>
        <w:ind w:hanging="794" w:start="1418" w:end="0"/>
        <w:rPr/>
      </w:pPr>
      <w:r>
        <w:rPr/>
        <w:t>(a)(ii)</w:t>
        <w:tab/>
      </w:r>
      <w:r>
        <w:rPr>
          <w:b/>
          <w:i/>
        </w:rPr>
        <w:t>What forms of telecommunications licences would be required, if any, by either or both of ECI and Local Counterparty in respect of the Transactions and how would these be obtained?</w:t>
      </w:r>
    </w:p>
    <w:p>
      <w:pPr>
        <w:pStyle w:val="BodyText2"/>
        <w:rPr/>
      </w:pPr>
      <w:r>
        <w:rPr/>
        <w:t>Section 8(1) of the Telecommunication Ordinance (Cap. 106) ("</w:t>
      </w:r>
      <w:r>
        <w:rPr>
          <w:b/>
        </w:rPr>
        <w:t>Telecommunication Ordinance</w:t>
      </w:r>
      <w:r>
        <w:rPr/>
        <w:t>") provides that a telecommunication licence is required if a person in Hong Kong (i) establishes or maintains any means of telecommunication, (ii) possesses or uses any apparatus for radiocommunication or apparatus which generates or emits radio waves, (iii) deals in the course of trade in such apparatus, or (iv) demonstrates any such apparatus or material for radiocommunication with a view to sale in the course of trade.  Contravention of section 8 is an offence.</w:t>
      </w:r>
    </w:p>
    <w:p>
      <w:pPr>
        <w:pStyle w:val="BodyText2"/>
        <w:rPr/>
      </w:pPr>
      <w:r>
        <w:rPr/>
        <w:t>As noted in 2.3.1 above, since we have assumed that the Bandwidth is to be provided across terrestrial or submarine cable or fibre, and not via means of radiocommunication, the relevant test in relation to the Proposal is whether a means of telecommunication is established or maintained in Hong Kong.</w:t>
      </w:r>
    </w:p>
    <w:p>
      <w:pPr>
        <w:pStyle w:val="BodyText2"/>
        <w:rPr/>
      </w:pPr>
      <w:r>
        <w:rPr/>
        <w:t>"Telecommunication" is defined very broadly as "any transmission, emission or reception of signs, signals, writing, images, sounds or intelligence of any nature by visual means or by wire or radio waves or any other electromagnetic system".  On its face, the licensing requirement relating to a "means of telecommunication" (which is not defined) appears facilities-based, but there is clear precedent that OFTA regards the provision as applying to the supply of telecommunication services as well as facilities.  In a statement issued by the then TA, Mr. Alex Arena, on 22 March 1995,</w:t>
      </w:r>
      <w:r>
        <w:rPr>
          <w:rStyle w:val="FootnoteCharacters"/>
          <w:rStyle w:val="FootnoteReference"/>
        </w:rPr>
        <w:footnoteReference w:id="6"/>
      </w:r>
      <w:r>
        <w:rPr/>
        <w:t xml:space="preserve"> the TA stated that the provision of a telecommunication service involving the establishment or maintenance of any means of telecommunication is subject to licensing under the Ordinance, and hundreds of licences for the provision of telecommunication services have been issued under the Ordinance.  To the extent that any uncertainty remains on this issue, a new subsection to be added to section 8(1) of the Telecommunication Ordinance pursuant to the Telecommunication Bill, will expand the circumstances in which a licence is required to include expressly the offering, in the course of business, of a telecommunication service.  </w:t>
      </w:r>
    </w:p>
    <w:p>
      <w:pPr>
        <w:pStyle w:val="BodyText2"/>
        <w:rPr/>
      </w:pPr>
      <w:r>
        <w:rPr/>
        <w:t>"Telecommunication service" is defined under the Telecommunication Ordinance as "the provision of facilities for use by members of the public or by any person for the transmission or reception of messages or the provision on loan, lease or hire to members of the public or to any person of apparatus for telecommunication either within Hong Kong or with any place outside Hong Kong".  This definition is intended to be amended under the Telecommunication Bill which defines "telecommunication service" as a service for the carrying of communication by means of guided or unguided electromagnetic energy or both.  We do not think it is necessary to examine the distinction between the two definitions for the purposes of this Report, but note that our use of the term "telecommunication service" in this Report is by reference to existing regulation.</w:t>
      </w:r>
    </w:p>
    <w:p>
      <w:pPr>
        <w:pStyle w:val="BodyText2"/>
        <w:rPr/>
      </w:pPr>
      <w:r>
        <w:rPr/>
        <w:t xml:space="preserve">Assuming that neither ECI nor the Local Counterparty establishes or maintains any means of telecommunication in Hong Kong or provides telecommunication services involving the establishment or maintenance of a means of telecommunication in Hong Kong (because the Segment does not cross Hong Kong territory), the licensing requirements of the Telecommunication Ordinance would not apply.  The Transactions </w:t>
      </w:r>
      <w:r>
        <w:rPr>
          <w:i/>
        </w:rPr>
        <w:t>per se</w:t>
      </w:r>
      <w:r>
        <w:rPr/>
        <w:t xml:space="preserve"> would in those circumstances not require ECI or a Local Counterparty to obtain a telecommunications licence under the Telecommunication Ordinance.</w:t>
      </w:r>
    </w:p>
    <w:p>
      <w:pPr>
        <w:pStyle w:val="BodyText2"/>
        <w:rPr/>
      </w:pPr>
      <w:r>
        <w:rPr/>
        <w:t>However, if the Transactions concern Bandwidth on a Segment crossing a telecommunications network or circuit established or maintained by ECI or the Local Counterparty in Hong Kong (even though the Segment end-points and Pooling Points are located outside Hong Kong), then that party would need to hold a telecommunications licence in order to establish or maintain the means of telecommunication or provide the telecommunication service involving the establishment or maintenance of a means of telecommunication (and thereby deliver the Bandwidth across the system in accordance with its obligations under the Transaction documents).</w:t>
      </w:r>
    </w:p>
    <w:p>
      <w:pPr>
        <w:pStyle w:val="BodyText2"/>
        <w:rPr/>
      </w:pPr>
      <w:r>
        <w:rPr/>
        <w:t>The type of licence required in such case would depend on the nature of the means of telecommunication, or the nature of the telecommunication services involving the establishment or maintenance of a means of telecommunication, that ECI or the Local Counterparty provided.</w:t>
      </w:r>
    </w:p>
    <w:p>
      <w:pPr>
        <w:pStyle w:val="BodyText2"/>
        <w:rPr/>
      </w:pPr>
      <w:r>
        <w:rPr/>
        <w:t xml:space="preserve">As described in the overview at the beginning of our response on Section 1A, licences are issued either by the Chief Executive in Council or by the TA.  The TA is empowered to issue licences of the types set out in the Telecommunication Regulations. </w:t>
      </w:r>
    </w:p>
    <w:p>
      <w:pPr>
        <w:pStyle w:val="BodyText2"/>
        <w:rPr/>
      </w:pPr>
      <w:r>
        <w:rPr/>
        <w:t>OFTA publishes detailed guidance notes on the scope of various licences and on how applicants can apply.  These guidance notes generally set out the minimum requirements and the licensing criteria for the relevant licence.  As a general requirement, telecommunications licensees must be registered under the Companies Ordinance (Cap. 32), which means that the licensee must either be registered as an "oversea company" under section 333 (if it is incorporated outside Hong Kong), or incorporated as a Hong Kong company pursuant to the Companies Ordinance.  Accordingly, if ECI requires a telecommunications licence, it will need to establish a branch or incorporate a local subsidiary in Hong Kong.</w:t>
      </w:r>
    </w:p>
    <w:p>
      <w:pPr>
        <w:pStyle w:val="BodyText2"/>
        <w:rPr/>
      </w:pPr>
      <w:r>
        <w:rPr/>
        <w:t>At present, all licences are individual licences, although class licensing is envisaged by the Telecommunication Bill.</w:t>
      </w:r>
    </w:p>
    <w:p>
      <w:pPr>
        <w:pStyle w:val="BodyText2"/>
        <w:rPr/>
      </w:pPr>
      <w:r>
        <w:rPr/>
        <w:t>Individual licences are obtained by submitting an application to the TA via OFTA.  In some cases, for example, PNETS licences, the process is very simple, but in most cases the applicant usually first discusses its requirements and application with OFTA.</w:t>
      </w:r>
    </w:p>
    <w:p>
      <w:pPr>
        <w:pStyle w:val="BodyText2"/>
        <w:rPr/>
      </w:pPr>
      <w:r>
        <w:rPr/>
        <w:t xml:space="preserve">The TA (through OFTA) then considers the application in light of the duties placed upon him under the Telecommunication Ordinance.  The TA may refuse to issue a licence where the applicant fails to provide any information which the TA reasonably requires in order to be satisfied that the applicant will be able to comply with the conditions of the relevant licence.  Matters which the TA will generally take into account when considering a licence application include limitations on the available natural resources, the technical soundness of the applicant's proposal and the applicant's technical capability to implement its proposal, the financial soundness of the applicant's proposal, the applicant's commitment to investment in the proposed services, and the need to avoid disruptions to the environment. </w:t>
      </w:r>
    </w:p>
    <w:p>
      <w:pPr>
        <w:pStyle w:val="BodyText2"/>
        <w:rPr/>
      </w:pPr>
      <w:r>
        <w:rPr/>
        <w:t>Section 34(2) of the Telecommunication Ordinance provides that every licence granted by the TA shall be valid for the period prescribed by the Telecommunication Regulations.  Except as otherwise provided by the Telecommunication Regulations, such licences may be renewed for a period of one year at a time.  Pursuant to Regulation 2(2) of the Telecommunication Regulations, except in the following cases, licences are valid for a period of one year:</w:t>
      </w:r>
    </w:p>
    <w:p>
      <w:pPr>
        <w:pStyle w:val="BodyText2"/>
        <w:numPr>
          <w:ilvl w:val="0"/>
          <w:numId w:val="20"/>
        </w:numPr>
        <w:tabs>
          <w:tab w:val="clear" w:pos="720"/>
          <w:tab w:val="left" w:pos="2137" w:leader="none"/>
        </w:tabs>
        <w:ind w:hanging="720" w:start="2137" w:end="0"/>
        <w:rPr>
          <w:b/>
          <w:i/>
          <w:i/>
        </w:rPr>
      </w:pPr>
      <w:r>
        <w:rPr>
          <w:b/>
          <w:i/>
        </w:rPr>
        <w:t>PRS licences</w:t>
      </w:r>
      <w:r>
        <w:rPr/>
        <w:t xml:space="preserve"> are valid for a 10 year period and may be renewed at the discretion of the TA for a further period of up to three years.</w:t>
      </w:r>
    </w:p>
    <w:p>
      <w:pPr>
        <w:pStyle w:val="BodyText2"/>
        <w:numPr>
          <w:ilvl w:val="0"/>
          <w:numId w:val="20"/>
        </w:numPr>
        <w:tabs>
          <w:tab w:val="clear" w:pos="720"/>
          <w:tab w:val="left" w:pos="2137" w:leader="none"/>
        </w:tabs>
        <w:ind w:hanging="720" w:start="2137" w:end="0"/>
        <w:rPr>
          <w:b/>
          <w:i/>
          <w:i/>
        </w:rPr>
      </w:pPr>
      <w:r>
        <w:rPr>
          <w:b/>
          <w:i/>
        </w:rPr>
        <w:t>PNETS and SPETS licences</w:t>
      </w:r>
      <w:r>
        <w:rPr/>
        <w:t xml:space="preserve"> are valid for a one year term and are renewable for further one-year terms, apart from "short term" SPETS licences which are valid for three months and are not renewable.  </w:t>
      </w:r>
    </w:p>
    <w:p>
      <w:pPr>
        <w:pStyle w:val="BodyText2"/>
        <w:numPr>
          <w:ilvl w:val="0"/>
          <w:numId w:val="20"/>
        </w:numPr>
        <w:tabs>
          <w:tab w:val="clear" w:pos="720"/>
          <w:tab w:val="left" w:pos="2137" w:leader="none"/>
        </w:tabs>
        <w:ind w:hanging="720" w:start="2137" w:end="0"/>
        <w:rPr/>
      </w:pPr>
      <w:r>
        <w:rPr>
          <w:b/>
          <w:i/>
        </w:rPr>
        <w:t>FTNS licences</w:t>
      </w:r>
      <w:r>
        <w:rPr/>
        <w:t xml:space="preserve"> are valid for a 15 year term, and may at the TA's discretion be renewed for a further period of up to 15 years.</w:t>
      </w:r>
    </w:p>
    <w:p>
      <w:pPr>
        <w:pStyle w:val="BodyText2"/>
        <w:rPr/>
      </w:pPr>
      <w:r>
        <w:rPr/>
        <w:t xml:space="preserve">Licence fees vary from category to category.  The following is intended only as a brief overview: </w:t>
      </w:r>
    </w:p>
    <w:p>
      <w:pPr>
        <w:pStyle w:val="BodyText2"/>
        <w:numPr>
          <w:ilvl w:val="0"/>
          <w:numId w:val="48"/>
        </w:numPr>
        <w:tabs>
          <w:tab w:val="clear" w:pos="720"/>
          <w:tab w:val="left" w:pos="2211" w:leader="none"/>
        </w:tabs>
        <w:ind w:hanging="794" w:start="2211" w:end="0"/>
        <w:rPr/>
      </w:pPr>
      <w:r>
        <w:rPr>
          <w:b/>
          <w:i/>
        </w:rPr>
        <w:t>FTNS licence</w:t>
      </w:r>
      <w:r>
        <w:rPr>
          <w:b/>
        </w:rPr>
        <w:t xml:space="preserve"> - </w:t>
      </w:r>
      <w:r>
        <w:rPr/>
        <w:t xml:space="preserve">an annual fee of HK$1,000,000 will be payable on the grant of the licence and on each anniversary.  An additional fee calculated by reference to the number of customer connections will also be payable on each anniversary of the grant and renewal of the licence.  If radio frequency is used, fees calculated by reference to the spectrum assigned will also be payable on the grant and on each anniversary of the grant of the licence.  </w:t>
      </w:r>
    </w:p>
    <w:p>
      <w:pPr>
        <w:pStyle w:val="BodyText2"/>
        <w:numPr>
          <w:ilvl w:val="0"/>
          <w:numId w:val="48"/>
        </w:numPr>
        <w:tabs>
          <w:tab w:val="clear" w:pos="720"/>
          <w:tab w:val="left" w:pos="2211" w:leader="none"/>
        </w:tabs>
        <w:ind w:hanging="794" w:start="2211" w:end="0"/>
        <w:rPr/>
      </w:pPr>
      <w:r>
        <w:rPr>
          <w:b/>
          <w:i/>
        </w:rPr>
        <w:t>PRS licence</w:t>
      </w:r>
      <w:r>
        <w:rPr>
          <w:b/>
        </w:rPr>
        <w:t xml:space="preserve"> - </w:t>
      </w:r>
      <w:r>
        <w:rPr/>
        <w:t xml:space="preserve">an annual fee is payable on the grant of the licence and on the anniversary of the grant of the licence.  The fee is calculated by reference to the number of base stations installed, the number of mobile stations used by the customers and the radio spectrum used. </w:t>
      </w:r>
    </w:p>
    <w:p>
      <w:pPr>
        <w:pStyle w:val="BodyText2"/>
        <w:numPr>
          <w:ilvl w:val="0"/>
          <w:numId w:val="48"/>
        </w:numPr>
        <w:tabs>
          <w:tab w:val="clear" w:pos="720"/>
          <w:tab w:val="left" w:pos="2211" w:leader="none"/>
        </w:tabs>
        <w:ind w:hanging="794" w:start="2211" w:end="0"/>
        <w:rPr/>
      </w:pPr>
      <w:r>
        <w:rPr>
          <w:b/>
          <w:i/>
        </w:rPr>
        <w:t>PNETS licence</w:t>
      </w:r>
      <w:r>
        <w:rPr>
          <w:b/>
        </w:rPr>
        <w:t xml:space="preserve"> - </w:t>
      </w:r>
      <w:r>
        <w:rPr/>
        <w:t>a fee of HK$750 is payable on the grant and each renewal of the licence and if radiocommunication apparatus is used for the provision of the services, an additional fee calculated by reference to the number of base stations installed and mobile stations used by the customers will be payable.</w:t>
      </w:r>
    </w:p>
    <w:p>
      <w:pPr>
        <w:pStyle w:val="BodyText2"/>
        <w:numPr>
          <w:ilvl w:val="0"/>
          <w:numId w:val="48"/>
        </w:numPr>
        <w:tabs>
          <w:tab w:val="clear" w:pos="720"/>
          <w:tab w:val="left" w:pos="2211" w:leader="none"/>
        </w:tabs>
        <w:ind w:hanging="794" w:start="2211" w:end="0"/>
        <w:rPr/>
      </w:pPr>
      <w:r>
        <w:rPr>
          <w:b/>
          <w:i/>
        </w:rPr>
        <w:t>EFTNS licence</w:t>
      </w:r>
      <w:r>
        <w:rPr/>
        <w:t xml:space="preserve"> - this will be the same as under the FTNS licence except the component of the fee calculated by reference to the number of customer connections will not be payable by an EFTNS licensee, as "customer" is defined by OFTA to mean "end-users" and an EFTNS licensee will not be permitted to connect its external network directly with end users. </w:t>
      </w:r>
    </w:p>
    <w:p>
      <w:pPr>
        <w:pStyle w:val="BodyText2"/>
        <w:numPr>
          <w:ilvl w:val="0"/>
          <w:numId w:val="48"/>
        </w:numPr>
        <w:tabs>
          <w:tab w:val="clear" w:pos="720"/>
          <w:tab w:val="left" w:pos="2211" w:leader="none"/>
        </w:tabs>
        <w:ind w:hanging="794" w:start="2211" w:end="0"/>
        <w:rPr/>
      </w:pPr>
      <w:r>
        <w:rPr>
          <w:b/>
          <w:i/>
        </w:rPr>
        <w:t>SPETS licence</w:t>
      </w:r>
      <w:r>
        <w:rPr>
          <w:b/>
        </w:rPr>
        <w:t xml:space="preserve"> </w:t>
      </w:r>
      <w:r>
        <w:rPr/>
        <w:t xml:space="preserve">- a fixed fee of HK$750 will be payable on the grant and renewal of the licence.  In addition, if the system includes an earth station, an additional fee calculated by reference to the types of earth station used will also be payable. </w:t>
      </w:r>
    </w:p>
    <w:p>
      <w:pPr>
        <w:pStyle w:val="BodyText"/>
        <w:ind w:hanging="794" w:start="1418" w:end="0"/>
        <w:rPr/>
      </w:pPr>
      <w:r>
        <w:rPr/>
        <w:t>(a)(iii)</w:t>
        <w:tab/>
      </w:r>
      <w:r>
        <w:rPr>
          <w:b/>
          <w:i/>
        </w:rPr>
        <w:t>Which type of licence would the Transactions operate under e.g. individual licence, class licence or exemption?</w:t>
      </w:r>
    </w:p>
    <w:p>
      <w:pPr>
        <w:pStyle w:val="BodyText2"/>
        <w:rPr/>
      </w:pPr>
      <w:r>
        <w:rPr/>
        <w:t xml:space="preserve">As discussed above, the Transactions </w:t>
      </w:r>
      <w:r>
        <w:rPr>
          <w:i/>
        </w:rPr>
        <w:t>per se</w:t>
      </w:r>
      <w:r>
        <w:rPr/>
        <w:t xml:space="preserve"> would not require a telecommunications licence, and, assuming that neither ECI nor the Local Counterparty establishes or maintains any means of telecommunications in Hong Kong or provides telecommunications services involving the establishment or maintenance of a means of telecommunication in Hong Kong (because the Segment does not cross Hong Kong territory), neither ECI nor the Local Counterparty would require a telecommunications licence.  However, if the Transactions concern Bandwidth on a Segment crossing Hong Kong territory (even though the Segment end-points and Pooling Points are located outside Hong Kong)  then either or both ECI/the Local Counterparty may need a licence to establish or maintain a means of telecommunication (or to provide a telecommunications service involving the establishment or maintenance of any means of telecommunications).</w:t>
      </w:r>
    </w:p>
    <w:p>
      <w:pPr>
        <w:pStyle w:val="BodyText2"/>
        <w:rPr/>
      </w:pPr>
      <w:r>
        <w:rPr/>
        <w:t>The type of licence which would be required to establish or maintain any means of telecommunication if the Transactions concern Bandwidth on a Segment crossing Hong Kong would depend on the nature of the means of telecommunication including, where telecommunication services involving the establishment or maintenance of a means of telecommunication are concerned, the nature and extent of such telecommunication services.</w:t>
      </w:r>
    </w:p>
    <w:p>
      <w:pPr>
        <w:pStyle w:val="BodyText2"/>
        <w:rPr/>
      </w:pPr>
      <w:r>
        <w:rPr/>
        <w:t xml:space="preserve">However, if the Transactions involved Bandwidth crossing Hong Kong territory, there would be a point of entry into Hong Kong, transit across Hong Kong territory and a point of departure from Hong Kong, each of which are elements of external telecommunication facilities/services for the purposes of Hong Kong's regulatory regime.  </w:t>
      </w:r>
    </w:p>
    <w:p>
      <w:pPr>
        <w:pStyle w:val="BodyText2"/>
        <w:rPr/>
      </w:pPr>
      <w:r>
        <w:rPr/>
        <w:t>We recommend strongly that ECI in addition discuss with OFTA precisely which types of licence would not prohibit trading in Bandwidth.</w:t>
      </w:r>
    </w:p>
    <w:p>
      <w:pPr>
        <w:pStyle w:val="BodyText2"/>
        <w:rPr/>
      </w:pPr>
      <w:r>
        <w:rPr/>
        <w:t>Applicable licences would include:</w:t>
      </w:r>
    </w:p>
    <w:p>
      <w:pPr>
        <w:pStyle w:val="BodyText2"/>
        <w:rPr>
          <w:b/>
          <w:i/>
          <w:i/>
        </w:rPr>
      </w:pPr>
      <w:r>
        <w:rPr>
          <w:b/>
          <w:i/>
        </w:rPr>
        <w:t xml:space="preserve">FTNS Licence </w:t>
      </w:r>
    </w:p>
    <w:p>
      <w:pPr>
        <w:pStyle w:val="BodyText2"/>
        <w:rPr/>
      </w:pPr>
      <w:r>
        <w:rPr/>
        <w:t>There are at present four wireline FTNS licensees in Hong Kong, and there is a moratorium on the grant of further wireline FTNS licences until 31 December 2002.</w:t>
      </w:r>
    </w:p>
    <w:p>
      <w:pPr>
        <w:pStyle w:val="BodyText2"/>
        <w:rPr/>
      </w:pPr>
      <w:r>
        <w:rPr/>
        <w:t>On 31 March 1998, the exclusive licence of HKTI for external services and circuits was terminated under a Framework Agreement between Cable &amp; Wireless HKT Limited  and the Government.  Since 1 April 1998, the group of companies comprising HKTI, Hong Kong Telephone Company Limited and Hong Kong Telecom CAS Limited (for convenience, we refer to these companies as "HKT" in this Report) jointly and severally have held a non-exclusive FTNS licence which authorises them to operate both domestic and external FTNS.</w:t>
      </w:r>
    </w:p>
    <w:p>
      <w:pPr>
        <w:pStyle w:val="BodyText2"/>
        <w:rPr/>
      </w:pPr>
      <w:r>
        <w:rPr/>
        <w:t>The FTNS licences of the three other domestic fixed line network operators were amended so as to expand the scope of authorised services to cover, from 1 January 1999 external services, and from 1 January 2000 external facilities.</w:t>
      </w:r>
    </w:p>
    <w:p>
      <w:pPr>
        <w:pStyle w:val="BodyText2"/>
        <w:rPr>
          <w:b/>
          <w:i/>
          <w:i/>
        </w:rPr>
      </w:pPr>
      <w:r>
        <w:rPr>
          <w:b/>
          <w:i/>
        </w:rPr>
        <w:t>External Services - PNETS Licence</w:t>
      </w:r>
    </w:p>
    <w:p>
      <w:pPr>
        <w:pStyle w:val="BodyText2"/>
        <w:rPr/>
      </w:pPr>
      <w:r>
        <w:rPr/>
        <w:t>On 1 January 1999, liberalisation of the external services market commenced.  With the exception of the three FTNS licensees which are authorised to provide external services under their FTNS licences, external services providers must hold a PNETS licence.  There is no limitation (apart from the market) on the number of such licences which will be issued.  Until 1 January 2000, external services providers holding a PNETS licence must operate their services on an external private leased circuits supplied by HKT or other external services operated over HKT's external circuits.  From 1 January 2000, these licensees may provide external services over the circuits of any licensee authorised to provide external facilities.  (See also the paragraph on PNETS licences in Section 1A, overview, above).</w:t>
      </w:r>
    </w:p>
    <w:p>
      <w:pPr>
        <w:pStyle w:val="BodyText2"/>
        <w:rPr>
          <w:b/>
          <w:i/>
          <w:i/>
        </w:rPr>
      </w:pPr>
      <w:r>
        <w:rPr>
          <w:b/>
          <w:i/>
        </w:rPr>
        <w:t>External Facilities - EFTNS Licence</w:t>
      </w:r>
    </w:p>
    <w:p>
      <w:pPr>
        <w:pStyle w:val="BodyText2"/>
        <w:rPr/>
      </w:pPr>
      <w:r>
        <w:rPr/>
        <w:t>The Government intends to liberalise the market for external facilities based on submarine or land cables or non-cable-based facilities (for example, satellite) from 1 January 2000.  From that date, the three other FTNS licensees will be permitted under their FTNS licences to provide such facilities.  In addition, new licences for external FTNS ("EFTNS") will be issued, in relation to cable-based facilities, only to those who invest directly in bringing physical cables to Hong Kong.  OFTA is currently considering 34 proposals for the award of EFTNS licences (cable-based and non-cable-based) pursuant to an invitation issued by the TA earlier this year.  The TA does not envisage inviting applications for further EFTNS licences within the next 12 months.</w:t>
      </w:r>
    </w:p>
    <w:p>
      <w:pPr>
        <w:pStyle w:val="BodyText2"/>
        <w:rPr/>
      </w:pPr>
      <w:r>
        <w:rPr/>
        <w:t xml:space="preserve">The EFTNS licence will authorise the licensee to provide external facilities </w:t>
      </w:r>
      <w:r>
        <w:rPr>
          <w:b/>
        </w:rPr>
        <w:t>and</w:t>
      </w:r>
      <w:r>
        <w:rPr/>
        <w:t xml:space="preserve"> external services operated over external facilities.  An external telecommunication service means a service for communications:</w:t>
      </w:r>
    </w:p>
    <w:p>
      <w:pPr>
        <w:pStyle w:val="bullet"/>
        <w:numPr>
          <w:ilvl w:val="0"/>
          <w:numId w:val="50"/>
        </w:numPr>
        <w:tabs>
          <w:tab w:val="clear" w:pos="720"/>
          <w:tab w:val="left" w:pos="2137" w:leader="none"/>
        </w:tabs>
        <w:ind w:hanging="720" w:start="2137" w:end="0"/>
        <w:rPr/>
      </w:pPr>
      <w:r>
        <w:rPr/>
        <w:t xml:space="preserve">between one or more points in Hong Kong and one or more points outside Hong Kong; and </w:t>
      </w:r>
    </w:p>
    <w:p>
      <w:pPr>
        <w:pStyle w:val="bullet"/>
        <w:numPr>
          <w:ilvl w:val="0"/>
          <w:numId w:val="50"/>
        </w:numPr>
        <w:tabs>
          <w:tab w:val="clear" w:pos="720"/>
          <w:tab w:val="left" w:pos="2137" w:leader="none"/>
        </w:tabs>
        <w:ind w:hanging="720" w:start="2137" w:end="0"/>
        <w:rPr/>
      </w:pPr>
      <w:r>
        <w:rPr/>
        <w:t>between two or more points outside Hong Kong but routed in transit via Hong Kong.</w:t>
      </w:r>
    </w:p>
    <w:p>
      <w:pPr>
        <w:pStyle w:val="BodyText2"/>
        <w:rPr/>
      </w:pPr>
      <w:r>
        <w:rPr/>
        <w:t>It should be noted that until the moratorium upon the issuance of further FTNS licences is lifted by the Government (expected to be 31 December 2002), EFTNS licensees will be required to obtain any necessary backhaul or transit facilities from one or more of the wireline FTNS licensees.</w:t>
      </w:r>
      <w:r>
        <w:rPr>
          <w:rStyle w:val="FootnoteCharacters"/>
          <w:rStyle w:val="FootnoteReference"/>
        </w:rPr>
        <w:footnoteReference w:id="7"/>
      </w:r>
      <w:r>
        <w:rPr/>
        <w:t xml:space="preserve">  In addition, access to such external services in Hong Kong must be through either the public switched networks of the FTNS licensees or local mobile network operators, or by leased circuits provided by the FTNS licensees.</w:t>
      </w:r>
    </w:p>
    <w:p>
      <w:pPr>
        <w:pStyle w:val="BodyText2"/>
        <w:rPr/>
      </w:pPr>
      <w:r>
        <w:rPr/>
        <w:t>With effect from 1 January 2003, the Government intends to further liberalise the market for external telecommunication facilities by issuing licences for external telecommunication facilities to those who have acquired capacity through the purchase of an indefeasible right of use ("IRU") on submarine or land cables.</w:t>
      </w:r>
    </w:p>
    <w:p>
      <w:pPr>
        <w:pStyle w:val="BodyText2"/>
        <w:rPr>
          <w:b/>
          <w:i/>
          <w:i/>
        </w:rPr>
      </w:pPr>
      <w:r>
        <w:rPr>
          <w:b/>
          <w:i/>
        </w:rPr>
        <w:t>PNETS Licences</w:t>
      </w:r>
    </w:p>
    <w:p>
      <w:pPr>
        <w:pStyle w:val="BodyText2"/>
        <w:rPr/>
      </w:pPr>
      <w:r>
        <w:rPr/>
        <w:t>In the overview in Section 1A above, we referred to various sub-categories of PNETS licence (including external services which we also raise in this section).  These licences permit the licensee to supply various services over external facilities provided by a licensed external facilities provider or another licensed external services provider.  As such, it is possible that such licensees may have access to Bandwidth such as to make participation in Transactions technically possible, but there is a risk that participating in Transactions may fall outside the scope of the services such licensees are licensed to provide.  Discussion with OFTA would be required in order to analyse the position further.</w:t>
      </w:r>
    </w:p>
    <w:p>
      <w:pPr>
        <w:pStyle w:val="BodyText2"/>
        <w:rPr>
          <w:b/>
          <w:i/>
          <w:i/>
        </w:rPr>
      </w:pPr>
      <w:r>
        <w:rPr>
          <w:b/>
          <w:i/>
        </w:rPr>
        <w:t>SPETS Licence</w:t>
      </w:r>
    </w:p>
    <w:p>
      <w:pPr>
        <w:pStyle w:val="BodyText2"/>
        <w:rPr/>
      </w:pPr>
      <w:r>
        <w:rPr/>
        <w:t>In the overview in Section 1A above, we also referred to the SPETS licence under which the licensee is permitted to self provide external circuits for the transmission and reception of their own telecommunications messages to or from Hong Kong.  As such, it is possible that such licensees may have access to Bandwidth such as to make participation in Transactions technically possible, but there is a risk that participating in Transactions may fall outside the scope of the licensed services.  Discussion with OFTA would be required in order to analyse the position further.</w:t>
      </w:r>
    </w:p>
    <w:p>
      <w:pPr>
        <w:pStyle w:val="BodyText"/>
        <w:ind w:hanging="794" w:start="1418" w:end="0"/>
        <w:rPr/>
      </w:pPr>
      <w:r>
        <w:rPr/>
        <w:t>(b)</w:t>
        <w:tab/>
      </w:r>
      <w:r>
        <w:rPr>
          <w:b/>
          <w:i/>
        </w:rPr>
        <w:t>Which other elements of the telecoms regulatory regime in Hong Kong would affect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BodyText2"/>
        <w:rPr>
          <w:b/>
          <w:i/>
          <w:i/>
        </w:rPr>
      </w:pPr>
      <w:r>
        <w:rPr/>
        <w:t xml:space="preserve">We would expect the relevant telecommunications licence to set out various conditions with which the licensee would be required to comply.  Telecommunications licences contain general conditions which are published in the Telecommunication Regulations, and special conditions which are specific to each licence and are not published in the Telecommunication Regulations.  In some cases, special conditions may not be publicly available, although OFTA generally gives guidance on these in guidance notes for applicants of the various types of licence.  In other cases, for example the types of PNETS licences described in the overview in Section 1A, above, the special conditions are published in the proforma licences which are available from OFTA.  Telecommunication licences generally cover the issues mentioned in your question, and we refer you to the summary of PNETS licence conditions set out in our response to Section 3A(d)(iii), by way of example. </w:t>
      </w:r>
    </w:p>
    <w:p>
      <w:pPr>
        <w:pStyle w:val="BodyText2"/>
        <w:rPr/>
      </w:pPr>
      <w:r>
        <w:rPr/>
        <w:t>The telecommunication equipment supply market in Hong Kong is deregulated.  With the exception of radio equipment, the import and sale of telecommunication equipment does not require a licence.</w:t>
      </w:r>
      <w:r>
        <w:rPr>
          <w:rStyle w:val="FootnoteCharacters"/>
          <w:rStyle w:val="FootnoteReference"/>
        </w:rPr>
        <w:footnoteReference w:id="8"/>
      </w:r>
      <w:r>
        <w:rPr/>
        <w:t xml:space="preserve">  However, OFTA, via telecommunication licences, requires licensees to ensure that telecommunications equipment meets certain technical specifications which are designed to ensure compliance with international standards, and that there are no electrical hazards and the equipment is of no technical harm to the networks (there are additional requirements in respect of radiocommunication apparatus).  PSTN operators are also permitted to require equipment connected to their networks to comply with relevant specifications.</w:t>
      </w:r>
    </w:p>
    <w:p>
      <w:pPr>
        <w:pStyle w:val="BodyText"/>
        <w:ind w:hanging="794" w:start="1418" w:end="0"/>
        <w:rPr/>
      </w:pPr>
      <w:r>
        <w:rPr/>
        <w:t>(c)(i)</w:t>
        <w:tab/>
      </w:r>
      <w:r>
        <w:rPr>
          <w:b/>
          <w:i/>
        </w:rPr>
        <w:t>Are different licences necessary in Hong Kong for those who operate networks as opposed to those who merely provide services over those networks and which category(ies) would ECI, on the one hand, and the Local Counterparties, on the other hand, as parties to the Transactions fall into?</w:t>
      </w:r>
    </w:p>
    <w:p>
      <w:pPr>
        <w:pStyle w:val="BodyText2"/>
        <w:rPr/>
      </w:pPr>
      <w:r>
        <w:rPr/>
        <w:t>As can be seen from the overview in Section 1A and our response to Section 1A(a)(iii), the regulatory regime in Hong Kong does, for certain purposes, distinguish between the provision of facilities and the provision of services.  However, this distinction is not particularly relevant to your question since licensees who operate facilities in practice will also be authorised to provide services relevant to those facilities and within the scope of the particular licence.</w:t>
      </w:r>
    </w:p>
    <w:p>
      <w:pPr>
        <w:pStyle w:val="BodyText2"/>
        <w:rPr/>
      </w:pPr>
      <w:r>
        <w:rPr/>
        <w:t>Given the moratorium until 31 December 2002 on the issuance of further wireline FTNS licences and the fact that the Government is unlikely to invite applications for further EFTNS licences within the next 12 months, licences available to ECI which may be appropriate for the purposes of the Transactions would be within the PNETS licence category.  The Local Counterparty, if it were not already a wireline FTNS operator and had not applied for an EFTNS licence within the current licensing round, would be in the same position as ECI.  Assuming that ECI and/or the Local Counterparty wished to obtain a PNETS licence, and given that the scope of services authorised under PNETS licences generally is specifically defined (please see the overview in Section 1A above), care would need to be taken to ensure that trading in Bandwidth for the purposes of Transactions was not outside the scope of the relevant licence.  Discussion with OFTA would be required on this issue.</w:t>
      </w:r>
    </w:p>
    <w:p>
      <w:pPr>
        <w:pStyle w:val="BodyText"/>
        <w:ind w:hanging="794" w:start="1418" w:end="0"/>
        <w:rPr/>
      </w:pPr>
      <w:r>
        <w:rPr/>
        <w:t>(c)(ii)</w:t>
        <w:tab/>
      </w:r>
      <w:r>
        <w:rPr>
          <w:b/>
          <w:i/>
        </w:rPr>
        <w:t>Does the status of the parties to the Transaction affect the terms of trade between them as a result of the telecoms regulatory regime in Hong Kong?</w:t>
      </w:r>
    </w:p>
    <w:p>
      <w:pPr>
        <w:pStyle w:val="BodyText2"/>
        <w:rPr/>
      </w:pPr>
      <w:r>
        <w:rPr/>
        <w:t>We have understood "status" in this context to refer to whether a party to the Transaction is licensed or unlicensed under the Telecommunication Ordinance.</w:t>
      </w:r>
    </w:p>
    <w:p>
      <w:pPr>
        <w:pStyle w:val="BodyText2"/>
        <w:rPr/>
      </w:pPr>
      <w:r>
        <w:rPr/>
        <w:t>The status of the parties to the Transaction would not affect the terms of trade under the telecommunications regulatory regime in Hong Kong, unless specific conditions to this effect were imposed by the TA in the relevant licences.</w:t>
      </w:r>
    </w:p>
    <w:p>
      <w:pPr>
        <w:pStyle w:val="BodyText"/>
        <w:ind w:hanging="794" w:start="1418" w:end="0"/>
        <w:rPr/>
      </w:pPr>
      <w:r>
        <w:rPr/>
        <w:t>(c)(iii)</w:t>
        <w:tab/>
      </w:r>
      <w:r>
        <w:rPr>
          <w:b/>
          <w:i/>
        </w:rPr>
        <w:t>Is either of the above two positions (Section 1A(c)(i) and (c)(ii)) altered if the ownership of the facility and the operation of it are not done by one and the same entity?</w:t>
      </w:r>
    </w:p>
    <w:p>
      <w:pPr>
        <w:pStyle w:val="BodyText2"/>
        <w:rPr/>
      </w:pPr>
      <w:r>
        <w:rPr/>
        <w:t>If ownership and operation of the facility are not done by the same entity, it may be necessary for both entities to be licensed.  The Telecommunication Ordinance requires a person who establishes or maintains any means of telecommunication in Hong Kong to be licensed.  While a passive owner may not be "maintaining" the means of telecommunications, the owner may be regarded as having "established" a means of telecommunications.  In practice, we think it is unlikely that the TA would require a passive owner of telecommunication infrastructure to be licensed if there were another entity which operated the infrastructure and which was properly licensed.  However, this would need to be clarified with OFTA.</w:t>
      </w:r>
    </w:p>
    <w:p>
      <w:pPr>
        <w:pStyle w:val="BodyText"/>
        <w:ind w:hanging="794" w:start="1418" w:end="0"/>
        <w:rPr/>
      </w:pPr>
      <w:r>
        <w:rPr/>
        <w:t>(d)(i)</w:t>
        <w:tab/>
      </w:r>
      <w:r>
        <w:rPr>
          <w:b/>
          <w:i/>
        </w:rPr>
        <w:t>To the extent not already covered by the questions in Section 1A, paragraphs (a) to (c) above, are any other licences, permits, consents or other governmental approvals required in Hong Kong (and, if so, by whom) in order for ECI to enter into the Transactions with the Local Counterparties?</w:t>
      </w:r>
    </w:p>
    <w:p>
      <w:pPr>
        <w:pStyle w:val="BodyText2"/>
        <w:rPr/>
      </w:pPr>
      <w:r>
        <w:rPr/>
        <w:t>Except as set out above, no other licences, permits, consents or government approvals would be required in Hong Kong in order for ECI to enter into the Transactions.</w:t>
      </w:r>
    </w:p>
    <w:p>
      <w:pPr>
        <w:pStyle w:val="BodyText"/>
        <w:ind w:hanging="794" w:start="1418" w:end="0"/>
        <w:rPr/>
      </w:pPr>
      <w:r>
        <w:rPr/>
        <w:t>(d)(ii)</w:t>
        <w:tab/>
      </w:r>
      <w:r>
        <w:rPr>
          <w:b/>
          <w:i/>
        </w:rPr>
        <w:t>To the extent not already covered by the questions in Section 1A, paragraphs (a) to (c) above, would ECI (or any of its personnel) need to be licensed (1) to visit Hong Kong to market Transactions to Local Counterparties and/or or (2) for ECI to buy or sell Bandwidth from or to Local Counterparties, under local law in Hong Kong?</w:t>
      </w:r>
    </w:p>
    <w:p>
      <w:pPr>
        <w:pStyle w:val="BodyText2"/>
        <w:rPr/>
      </w:pPr>
      <w:r>
        <w:rPr/>
        <w:t>Except as set out above, neither ECI nor its personnel would need to be licensed to market the Transactions or to buy or sell Bandwidth from or to Local Counterparties in Hong Kong.</w:t>
      </w:r>
    </w:p>
    <w:p>
      <w:pPr>
        <w:pStyle w:val="BodyText"/>
        <w:ind w:hanging="794" w:start="1418" w:end="0"/>
        <w:rPr/>
      </w:pPr>
      <w:r>
        <w:rPr/>
        <w:t>(d)(iii)</w:t>
        <w:tab/>
      </w:r>
      <w:r>
        <w:rPr>
          <w:b/>
          <w:i/>
        </w:rPr>
        <w:t xml:space="preserve">To the extent not already covered by the questions in Section 1A, paragraphs (a) to (c) above, would Local Counterparty (or any of its personnel) need to be licensed in Hong Kong to buy or sell Bandwidth from or to ECI and/or other Counterparties? </w:t>
      </w:r>
    </w:p>
    <w:p>
      <w:pPr>
        <w:pStyle w:val="BodyText2"/>
        <w:rPr/>
      </w:pPr>
      <w:r>
        <w:rPr/>
        <w:t>Except as set out above, neither the Local Counterparties nor its personnel would need to be licensed in Hong Kong to buy or sell Bandwidth in Hong Kong.</w:t>
      </w:r>
    </w:p>
    <w:p>
      <w:pPr>
        <w:pStyle w:val="BodyText"/>
        <w:ind w:hanging="794" w:start="1418" w:end="0"/>
        <w:rPr/>
      </w:pPr>
      <w:r>
        <w:rPr/>
        <w:t>(e)(i)</w:t>
        <w:tab/>
      </w:r>
      <w:r>
        <w:rPr>
          <w:b/>
          <w:i/>
        </w:rPr>
        <w:t>To the extent not already covered by the questions in Section 1A, paragraphs (a) to (c) above, under local law in Hong Kong, would ECI, or the Local Counterparty, be under any obligation to provide periodic reports or information to any regulatory or governmental or other body if they engaged in the Transactions, or a Local Counterparty?</w:t>
      </w:r>
    </w:p>
    <w:p>
      <w:pPr>
        <w:pStyle w:val="BodyText2"/>
        <w:rPr/>
      </w:pPr>
      <w:r>
        <w:rPr/>
        <w:t>Except as already covered in our answers above, there would be no such obligation.</w:t>
      </w:r>
    </w:p>
    <w:p>
      <w:pPr>
        <w:pStyle w:val="BodyText"/>
        <w:ind w:hanging="794" w:start="1418" w:end="0"/>
        <w:rPr/>
      </w:pPr>
      <w:r>
        <w:rPr/>
        <w:t>(e)(ii)</w:t>
        <w:tab/>
      </w:r>
      <w:r>
        <w:rPr>
          <w:b/>
          <w:i/>
        </w:rPr>
        <w:t>To the extent not already covered by the questions in Section 1A, paragraphs (a) to (c) above, would ECI or the Local Counterparty be subject to any form of government regulation in Hong Kong in respect of Transactions between them and, if so, what?</w:t>
      </w:r>
    </w:p>
    <w:p>
      <w:pPr>
        <w:pStyle w:val="BodyText2"/>
        <w:rPr/>
      </w:pPr>
      <w:r>
        <w:rPr/>
        <w:t>Please see Section 1C(b)(iv) below.</w:t>
      </w:r>
    </w:p>
    <w:p>
      <w:pPr>
        <w:pStyle w:val="BodyText"/>
        <w:ind w:hanging="794" w:start="1418" w:end="0"/>
        <w:rPr/>
      </w:pPr>
      <w:r>
        <w:rPr/>
        <w:t>(f)(i)</w:t>
        <w:tab/>
      </w:r>
      <w:r>
        <w:rPr>
          <w:b/>
          <w:i/>
        </w:rPr>
        <w:t>Would the trading of Bandwidth by way of the Transactions be construed as a financial or securities market or exchange in Hong Kong and, if so, why?</w:t>
      </w:r>
    </w:p>
    <w:p>
      <w:pPr>
        <w:pStyle w:val="BodyText2"/>
        <w:rPr/>
      </w:pPr>
      <w:r>
        <w:rPr/>
        <w:t>The trading of Bandwidth by way of the Transactions would not be construed as a financial or securities market or exchange in Hong Kong.  The financial services regulatory regime in Hong Kong is product specific, by which we mean that only certain prescribed products fall within the regime.  Bandwidth is not one of those products.</w:t>
      </w:r>
    </w:p>
    <w:p>
      <w:pPr>
        <w:pStyle w:val="BodyText2"/>
        <w:rPr/>
      </w:pPr>
      <w:r>
        <w:rPr/>
        <w:t xml:space="preserve">Although it is outside the scope of the advice you have asked us to give, it follows that because Bandwidth is not one of the prescribed products for the purposes of the Hong Kong financial services regulatory regime, neither ECI nor the Local Counterparty would require any form of Hong Kong financial services regulatory registration to enter into the Transactions. </w:t>
      </w:r>
    </w:p>
    <w:p>
      <w:pPr>
        <w:pStyle w:val="BodyText"/>
        <w:ind w:hanging="794" w:start="1418" w:end="0"/>
        <w:rPr/>
      </w:pPr>
      <w:r>
        <w:rPr/>
        <w:t xml:space="preserve">(f)(ii) </w:t>
        <w:tab/>
      </w:r>
      <w:r>
        <w:rPr>
          <w:b/>
          <w:i/>
        </w:rPr>
        <w:t xml:space="preserve">If it would be so construed, which market supervisory body, if any, in Hong Kong would regulate the Bandwidth market and which rules would apply? </w:t>
      </w:r>
    </w:p>
    <w:p>
      <w:pPr>
        <w:pStyle w:val="BodyText2"/>
        <w:rPr/>
      </w:pPr>
      <w:r>
        <w:rPr/>
        <w:t>Not applicable.  Please see paragraph (f)(i) above.</w:t>
      </w:r>
    </w:p>
    <w:p>
      <w:pPr>
        <w:pStyle w:val="Heading2"/>
        <w:ind w:hanging="0" w:start="0"/>
        <w:rPr/>
      </w:pPr>
      <w:bookmarkStart w:id="14" w:name="__RefHeading___Toc470323625"/>
      <w:bookmarkEnd w:id="14"/>
      <w:r>
        <w:rPr/>
        <w:t>Section 1B: Capacity and Authority</w:t>
      </w:r>
    </w:p>
    <w:p>
      <w:pPr>
        <w:pStyle w:val="Normal"/>
        <w:ind w:hanging="816" w:start="1440" w:end="0"/>
        <w:rPr/>
      </w:pPr>
      <w:r>
        <w:rPr/>
        <w:t>(a)</w:t>
        <w:tab/>
      </w:r>
      <w:r>
        <w:rPr>
          <w:b/>
          <w:i/>
        </w:rPr>
        <w:t>Under local law in Hong Kong, do any entities as Local Counterparties, for example (but not limited to) municipalities or utilities, have any legal restrictions placed on their ability to enter into the Transactions? If so, please briefly describe.</w:t>
      </w:r>
    </w:p>
    <w:p>
      <w:pPr>
        <w:pStyle w:val="BodyText2"/>
        <w:rPr/>
      </w:pPr>
      <w:r>
        <w:rPr/>
        <w:t>Generally speaking, under Hong Kong law any person, corporate body, or other person having legal person status (such as a government body or organisation) would be free to enter into the Transactions. There are however some exceptions to this general rule:</w:t>
      </w:r>
    </w:p>
    <w:p>
      <w:pPr>
        <w:pStyle w:val="BodyText2"/>
        <w:numPr>
          <w:ilvl w:val="0"/>
          <w:numId w:val="10"/>
        </w:numPr>
        <w:tabs>
          <w:tab w:val="clear" w:pos="720"/>
          <w:tab w:val="left" w:pos="2211" w:leader="none"/>
        </w:tabs>
        <w:ind w:hanging="794" w:start="2211" w:end="0"/>
        <w:rPr/>
      </w:pPr>
      <w:r>
        <w:rPr>
          <w:b/>
        </w:rPr>
        <w:t>Illegality</w:t>
      </w:r>
      <w:r>
        <w:rPr/>
        <w:t>: contracts may be unenforceable by one or both parties or may be totally void for being illegal or contrary to public policy. An illegal contract would include a contract the subject matter of which is a criminal act or illegal or restricted goods. Bandwidth does not fall within this category.</w:t>
      </w:r>
    </w:p>
    <w:p>
      <w:pPr>
        <w:pStyle w:val="BodyText3"/>
        <w:rPr/>
      </w:pPr>
      <w:r>
        <w:rPr/>
        <w:t>Public policy has been described as "a principle of judicial legislation or interpretation founded on the current needs of the community". It is therefore unlikely that trade in bandwidth (being a utility currently in demand in Hong Kong) would be found to be contrary to public policy.</w:t>
      </w:r>
    </w:p>
    <w:p>
      <w:pPr>
        <w:pStyle w:val="BodyText2"/>
        <w:numPr>
          <w:ilvl w:val="0"/>
          <w:numId w:val="5"/>
        </w:numPr>
        <w:tabs>
          <w:tab w:val="clear" w:pos="720"/>
          <w:tab w:val="left" w:pos="2234" w:leader="none"/>
        </w:tabs>
        <w:ind w:hanging="794" w:start="2234" w:end="0"/>
        <w:rPr/>
      </w:pPr>
      <w:r>
        <w:rPr>
          <w:b/>
        </w:rPr>
        <w:t>Ultra Vires</w:t>
      </w:r>
      <w:r>
        <w:rPr/>
        <w:t xml:space="preserve"> </w:t>
      </w:r>
      <w:r>
        <w:rPr>
          <w:b/>
        </w:rPr>
        <w:t>- Corporations</w:t>
      </w:r>
      <w:r>
        <w:rPr/>
        <w:t>: as in England, the general common law principle of ultra vires, as amended by legislation in Hong Kong, applies to Hong Kong corporations. Generally speaking, transactions will be void if they are beyond the capacity of the transacting party.</w:t>
      </w:r>
    </w:p>
    <w:p>
      <w:pPr>
        <w:pStyle w:val="BodyText3"/>
        <w:rPr/>
      </w:pPr>
      <w:r>
        <w:rPr/>
        <w:t>This general principle has been amended by section 5B of the Companies Ordinance (Cap. 32) which states that a company whose objects are stated in its memorandum must not carry on any business or do anything that it is not authorised by its memorandum to carry on or do. However, while a member of a company may bring proceedings to restrain the company from doing an act in contravention of the company’s memorandum, any such act will not become invalid by reason only that it contravenes section 5B of the Companies Ordinance.  Such act would not therefore be invalid as against a third party which has entered into a contract or transaction with such company.</w:t>
      </w:r>
    </w:p>
    <w:p>
      <w:pPr>
        <w:pStyle w:val="BodyText3"/>
        <w:rPr/>
      </w:pPr>
      <w:r>
        <w:rPr/>
        <w:t>Section 5C further states that a person is not deemed to have notice of matters disclosed in the memorandum or articles of association of a company kept with the Companies Registrar of Hong Kong.  A third party contracting with the company may therefore rely upon the authority of the directors (or other persons expressly authorised to represent the company) to bind the company in relation to such contract.</w:t>
      </w:r>
    </w:p>
    <w:p>
      <w:pPr>
        <w:pStyle w:val="BodyText3"/>
        <w:rPr/>
      </w:pPr>
      <w:r>
        <w:rPr/>
        <w:t xml:space="preserve">ECI may therefore enter into the Transactions with a Local Counterparty which is a corporation without first examining its memorandum and articles of association provided that such Counterparty is acting through its directors or other authorised persons acting in good faith. In this regard, depending upon the size of the Transaction, ECI may consider it prudent to require the Local Counterparty to produce the necessary board resolutions authorising such Counterparty to enter into the Transaction. </w:t>
      </w:r>
    </w:p>
    <w:p>
      <w:pPr>
        <w:pStyle w:val="BodyText2"/>
        <w:numPr>
          <w:ilvl w:val="0"/>
          <w:numId w:val="7"/>
        </w:numPr>
        <w:tabs>
          <w:tab w:val="clear" w:pos="720"/>
          <w:tab w:val="left" w:pos="2234" w:leader="none"/>
        </w:tabs>
        <w:ind w:hanging="794" w:start="2234" w:end="0"/>
        <w:rPr/>
      </w:pPr>
      <w:r>
        <w:rPr>
          <w:b/>
        </w:rPr>
        <w:t>Ultra vires - Public bodies</w:t>
      </w:r>
      <w:r>
        <w:rPr/>
        <w:t>: as with corporations the general common law principle that transactions are void where they are beyond the capacity of the transacting party, applies to public bodies or government authorities in Hong Kong.</w:t>
      </w:r>
    </w:p>
    <w:p>
      <w:pPr>
        <w:pStyle w:val="BodyText3"/>
        <w:rPr/>
      </w:pPr>
      <w:r>
        <w:rPr/>
        <w:t>There is no general legislation in Hong Kong which establishes the structure of government, and the functions and powers of its various bodies and many departments and offices of government are established or recognised in an Ordinance.  The objects, functions, powers and constitution of any such public body or government department or office will be found in the Ordinance which established it.  It is therefore advisable that before entering into the Transactions with any Hong Kong public body or government department or office, ECI should obtain a legal opinion from the legal counsel of such public body, government department or office as to the enforceability of the Transaction.</w:t>
      </w:r>
    </w:p>
    <w:p>
      <w:pPr>
        <w:pStyle w:val="BodyText"/>
        <w:ind w:hanging="794" w:start="1418" w:end="0"/>
        <w:rPr/>
      </w:pPr>
      <w:r>
        <w:rPr/>
        <w:t>(b)</w:t>
        <w:tab/>
      </w:r>
      <w:r>
        <w:rPr>
          <w:b/>
          <w:i/>
        </w:rPr>
        <w:t>Is it necessary that the organisational documents of the Local Counterparty empower it to enter into the Transactions and/or governing Master Agreement or GTCs?</w:t>
      </w:r>
    </w:p>
    <w:p>
      <w:pPr>
        <w:pStyle w:val="BodyText2"/>
        <w:rPr/>
      </w:pPr>
      <w:r>
        <w:rPr/>
        <w:t>Please see paragraph (a) above.</w:t>
      </w:r>
    </w:p>
    <w:p>
      <w:pPr>
        <w:pStyle w:val="BodyText"/>
        <w:ind w:hanging="794" w:start="1418" w:end="0"/>
        <w:rPr/>
      </w:pPr>
      <w:r>
        <w:rPr/>
        <w:t>(c)</w:t>
        <w:tab/>
      </w:r>
      <w:r>
        <w:rPr>
          <w:b/>
          <w:i/>
        </w:rPr>
        <w:t>Will any additional corporate action be necessary or advisable in order for ECI to be assured that the Local Counterparty has due capacity and that the person entering into the Transaction (or executing the Master Agreement or Confirmation or the Confirmation incorporating the GTCs) on behalf of the Local Counterparty has proper authority?</w:t>
      </w:r>
    </w:p>
    <w:p>
      <w:pPr>
        <w:pStyle w:val="BodyText2"/>
        <w:rPr/>
      </w:pPr>
      <w:r>
        <w:rPr/>
        <w:t xml:space="preserve">Please see paragraph (a) above. </w:t>
      </w:r>
    </w:p>
    <w:p>
      <w:pPr>
        <w:pStyle w:val="BodyText"/>
        <w:ind w:hanging="794" w:start="1418" w:end="0"/>
        <w:rPr/>
      </w:pPr>
      <w:r>
        <w:rPr/>
        <w:t>(d)(i)</w:t>
        <w:tab/>
      </w:r>
      <w:r>
        <w:rPr>
          <w:b/>
          <w:i/>
        </w:rPr>
        <w:t>Pursuant to the requirements of local law in Hong Kong, would ECI need to enter into the Transactions with Local Counterparties through an ECI-affiliated entity that is incorporated or otherwise organised in, or through a branch in, Hong Kong?</w:t>
      </w:r>
    </w:p>
    <w:p>
      <w:pPr>
        <w:pStyle w:val="BodyText2"/>
        <w:rPr/>
      </w:pPr>
      <w:r>
        <w:rPr/>
        <w:t>There is no requirement under the law of Hong Kong for the ECI contracting party to be incorporated, organised or otherwise located in Hong Kong.  Please also consider our answer to Section 1B(b)(iv) below.</w:t>
      </w:r>
    </w:p>
    <w:p>
      <w:pPr>
        <w:pStyle w:val="BodyText2"/>
        <w:rPr/>
      </w:pPr>
      <w:r>
        <w:rPr/>
        <w:t>As noted in our answer to Section 1A(a)(ii) above, if ECI or the Local Counterparty require a licence under the Telecommunication Ordinance, then it will be necessary for the relevant party to be registered as an oversea company (if it is incorporated outside Hong Kong) or as a company incorporated in Hong Kong in each case under the Companies Ordinance.</w:t>
      </w:r>
    </w:p>
    <w:p>
      <w:pPr>
        <w:pStyle w:val="BodyText"/>
        <w:ind w:hanging="794" w:start="1418" w:end="0"/>
        <w:rPr/>
      </w:pPr>
      <w:r>
        <w:rPr/>
        <w:t>(d)(ii)</w:t>
        <w:tab/>
      </w:r>
      <w:r>
        <w:rPr>
          <w:b/>
          <w:i/>
        </w:rPr>
        <w:t>If it would be so required under local law in Hong Kong, please specify what type of entity ECI would be required to establish in Hong Kong.</w:t>
      </w:r>
    </w:p>
    <w:p>
      <w:pPr>
        <w:pStyle w:val="BodyText2"/>
        <w:rPr/>
      </w:pPr>
      <w:r>
        <w:rPr>
          <w:b/>
          <w:i/>
        </w:rPr>
        <w:tab/>
      </w:r>
      <w:r>
        <w:rPr/>
        <w:t>Please see our answer to paragraph (d)(i) above.</w:t>
      </w:r>
    </w:p>
    <w:p>
      <w:pPr>
        <w:pStyle w:val="BodyText"/>
        <w:ind w:hanging="794" w:start="1418" w:end="0"/>
        <w:rPr/>
      </w:pPr>
      <w:r>
        <w:rPr/>
        <w:t>(d)(iii)</w:t>
        <w:tab/>
      </w:r>
      <w:r>
        <w:rPr>
          <w:b/>
          <w:i/>
        </w:rPr>
        <w:t xml:space="preserve">If ECI established such an entity in Hong Kong to enter into the Transactions with Local Counterparties, would your answers to any of the questions set out in Section 1A of this Memorandum change in any respect and, if so, how? Are there any limitations on foreign ownership of such an entity? </w:t>
      </w:r>
    </w:p>
    <w:p>
      <w:pPr>
        <w:pStyle w:val="BodyText2"/>
        <w:rPr/>
      </w:pPr>
      <w:r>
        <w:rPr/>
        <w:t xml:space="preserve">Our responses to Section 1A would not change if ECI established such an entity in Hong Kong.  </w:t>
      </w:r>
    </w:p>
    <w:p>
      <w:pPr>
        <w:pStyle w:val="BodyText2"/>
        <w:rPr/>
      </w:pPr>
      <w:r>
        <w:rPr/>
        <w:t>There are no limitations under Hong Kong law on foreign ownership of such an entity in Hong Kong.</w:t>
      </w:r>
    </w:p>
    <w:p>
      <w:pPr>
        <w:pStyle w:val="Heading2"/>
        <w:ind w:hanging="0" w:start="0"/>
        <w:rPr/>
      </w:pPr>
      <w:bookmarkStart w:id="15" w:name="__RefHeading___Toc470323626"/>
      <w:bookmarkEnd w:id="15"/>
      <w:r>
        <w:rPr/>
        <w:t>Section 1C: General Contractual Terms and Formalities</w:t>
      </w:r>
    </w:p>
    <w:p>
      <w:pPr>
        <w:pStyle w:val="BodyText"/>
        <w:ind w:hanging="794" w:start="1418" w:end="0"/>
        <w:rPr/>
      </w:pPr>
      <w:r>
        <w:rPr/>
        <w:t>(a)</w:t>
        <w:tab/>
      </w:r>
      <w:r>
        <w:rPr>
          <w:b/>
          <w:i/>
        </w:rPr>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BodyText2"/>
        <w:keepNext w:val="true"/>
        <w:rPr>
          <w:b/>
          <w:i/>
          <w:i/>
        </w:rPr>
      </w:pPr>
      <w:r>
        <w:rPr>
          <w:b/>
          <w:i/>
        </w:rPr>
        <w:t>Accordingly:</w:t>
      </w:r>
    </w:p>
    <w:p>
      <w:pPr>
        <w:pStyle w:val="BodyText"/>
        <w:keepNext w:val="true"/>
        <w:ind w:hanging="794" w:start="1418" w:end="0"/>
        <w:rPr/>
      </w:pPr>
      <w:r>
        <w:rPr/>
        <w:t>(a)(i)</w:t>
        <w:tab/>
      </w:r>
      <w:r>
        <w:rPr>
          <w:b/>
          <w:i/>
        </w:rPr>
        <w:t>Does local law in Hong Kong contemplate some form of an economic re-opener?</w:t>
      </w:r>
    </w:p>
    <w:p>
      <w:pPr>
        <w:pStyle w:val="BodyText2"/>
        <w:rPr/>
      </w:pPr>
      <w:r>
        <w:rPr/>
        <w:t>We assume for the purposes of answering this question that you do not require us to look at the common law doctrine of frustration of contracts which would apply in Hong Kong in the same way that it applies in England and Wales.</w:t>
      </w:r>
    </w:p>
    <w:p>
      <w:pPr>
        <w:pStyle w:val="BodyText2"/>
        <w:rPr/>
      </w:pPr>
      <w:r>
        <w:rPr/>
        <w:t>On the basis of the above, Hong Kong law does not contemplate any form of an "economic re-opener" and the rights and remedies of the parties under a contract would be governed according to the principles of common law subject to certain statutory provisions which are described in more detail below.</w:t>
      </w:r>
    </w:p>
    <w:p>
      <w:pPr>
        <w:pStyle w:val="BodyText"/>
        <w:ind w:hanging="794" w:start="1418" w:end="0"/>
        <w:rPr/>
      </w:pPr>
      <w:r>
        <w:rPr/>
        <w:t>(a)(ii)</w:t>
        <w:tab/>
      </w:r>
      <w:r>
        <w:rPr>
          <w:b/>
          <w:i/>
        </w:rPr>
        <w:t>Are you aware of any other provisions of local law in Hong Kong that in your experience are ones which would not be anticipated by a US or English lawyer and which may be relevant to the Transactions with Local Counterparties in Hong Kong?</w:t>
      </w:r>
    </w:p>
    <w:p>
      <w:pPr>
        <w:pStyle w:val="BodyText2"/>
        <w:rPr/>
      </w:pPr>
      <w:r>
        <w:rPr/>
        <w:t>There are a number of Hong Kong ordinances that apply to contracts for the sale of goods or the supply of services, or to contracts involving one party dealing as a consumer or on the other party’s standard terms and conditions.</w:t>
      </w:r>
    </w:p>
    <w:p>
      <w:pPr>
        <w:pStyle w:val="BodyText2"/>
        <w:rPr/>
      </w:pPr>
      <w:r>
        <w:rPr/>
        <w:t xml:space="preserve">The question of whether such ordinances would apply depends upon (i) whether bandwidth as the subject of a supply contract would qualify as "goods" or "services" or neither of those, (ii) whether any Local Counterparty would fall within the definition of a consumer, and (iii) whether such Local Counterparty would be deemed to be contracting on ECI’s standard terms and conditions of sale. </w:t>
      </w:r>
    </w:p>
    <w:p>
      <w:pPr>
        <w:pStyle w:val="bullet"/>
        <w:numPr>
          <w:ilvl w:val="0"/>
          <w:numId w:val="50"/>
        </w:numPr>
        <w:tabs>
          <w:tab w:val="clear" w:pos="720"/>
          <w:tab w:val="left" w:pos="2137" w:leader="none"/>
        </w:tabs>
        <w:ind w:hanging="720" w:start="2137" w:end="0"/>
        <w:rPr/>
      </w:pPr>
      <w:r>
        <w:rPr/>
        <w:t>In marketing materials supplied as part of the Documents, Bandwidth is referred to as "a type of data transportation service". This would appear to indicate that bandwidth should be considered as a service rather than goods.  The Documents also discuss Bandwidth as a tradable commodity which will, with time, develop certain benchmarks of quality and standards by which it can be measured. In such case it may also be argued that Bandwidth should be considered as goods.</w:t>
      </w:r>
    </w:p>
    <w:p>
      <w:pPr>
        <w:pStyle w:val="BodyText3"/>
        <w:rPr/>
      </w:pPr>
      <w:r>
        <w:rPr/>
        <w:t>In this regard one may consider as an analogy the question of whether software is considered to be goods or services. While this question has not been resolved under Hong Kong law, it is helpful to point out that an English court of Appeal case (which would have persuasive authority under Hong Kong law) held that where software is transferred on a disk or other tangible medium and the programme is defective there would be an implied breach of the implied terms as to quality and fitness for purpose provided for under UK legislation (and therefore it would be treated as "goods").</w:t>
      </w:r>
    </w:p>
    <w:p>
      <w:pPr>
        <w:pStyle w:val="BodyText3"/>
        <w:rPr/>
      </w:pPr>
      <w:r>
        <w:rPr/>
        <w:t xml:space="preserve">If one applies this case as an analogy to Bandwidth, it is arguable that, given that Bandwidth is not supplied on a tangible medium, it should not be classified as goods but rather as services (in which case a different set of implied terms would apply). </w:t>
      </w:r>
    </w:p>
    <w:p>
      <w:pPr>
        <w:pStyle w:val="BodyText3"/>
        <w:rPr/>
      </w:pPr>
      <w:r>
        <w:rPr/>
        <w:t>On the other hand, another useful analogy would be with the supply of electricity.  Both the supply of electricity and the supply of Bandwidth involve the provision of some form of capacity which is not in tangible form.  Although it is unclear under Hong Kong law whether the supply of electricity is regarded as the supply of a service or the supply of goods, under English law, electricity is in some cases deemed to be a supply of goods (for example for the purposes of consumer protection legislation and for the purposes of European competition legislation).</w:t>
      </w:r>
    </w:p>
    <w:p>
      <w:pPr>
        <w:pStyle w:val="BodyText3"/>
        <w:rPr/>
      </w:pPr>
      <w:r>
        <w:rPr/>
        <w:t>If Bandwidth were considered as goods, implied terms as to quality and fitness for purpose contained in the Sale of Goods Ordinance ("SOGO") may be applicable to sale and purchase contracts relating to Bandwidth (rather than the implied terms applying to services as contained in the Supply of Services (Implied Terms) Ordinance) ("SSITO").</w:t>
      </w:r>
    </w:p>
    <w:p>
      <w:pPr>
        <w:pStyle w:val="BodyText3"/>
        <w:rPr/>
      </w:pPr>
      <w:r>
        <w:rPr/>
        <w:t>In view of the arguments set out above we have considered the implied terms set out in both the SOGO and the SSITO for the purposes of this survey and these are discussed in further detail in our answer in Section 1C(e) below.</w:t>
      </w:r>
    </w:p>
    <w:p>
      <w:pPr>
        <w:pStyle w:val="bullet"/>
        <w:numPr>
          <w:ilvl w:val="0"/>
          <w:numId w:val="50"/>
        </w:numPr>
        <w:tabs>
          <w:tab w:val="clear" w:pos="720"/>
          <w:tab w:val="left" w:pos="2137" w:leader="none"/>
        </w:tabs>
        <w:ind w:hanging="720" w:start="2137" w:end="0"/>
        <w:rPr/>
      </w:pPr>
      <w:r>
        <w:rPr/>
        <w:t>The Control of Exemption Clauses Ordinance ("CECO") states that a party to a contract deals as a consumer where (a) the consumer does not make the contract in the course of a business or does not hold himself out as so doing, (b) the other party does make the contract in the course of a business, and (c) in the case of a contract for the supply of goods, the goods are of a type normally supplied for private use or consumption.</w:t>
      </w:r>
    </w:p>
    <w:p>
      <w:pPr>
        <w:pStyle w:val="BodyText3"/>
        <w:rPr/>
      </w:pPr>
      <w:r>
        <w:rPr/>
        <w:t>In your survey you have stated that ECI will not be entering into the Transactions with private individuals. Consequently it is unlikely that the provisions of the CECO and other Hong Kong ordinances applying to transactions with consumers would apply to the Transactions.</w:t>
      </w:r>
    </w:p>
    <w:p>
      <w:pPr>
        <w:pStyle w:val="bullet"/>
        <w:numPr>
          <w:ilvl w:val="0"/>
          <w:numId w:val="50"/>
        </w:numPr>
        <w:tabs>
          <w:tab w:val="clear" w:pos="720"/>
          <w:tab w:val="left" w:pos="2137" w:leader="none"/>
        </w:tabs>
        <w:ind w:hanging="720" w:start="2137" w:end="0"/>
        <w:rPr/>
      </w:pPr>
      <w:r>
        <w:rPr/>
        <w:t>Certain provisions in the CECO also apply to transactions where one party is dealing on the other’s standard terms and conditions. You have stated that the Local Counterparty will either enter into a Master Agreement substantially in the form of the one provided to us for our review, or will enter into a Transaction orally or by exchange of electronic messages and such Transaction will be subsequently confirmed by a written confirmation attaching GTCs substantially in the form of those you have provided to us.</w:t>
      </w:r>
    </w:p>
    <w:p>
      <w:pPr>
        <w:pStyle w:val="BodyText3"/>
        <w:rPr/>
      </w:pPr>
      <w:r>
        <w:rPr/>
        <w:t>Assuming that in the first case the Local Counterparty would have the opportunity to negotiate the terms of the Master Agreement before entering into any Transaction, the Local Counterparty may not be considered to have entered into the Transaction on ECI’s standard terms and conditions (however if there is no room for negotiation then the contrary would be the case).  In the second case you state that the Local Counterparty would have seen and agreed to the GTCs before entering into the Transaction in which case it is arguable that the parties would not be contracting on the standard terms and conditions of one party.  Again it depends however to what extent such terms and conditions are negotiable by the Local Counterparty before entering into a Transaction.</w:t>
      </w:r>
    </w:p>
    <w:p>
      <w:pPr>
        <w:pStyle w:val="BodyText3"/>
        <w:rPr/>
      </w:pPr>
      <w:r>
        <w:rPr/>
        <w:t>In view of the above we have also considered those provisions of Hong Kong law applying to transactions entered into on one party’s standard terms and conditions and such provisions are discussed in further detail in our answer in Section 1C(e) below.</w:t>
      </w:r>
    </w:p>
    <w:p>
      <w:pPr>
        <w:pStyle w:val="BodyText2"/>
        <w:rPr/>
      </w:pPr>
      <w:r>
        <w:rPr/>
        <w:t>For your ease of reference we set out below details of the Ordinances mentioned above and their scope of application as well as details of the Misrepresentations Ordinance which may also apply to the Transactions:</w:t>
      </w:r>
    </w:p>
    <w:p>
      <w:pPr>
        <w:pStyle w:val="Normal"/>
        <w:numPr>
          <w:ilvl w:val="0"/>
          <w:numId w:val="32"/>
        </w:numPr>
        <w:tabs>
          <w:tab w:val="clear" w:pos="720"/>
          <w:tab w:val="left" w:pos="2211" w:leader="none"/>
        </w:tabs>
        <w:ind w:hanging="794" w:start="2211" w:end="0"/>
        <w:rPr/>
      </w:pPr>
      <w:r>
        <w:rPr>
          <w:b/>
        </w:rPr>
        <w:t>The Sale of Goods Ordinance (Cap. 26) ("SOGO")</w:t>
      </w:r>
      <w:r>
        <w:rPr/>
        <w:t>: As we have mentioned, SOGO applies to the sale of "goods" defined as all "chattels personal other than things in action and money".  The question of whether this would apply to the trading of Bandwidth has already been discussed above. For the purposes of this survey, and for the sake of completeness, we have assumed that SOGO would apply to Bandwidth and have considered below in Section 1C(e) the most relevant sections thereof dealing with implied terms.</w:t>
      </w:r>
    </w:p>
    <w:p>
      <w:pPr>
        <w:pStyle w:val="Normal"/>
        <w:numPr>
          <w:ilvl w:val="0"/>
          <w:numId w:val="18"/>
        </w:numPr>
        <w:tabs>
          <w:tab w:val="clear" w:pos="720"/>
          <w:tab w:val="left" w:pos="2211" w:leader="none"/>
        </w:tabs>
        <w:ind w:hanging="794" w:start="2211" w:end="0"/>
        <w:rPr/>
      </w:pPr>
      <w:r>
        <w:rPr>
          <w:b/>
        </w:rPr>
        <w:t>Control of Exemption Clauses Ordinance (Cap. 71) ("CECO")</w:t>
      </w:r>
      <w:r>
        <w:rPr/>
        <w:t xml:space="preserve">: CECO generally applies to all contracts whose terms attempt to exclude or limit a variety of types of liability. CECO states that its terms do not apply to "international supply contracts".  It is unclear whether the Transactions would fall within the definition of international supply contract as the language of the relevant provision of CECO arguably is directed principally at contracts governing the cross-border supply of tangible commodities and envisages the "delivery" of goods between parties in different States.  There may therefore be an argument that the supply of Bandwidth does not fall within the definition of "international supply contract" for the reason that there is no physical delivery of "goods".  On the basis that it is not possible to draw any definite conclusion on this point, we have, in any case, considered the terms of the CECO in Section 1C(e) below. </w:t>
      </w:r>
    </w:p>
    <w:p>
      <w:pPr>
        <w:pStyle w:val="Normal"/>
        <w:numPr>
          <w:ilvl w:val="0"/>
          <w:numId w:val="18"/>
        </w:numPr>
        <w:tabs>
          <w:tab w:val="clear" w:pos="720"/>
          <w:tab w:val="left" w:pos="2211" w:leader="none"/>
        </w:tabs>
        <w:ind w:hanging="794" w:start="2211" w:end="0"/>
        <w:rPr/>
      </w:pPr>
      <w:r>
        <w:rPr>
          <w:b/>
        </w:rPr>
        <w:t>The Supply of Services (Implied Terms) Ordinance (Cap. 457) ("SSITO")</w:t>
      </w:r>
      <w:r>
        <w:rPr/>
        <w:t>: This Ordinance applies to any contract under which a person agrees to carry out a service (whether or not the contract also provides for the transfer of goods).  It provides for certain implied terms to apply to such contracts where there are no express terms to the contrary.</w:t>
      </w:r>
    </w:p>
    <w:p>
      <w:pPr>
        <w:pStyle w:val="Normal"/>
        <w:numPr>
          <w:ilvl w:val="0"/>
          <w:numId w:val="18"/>
        </w:numPr>
        <w:tabs>
          <w:tab w:val="clear" w:pos="720"/>
          <w:tab w:val="left" w:pos="2211" w:leader="none"/>
        </w:tabs>
        <w:ind w:hanging="794" w:start="2211" w:end="0"/>
        <w:rPr>
          <w:b/>
          <w:i/>
          <w:i/>
        </w:rPr>
      </w:pPr>
      <w:r>
        <w:rPr>
          <w:b/>
        </w:rPr>
        <w:t>The Misrepresentations Ordinance (Cap. 284) ("MO")</w:t>
      </w:r>
      <w:r>
        <w:rPr/>
        <w:t>: The Misrepresentations Ordinance generally seeks to amend the common law rules relating to innocent misrepresentations. The MO permits a person who has entered into a contract after a misrepresentation has been made to him and such misrepresentation has become a term of the contract, or the contract has been performed, to rescind the contract.  In addition, where a person has entered into a contract after a misrepresentation has been made and suffered loss as a result, then the person making the misrepresentation will be liable to damages (this will not apply if the person making the misrepresentation can prove that he believed the misrepresentation was true up until the time when the contract was entered into).  With respect to rescission of the contract, the court has the discretion to substitute damages in lieu of rescission if it is of the opinion that it would be equitable to do so having regard to the nature of the misrepresentation and the loss caused.</w:t>
      </w:r>
    </w:p>
    <w:p>
      <w:pPr>
        <w:pStyle w:val="BodyText"/>
        <w:ind w:hanging="794" w:start="1418" w:end="0"/>
        <w:rPr/>
      </w:pPr>
      <w:r>
        <w:rPr/>
        <w:t>(b)(i)</w:t>
        <w:tab/>
      </w:r>
      <w:r>
        <w:rPr>
          <w:b/>
          <w:i/>
        </w:rPr>
        <w:t>Is it a correct statement of local law in Hong Kong to say that, under that law, both ECI and Local Counterparty will have legally binding obligations in respect of a Transaction once that Transaction has been agreed in a telephone conversation or by exchange of electronic messages?</w:t>
      </w:r>
    </w:p>
    <w:p>
      <w:pPr>
        <w:pStyle w:val="BodyText2"/>
        <w:rPr/>
      </w:pPr>
      <w:r>
        <w:rPr/>
        <w:t>As under English law, Hong Kong law recognises contracts executed in written or oral form except that under certain circumstances a contract must be executed as a deed (although it is unlikely that such circumstances would apply to the Transactions). The formation of contracts under Hong Kong law is governed by common law principles and a contract is therefore formed upon an offer of one party being accepted by another.</w:t>
      </w:r>
    </w:p>
    <w:p>
      <w:pPr>
        <w:pStyle w:val="BodyText2"/>
        <w:rPr/>
      </w:pPr>
      <w:r>
        <w:rPr/>
        <w:t>To the extent that there is an offer made by one party which is accepted by the other whether over the telephone or over the Internet or by other electronic means, a contract will therefore be deemed to have been formed.  Please see also our answer to Section 1C(b)(ii) below.</w:t>
      </w:r>
    </w:p>
    <w:p>
      <w:pPr>
        <w:pStyle w:val="BodyText"/>
        <w:keepNext w:val="true"/>
        <w:ind w:hanging="794" w:start="1418" w:end="0"/>
        <w:rPr/>
      </w:pPr>
      <w:r>
        <w:rPr/>
        <w:t>(b)(ii)</w:t>
        <w:tab/>
      </w:r>
      <w:r>
        <w:rPr>
          <w:b/>
          <w:i/>
        </w:rPr>
        <w:t xml:space="preserve">In respect of Transactions entered into by way of exchange of electronic messages, do any special laws or regulations exist in Hong Kong which would prevent or in any way impact upon marketing or trading or any of the Transactions through the internet? </w:t>
      </w:r>
    </w:p>
    <w:p>
      <w:pPr>
        <w:pStyle w:val="BodyText2"/>
        <w:rPr/>
      </w:pPr>
      <w:r>
        <w:rPr/>
        <w:t>With regard to marketing and advertising generally, please see our answers to Section 1I below.</w:t>
      </w:r>
    </w:p>
    <w:p>
      <w:pPr>
        <w:pStyle w:val="BodyText2"/>
        <w:rPr/>
      </w:pPr>
      <w:r>
        <w:rPr/>
        <w:t>Hong Kong law currently has no specific legislation relating to contracts formed over the Internet or other forms of electronic commerce over the Internet.  Moreover, to date, there have been no reported cases in Hong Kong dealing with the issues raised by electronic commerce.  However, the Hong Kong Information Technology and Broadcasting Bureau (ITBB) has proposed an Electronic Transactions Bill which is expected to be passed by the Hong Kong Legislative Council by the end of this year.</w:t>
      </w:r>
    </w:p>
    <w:p>
      <w:pPr>
        <w:pStyle w:val="BodyText2"/>
        <w:rPr/>
      </w:pPr>
      <w:r>
        <w:rPr/>
        <w:t>The provisions of the Electronic Transactions Bill provide that electronic contracts will be validly formed and that unless otherwise agreed between the parties, an offer and the acceptance of an offer may be expressed by means of electronic "records" (i.e. electronic messages). There is no requirement that the whole contract be carried out electronically and any part of the contract can be made by electronic messaging.  The Electronic Transactions Bill also sets out rules to establish when and where a record is sent and received (subject to an agreement otherwise between the parties):</w:t>
      </w:r>
    </w:p>
    <w:p>
      <w:pPr>
        <w:pStyle w:val="BodyText2"/>
        <w:rPr/>
      </w:pPr>
      <w:r>
        <w:rPr/>
        <w:t>An electronic record is sent when it is accepted by an information system outside the originator’s control and is taken to have been sent at the place of business of the originator.</w:t>
      </w:r>
    </w:p>
    <w:p>
      <w:pPr>
        <w:pStyle w:val="BodyText2"/>
        <w:rPr/>
      </w:pPr>
      <w:r>
        <w:rPr/>
        <w:t>An electronic record is received either when it is accepted by the information system designated by the addressee for that purpose or if sent to a different information system of the addressee or he or she has not designated one, at the time it comes to the attention of the addressee. The electronic record is taken to have been received at the place of business of the addressee.</w:t>
      </w:r>
    </w:p>
    <w:p>
      <w:pPr>
        <w:pStyle w:val="BodyText2"/>
        <w:rPr/>
      </w:pPr>
      <w:r>
        <w:rPr/>
        <w:t>An electronic record will not be denied admissibility in evidence in any legal proceedings in Hong Kong on the sole ground that it is an electronic record.</w:t>
      </w:r>
    </w:p>
    <w:p>
      <w:pPr>
        <w:pStyle w:val="BodyText"/>
        <w:ind w:hanging="794" w:start="1418" w:end="0"/>
        <w:rPr/>
      </w:pPr>
      <w:r>
        <w:rPr/>
        <w:t>(b)(iii)</w:t>
        <w:tab/>
      </w:r>
      <w:r>
        <w:rPr>
          <w:b/>
          <w:i/>
        </w:rPr>
        <w:t>If the answer to (b)(ii) above is yes, indicate whether the impact of any relevant laws or regulations will differ depending upon whether (1) the relevant internet site is maintained in Hong Kong or elsewhere; or (2) the party effecting the marketing/trading through the internet is locally licensed or benefits from any form of exemption to carry out the relevant business.</w:t>
      </w:r>
    </w:p>
    <w:p>
      <w:pPr>
        <w:pStyle w:val="BodyText2"/>
        <w:rPr/>
      </w:pPr>
      <w:r>
        <w:rPr/>
        <w:t>For the purposes of this Section 1, you have asked us to assume that the relevant Local Counterparty is in Hong Kong.  The scenario described in (1) will only be impacted by the Electronic Transactions Bill (once it has been enacted and has entered into force, and assuming it enters into force in its current form) to the extent that the parties have not expressly agreed the time and place for delivery of electronic messages.  Therefore if the website maintained in Hong Kong is delivering and receiving electronic messages containing offers and acceptances of such offers in respect of the sale and purchase of Bandwidth, the rules described in our answer to Question 1C(b)(ii) above will apply with respect to the deemed time and place of formation of a binding contract for the sale of Bandwidth.</w:t>
      </w:r>
    </w:p>
    <w:p>
      <w:pPr>
        <w:pStyle w:val="BodyText2"/>
        <w:rPr/>
      </w:pPr>
      <w:r>
        <w:rPr/>
        <w:t xml:space="preserve">Given that a locally licensed party carrying on marketing/trading through the Internet is likely to have established a place of business in Hong Kong, the scenario described in (2) above would not be impacted by the Electronic Transactions Bill (once it has been enacted and has entered into force, and assuming it enters into force in its current form). </w:t>
      </w:r>
    </w:p>
    <w:p>
      <w:pPr>
        <w:pStyle w:val="BodyText"/>
        <w:ind w:hanging="794" w:start="1418" w:end="0"/>
        <w:rPr/>
      </w:pPr>
      <w:r>
        <w:rPr/>
        <w:t>(b)(iv)</w:t>
        <w:tab/>
      </w:r>
      <w:r>
        <w:rPr>
          <w:b/>
          <w:i/>
        </w:rPr>
        <w:t>Please confirm that by marketing to or trading with Local Counterparties via the internet, local relevant regulatory bodies/local laws or regulations will not consider a party maintaining the relevant website to have established a physical establishment/branch in your jurisdiction.</w:t>
      </w:r>
    </w:p>
    <w:p>
      <w:pPr>
        <w:pStyle w:val="BodyText2"/>
        <w:rPr/>
      </w:pPr>
      <w:r>
        <w:rPr/>
        <w:t>The answer to this question will depend upon two issues which relate largely to questions of fact: (1) whether ECI would be considered to be carrying on business in Hong Kong; and (2) whether ECI would be considered to have established a place of business in Hong Kong.</w:t>
      </w:r>
    </w:p>
    <w:p>
      <w:pPr>
        <w:pStyle w:val="bullet"/>
        <w:numPr>
          <w:ilvl w:val="0"/>
          <w:numId w:val="0"/>
        </w:numPr>
        <w:ind w:hanging="0" w:start="1418" w:end="0"/>
        <w:rPr/>
      </w:pPr>
      <w:r>
        <w:rPr/>
        <w:t xml:space="preserve">In considering the issue of whether a foreign company is "carrying on business" in Hong Kong, a Hong Kong court would consider a number of factors.  Such factors will include, for example, the number of counterparties located in Hong Kong, the frequency of Transactions carried out with Local Counterparties in Hong Kong, whether ECI has a place of business in Hong Kong and whether employees of ECI frequently visit Hong Kong in order to promote the Transactions or conclude Transactions in Hong Kong. There is no clear cut statutory definition of "carrying on business" and whether or not ECI would be carrying on such a business in Hong Kong will be a question of fact, not law. </w:t>
      </w:r>
    </w:p>
    <w:p>
      <w:pPr>
        <w:pStyle w:val="BodyText3"/>
        <w:ind w:start="1440" w:end="0"/>
        <w:rPr/>
      </w:pPr>
      <w:r>
        <w:rPr/>
        <w:t>Further, the factors listed above are not conclusive and, the absence or the existence of one of these factors will not in itself be conclusive, but merely relevant in considering whether ECI will be deemed to be carrying on a business in Hong Kong.</w:t>
      </w:r>
    </w:p>
    <w:p>
      <w:pPr>
        <w:pStyle w:val="bullet"/>
        <w:numPr>
          <w:ilvl w:val="0"/>
          <w:numId w:val="0"/>
        </w:numPr>
        <w:ind w:hanging="0" w:start="1418" w:end="0"/>
        <w:rPr/>
      </w:pPr>
      <w:r>
        <w:rPr/>
        <w:t>In relation to establishing a "place of business" in Hong Kong, Section 333 of the Companies Ordinance states that any oversea company which has established a place of business in Hong Kong must within one month of establishment deliver certain documents to the registrar for registration.  Section 341 states that a place of business includes a share transfer or share registration office and a place used for the manufacturing or warehousing of goods.  The Companies Ordinance does not therefore provide a finite definition of a place of business and merely states what may be included within the phrase.  Our analysis of the case law on this subject has raised the following points which should also be taken into consideration in considering whether an oversea company has established a place of business in Hong Kong.  Please note that these points are not conclusive.</w:t>
      </w:r>
    </w:p>
    <w:p>
      <w:pPr>
        <w:pStyle w:val="squarebullet"/>
        <w:numPr>
          <w:ilvl w:val="0"/>
          <w:numId w:val="14"/>
        </w:numPr>
        <w:tabs>
          <w:tab w:val="clear" w:pos="720"/>
          <w:tab w:val="left" w:pos="2138" w:leader="none"/>
        </w:tabs>
        <w:ind w:hanging="720" w:start="2138" w:end="0"/>
        <w:rPr/>
      </w:pPr>
      <w:r>
        <w:rPr/>
        <w:t>"Establishing a place of business" has a narrower meaning than "carrying on business".  A businessman who signs a contract in a hotel room, for example, could be said to be "carrying on business" from the hotel, but he would not be required to register the hotel under the Companies Ordinance as his place of business.</w:t>
      </w:r>
    </w:p>
    <w:p>
      <w:pPr>
        <w:pStyle w:val="squarebullet"/>
        <w:numPr>
          <w:ilvl w:val="0"/>
          <w:numId w:val="14"/>
        </w:numPr>
        <w:tabs>
          <w:tab w:val="clear" w:pos="720"/>
          <w:tab w:val="left" w:pos="2138" w:leader="none"/>
        </w:tabs>
        <w:ind w:hanging="720" w:start="2138" w:end="0"/>
        <w:rPr/>
      </w:pPr>
      <w:r>
        <w:rPr/>
        <w:t>A place of business is a "local habitation" of the company.</w:t>
      </w:r>
    </w:p>
    <w:p>
      <w:pPr>
        <w:pStyle w:val="squarebullet"/>
        <w:numPr>
          <w:ilvl w:val="0"/>
          <w:numId w:val="14"/>
        </w:numPr>
        <w:tabs>
          <w:tab w:val="clear" w:pos="720"/>
          <w:tab w:val="left" w:pos="2138" w:leader="none"/>
        </w:tabs>
        <w:ind w:hanging="720" w:start="2138" w:end="0"/>
        <w:rPr/>
      </w:pPr>
      <w:r>
        <w:rPr/>
        <w:t>If an oversea company establishes a representative office in Hong Kong which does not transact any business which creates legal obligations, it will not have to register that representative office with the Companies Registry.</w:t>
      </w:r>
    </w:p>
    <w:p>
      <w:pPr>
        <w:pStyle w:val="squarebullet"/>
        <w:numPr>
          <w:ilvl w:val="0"/>
          <w:numId w:val="14"/>
        </w:numPr>
        <w:tabs>
          <w:tab w:val="clear" w:pos="720"/>
          <w:tab w:val="left" w:pos="2138" w:leader="none"/>
        </w:tabs>
        <w:ind w:hanging="720" w:start="2138" w:end="0"/>
        <w:rPr/>
      </w:pPr>
      <w:r>
        <w:rPr/>
        <w:t>If an oversea company operates from premises in Hong Kong, and transacts business from those premises which involves the creation of legal obligations, it will almost certainly have established a place of business in Hong Kong.</w:t>
      </w:r>
    </w:p>
    <w:p>
      <w:pPr>
        <w:pStyle w:val="squarebullet"/>
        <w:numPr>
          <w:ilvl w:val="0"/>
          <w:numId w:val="14"/>
        </w:numPr>
        <w:tabs>
          <w:tab w:val="clear" w:pos="720"/>
          <w:tab w:val="left" w:pos="2138" w:leader="none"/>
        </w:tabs>
        <w:ind w:hanging="720" w:start="2138" w:end="0"/>
        <w:rPr/>
      </w:pPr>
      <w:r>
        <w:rPr/>
        <w:t>If an oversea company appoints an introductory agent merely to find customers, with all contracts concluded by the oversea company as principal offshore, the oversea company will not be establishing a place of business in Hong Kong.</w:t>
      </w:r>
    </w:p>
    <w:p>
      <w:pPr>
        <w:pStyle w:val="squarebullet"/>
        <w:numPr>
          <w:ilvl w:val="0"/>
          <w:numId w:val="14"/>
        </w:numPr>
        <w:tabs>
          <w:tab w:val="clear" w:pos="720"/>
          <w:tab w:val="left" w:pos="2138" w:leader="none"/>
        </w:tabs>
        <w:ind w:hanging="720" w:start="2138" w:end="0"/>
        <w:rPr/>
      </w:pPr>
      <w:r>
        <w:rPr/>
        <w:t>If an oversea company appoints a full agent to identify customers and concludes contracts for it as its agent in Hong Kong, the oversea company is probably not establishing a place of business in Hong Kong, although the case law is not entirely clear on this point.</w:t>
      </w:r>
    </w:p>
    <w:p>
      <w:pPr>
        <w:pStyle w:val="squarebullet"/>
        <w:numPr>
          <w:ilvl w:val="0"/>
          <w:numId w:val="0"/>
        </w:numPr>
        <w:ind w:hanging="0" w:start="1418" w:end="0"/>
        <w:rPr/>
      </w:pPr>
      <w:r>
        <w:rPr/>
        <w:t>Although none of the following factors is conclusive, if an oversea company does any of the following in Hong Kong it may have established a place of business in Hong Kong:</w:t>
      </w:r>
    </w:p>
    <w:p>
      <w:pPr>
        <w:pStyle w:val="Normal"/>
        <w:numPr>
          <w:ilvl w:val="0"/>
          <w:numId w:val="52"/>
        </w:numPr>
        <w:tabs>
          <w:tab w:val="clear" w:pos="720"/>
          <w:tab w:val="left" w:pos="2138" w:leader="none"/>
        </w:tabs>
        <w:ind w:hanging="720" w:start="2138" w:end="0"/>
        <w:rPr/>
      </w:pPr>
      <w:r>
        <w:rPr/>
        <w:t>maintains an office in Hong Kong which is not just a representative office (whether or not it owns, leases or merely occupies the premises);</w:t>
      </w:r>
    </w:p>
    <w:p>
      <w:pPr>
        <w:pStyle w:val="Normal"/>
        <w:numPr>
          <w:ilvl w:val="0"/>
          <w:numId w:val="14"/>
        </w:numPr>
        <w:tabs>
          <w:tab w:val="clear" w:pos="720"/>
          <w:tab w:val="left" w:pos="2138" w:leader="none"/>
        </w:tabs>
        <w:ind w:hanging="720" w:start="2138" w:end="0"/>
        <w:rPr/>
      </w:pPr>
      <w:r>
        <w:rPr/>
        <w:t>employs staff at premises in Hong Kong;</w:t>
      </w:r>
    </w:p>
    <w:p>
      <w:pPr>
        <w:pStyle w:val="Normal"/>
        <w:numPr>
          <w:ilvl w:val="0"/>
          <w:numId w:val="14"/>
        </w:numPr>
        <w:tabs>
          <w:tab w:val="clear" w:pos="720"/>
          <w:tab w:val="left" w:pos="2138" w:leader="none"/>
        </w:tabs>
        <w:ind w:hanging="720" w:start="2138" w:end="0"/>
        <w:rPr/>
      </w:pPr>
      <w:r>
        <w:rPr/>
        <w:t>keeps a share register or stock register at Hong Kong premises;</w:t>
      </w:r>
    </w:p>
    <w:p>
      <w:pPr>
        <w:pStyle w:val="Normal"/>
        <w:numPr>
          <w:ilvl w:val="0"/>
          <w:numId w:val="14"/>
        </w:numPr>
        <w:tabs>
          <w:tab w:val="clear" w:pos="720"/>
          <w:tab w:val="left" w:pos="2138" w:leader="none"/>
        </w:tabs>
        <w:ind w:hanging="720" w:start="2138" w:end="0"/>
        <w:rPr/>
      </w:pPr>
      <w:r>
        <w:rPr/>
        <w:t>has a nameplate at Hong Kong premises;</w:t>
      </w:r>
    </w:p>
    <w:p>
      <w:pPr>
        <w:pStyle w:val="Normal"/>
        <w:numPr>
          <w:ilvl w:val="0"/>
          <w:numId w:val="14"/>
        </w:numPr>
        <w:tabs>
          <w:tab w:val="clear" w:pos="720"/>
          <w:tab w:val="left" w:pos="2138" w:leader="none"/>
        </w:tabs>
        <w:ind w:hanging="720" w:start="2138" w:end="0"/>
        <w:rPr/>
      </w:pPr>
      <w:r>
        <w:rPr/>
        <w:t>has stationary or business cards which give a Hong Kong address for the company;</w:t>
      </w:r>
    </w:p>
    <w:p>
      <w:pPr>
        <w:pStyle w:val="Normal"/>
        <w:numPr>
          <w:ilvl w:val="0"/>
          <w:numId w:val="14"/>
        </w:numPr>
        <w:tabs>
          <w:tab w:val="clear" w:pos="720"/>
          <w:tab w:val="left" w:pos="2138" w:leader="none"/>
        </w:tabs>
        <w:ind w:hanging="720" w:start="2138" w:end="0"/>
        <w:rPr/>
      </w:pPr>
      <w:r>
        <w:rPr/>
        <w:t>keeps a minute book or other company books at Hong Kong premises.</w:t>
      </w:r>
    </w:p>
    <w:p>
      <w:pPr>
        <w:pStyle w:val="Normal"/>
        <w:ind w:start="1418" w:end="0"/>
        <w:rPr/>
      </w:pPr>
      <w:r>
        <w:rPr/>
        <w:t>None of the case law considers the issue of whether maintaining a website in Hong Kong would in itself be deemed as to amount to establishing a place of business in Hong Kong.  Assuming, however, that ECI would need to employ staff to maintain the website in Hong Kong, rent premises from which to do so and assuming also that although not all, but at least some of the Transactions made by electronic record would be deemed to have been concluded in Hong Kong according to the Electronic Transactions Bill (once it has been enacted and has entered into force, and assuming it enters into force in its current form), such factors may give rise to a risk that ECI would be deemed to have established a place of business requiring registration under section 333 of the Companies Ordinance.</w:t>
      </w:r>
    </w:p>
    <w:p>
      <w:pPr>
        <w:pStyle w:val="Normal"/>
        <w:ind w:start="1418" w:end="0"/>
        <w:rPr/>
      </w:pPr>
      <w:r>
        <w:rPr/>
        <w:t xml:space="preserve">If the website was maintained and existed outside of Hong Kong, the fact that such website would be accessible by parties in Hong Kong, of itself, would not be sufficient to give rise to any risk that ECI would be deemed to have established a place of business in Hong Kong.  </w:t>
      </w:r>
    </w:p>
    <w:p>
      <w:pPr>
        <w:pStyle w:val="BodyText2"/>
        <w:ind w:hanging="720" w:start="1440" w:end="0"/>
        <w:rPr/>
      </w:pPr>
      <w:r>
        <w:rPr/>
        <w:t>(c)</w:t>
        <w:tab/>
      </w:r>
      <w:r>
        <w:rPr>
          <w:b/>
          <w:i/>
        </w:rPr>
        <w:t>ECI's practice is to record the telephone lines of its traders.  Does that give rise to any issues under local law in Hong Kong?</w:t>
      </w:r>
    </w:p>
    <w:p>
      <w:pPr>
        <w:pStyle w:val="BodyText3"/>
        <w:ind w:start="1440" w:end="0"/>
        <w:rPr/>
      </w:pPr>
      <w:r>
        <w:rPr/>
        <w:t>The laws set out below are relevant to the issue of whether ECI may record the telephone lines of its traders.  Taken as a whole, these laws do not prohibit the taping of telephone conversations.  ECI should, however, obtain the consent of its traders and the Local Counterparty to their conversations being recorded.</w:t>
      </w:r>
    </w:p>
    <w:p>
      <w:pPr>
        <w:pStyle w:val="BodyText3"/>
        <w:numPr>
          <w:ilvl w:val="0"/>
          <w:numId w:val="53"/>
        </w:numPr>
        <w:tabs>
          <w:tab w:val="clear" w:pos="720"/>
          <w:tab w:val="left" w:pos="2160" w:leader="none"/>
        </w:tabs>
        <w:ind w:hanging="720" w:start="2160" w:end="0"/>
        <w:rPr/>
      </w:pPr>
      <w:r>
        <w:rPr>
          <w:b/>
        </w:rPr>
        <w:t>Interception of Communications Ordinance</w:t>
      </w:r>
      <w:r>
        <w:rPr/>
        <w:t>: Under the Interception of Communications Ordinance ("ICO") a person who intentionally intercepts a communication in the course of its transmission by means of a telecommunications system shall, subject to certain exceptions, be guilty of an offence.</w:t>
      </w:r>
    </w:p>
    <w:p>
      <w:pPr>
        <w:pStyle w:val="BodyText3"/>
        <w:rPr/>
      </w:pPr>
      <w:r>
        <w:rPr/>
        <w:t>However, the ICO has not yet been brought into force and no commencement date has been announced.  The ICO was introduced into the Hong Kong Legislative Council as a private member’s bill and was passed despite Government objections to its enactment.  The Government is currently undertaking a comprehensive review of the whole issue of regulation of interception of communications and as part of this review, will consider whether the ICO should be brought into force.  The Government has not set a firm timetable for the completion of this review.</w:t>
      </w:r>
    </w:p>
    <w:p>
      <w:pPr>
        <w:pStyle w:val="Normal"/>
        <w:ind w:start="2160" w:end="0"/>
        <w:rPr/>
      </w:pPr>
      <w:r>
        <w:rPr/>
        <w:t>In contrast to the English Interception of Communications Act, the ICO applies to all telecommunications systems whether public or private.  Moreover, the ICO has no geographical limit: it applies wherever communications are intercepted (although if communications are intercepted outside of Hong Kong by an entity with no presence in Hong Kong, such as ECI, it is difficult to see how the Hong Kong authorities could in practice take enforcement action).  Accordingly, if the ICO is ever brought into force it would, at least in theory, apply to the recording of telephone conversations by ECI from outside of Hong Kong.</w:t>
      </w:r>
    </w:p>
    <w:p>
      <w:pPr>
        <w:pStyle w:val="BodyText4"/>
        <w:tabs>
          <w:tab w:val="clear" w:pos="720"/>
          <w:tab w:val="left" w:pos="2835" w:leader="none"/>
        </w:tabs>
        <w:ind w:start="2160" w:end="0"/>
        <w:rPr/>
      </w:pPr>
      <w:r>
        <w:rPr/>
        <w:t>Under the ICO, it would be a criminal offence for ECI to record the telephone conversations of its traders unless ECI has reasonable grounds for believing that the persons undertaking the conversation have consented.  ECI should therefore obtain the consent of its traders and the Local Counterparty before taping their conversations.</w:t>
      </w:r>
    </w:p>
    <w:p>
      <w:pPr>
        <w:pStyle w:val="bullet"/>
        <w:numPr>
          <w:ilvl w:val="0"/>
          <w:numId w:val="50"/>
        </w:numPr>
        <w:tabs>
          <w:tab w:val="clear" w:pos="720"/>
          <w:tab w:val="left" w:pos="2160" w:leader="none"/>
        </w:tabs>
        <w:ind w:hanging="720" w:start="2160" w:end="0"/>
        <w:rPr/>
      </w:pPr>
      <w:r>
        <w:rPr>
          <w:b/>
        </w:rPr>
        <w:t>Personal Data (Privacy) Ordinance:</w:t>
      </w:r>
      <w:r>
        <w:rPr/>
        <w:t xml:space="preserve">  The Personal Data (Privacy) Ordinance ("PDPO") regulates the collection, retention and use of "data" which are "personal data".  (Please see Section 1C(d)(i) below for more detail).</w:t>
      </w:r>
    </w:p>
    <w:p>
      <w:pPr>
        <w:pStyle w:val="bullet"/>
        <w:numPr>
          <w:ilvl w:val="0"/>
          <w:numId w:val="0"/>
        </w:numPr>
        <w:ind w:hanging="0" w:start="2160" w:end="0"/>
        <w:rPr/>
      </w:pPr>
      <w:r>
        <w:rPr/>
        <w:t>Since the telephone conversations will be recorded they will constitute "data" as defined in the PDPO.  However, the data will only constitute "personal data" if the data is in a form in which access to or processing of data is practicable and that data relates to a living individual who could be identified from those data or from other data which the data controller could obtain.</w:t>
      </w:r>
    </w:p>
    <w:p>
      <w:pPr>
        <w:pStyle w:val="Normal"/>
        <w:ind w:start="2160" w:end="0"/>
        <w:rPr/>
      </w:pPr>
      <w:r>
        <w:rPr/>
        <w:t>If personal data is recorded during the telephone conversations then the PDPO will apply.  As the PDPO does not contain any clause geographically limiting its operation, it theoretically applies to data collected, retained and used outside of Hong Kong.  However, whilst the Privacy Commissioner (Hong Kong’s data privacy regulator) is obliged to investigate most complaints, he has a discretion to decline to investigate a complaint where there is no connection with Hong Kong (see Section 1C(d)(i) below for what constitutes a connection with Hong Kong).</w:t>
      </w:r>
    </w:p>
    <w:p>
      <w:pPr>
        <w:pStyle w:val="Normal"/>
        <w:ind w:start="2160" w:end="0"/>
        <w:rPr>
          <w:b/>
        </w:rPr>
      </w:pPr>
      <w:r>
        <w:rPr/>
        <w:t xml:space="preserve">If the PDPO applies, ECI (as the "data controller", being the entity will control the collection, holding and processing of the personal data) will need to comply with the data protection principles set out in Schedule 1 of the PDPO.  Please also see our answer to Section 1C(d)(ii) below for more detail as to the data protection principles. </w:t>
      </w:r>
    </w:p>
    <w:p>
      <w:pPr>
        <w:pStyle w:val="bullet"/>
        <w:numPr>
          <w:ilvl w:val="0"/>
          <w:numId w:val="50"/>
        </w:numPr>
        <w:tabs>
          <w:tab w:val="clear" w:pos="720"/>
          <w:tab w:val="left" w:pos="2160" w:leader="none"/>
        </w:tabs>
        <w:ind w:hanging="720" w:start="2160" w:end="0"/>
        <w:rPr/>
      </w:pPr>
      <w:r>
        <w:rPr>
          <w:b/>
        </w:rPr>
        <w:t>Confidentiality</w:t>
      </w:r>
      <w:r>
        <w:rPr/>
        <w:t>:</w:t>
      </w:r>
      <w:r>
        <w:rPr>
          <w:b/>
        </w:rPr>
        <w:t xml:space="preserve">  </w:t>
      </w:r>
      <w:r>
        <w:rPr/>
        <w:t>Grounds for action may lie where information given to ECI in confidence during a telephone conversation is subsequently disclosed to a third party without the authority of the person providing the information.  Such confidential information may include personal information but also information in relation to trade secrets and other business interests.</w:t>
      </w:r>
    </w:p>
    <w:p>
      <w:pPr>
        <w:pStyle w:val="bullet"/>
        <w:numPr>
          <w:ilvl w:val="0"/>
          <w:numId w:val="0"/>
        </w:numPr>
        <w:ind w:hanging="0" w:start="2160" w:end="0"/>
        <w:rPr/>
      </w:pPr>
      <w:r>
        <w:rPr/>
        <w:t>Whether an obligation of confidence exists depends upon the circumstances.  A duty of confidentiality may exist where:</w:t>
      </w:r>
    </w:p>
    <w:p>
      <w:pPr>
        <w:pStyle w:val="bullet"/>
        <w:numPr>
          <w:ilvl w:val="0"/>
          <w:numId w:val="35"/>
        </w:numPr>
        <w:tabs>
          <w:tab w:val="clear" w:pos="720"/>
          <w:tab w:val="left" w:pos="2520" w:leader="none"/>
        </w:tabs>
        <w:ind w:hanging="360" w:start="2520" w:end="0"/>
        <w:rPr/>
      </w:pPr>
      <w:r>
        <w:rPr/>
        <w:t>the information has the necessary quality of confidence;</w:t>
      </w:r>
    </w:p>
    <w:p>
      <w:pPr>
        <w:pStyle w:val="bullet"/>
        <w:numPr>
          <w:ilvl w:val="0"/>
          <w:numId w:val="35"/>
        </w:numPr>
        <w:tabs>
          <w:tab w:val="clear" w:pos="720"/>
          <w:tab w:val="left" w:pos="2520" w:leader="none"/>
        </w:tabs>
        <w:ind w:hanging="360" w:start="2520" w:end="0"/>
        <w:rPr/>
      </w:pPr>
      <w:r>
        <w:rPr/>
        <w:t>the information was provided in circumstances importing an obligation of confidence; and</w:t>
      </w:r>
    </w:p>
    <w:p>
      <w:pPr>
        <w:pStyle w:val="bullet"/>
        <w:numPr>
          <w:ilvl w:val="0"/>
          <w:numId w:val="35"/>
        </w:numPr>
        <w:tabs>
          <w:tab w:val="clear" w:pos="720"/>
          <w:tab w:val="left" w:pos="2520" w:leader="none"/>
        </w:tabs>
        <w:ind w:hanging="360" w:start="2520" w:end="0"/>
        <w:rPr/>
      </w:pPr>
      <w:r>
        <w:rPr/>
        <w:t>there is a breach of that obligation of confidence with a resulting threat of detriment to the owner of the information.</w:t>
      </w:r>
    </w:p>
    <w:p>
      <w:pPr>
        <w:pStyle w:val="bullet"/>
        <w:numPr>
          <w:ilvl w:val="0"/>
          <w:numId w:val="0"/>
        </w:numPr>
        <w:ind w:hanging="0" w:start="2160" w:end="0"/>
        <w:rPr/>
      </w:pPr>
      <w:r>
        <w:rPr/>
        <w:t>In certain circumstances the owner of confidential information may be able to obtain an injunction to prevent the disclosure or use of such information.</w:t>
      </w:r>
    </w:p>
    <w:p>
      <w:pPr>
        <w:pStyle w:val="bullet"/>
        <w:numPr>
          <w:ilvl w:val="0"/>
          <w:numId w:val="50"/>
        </w:numPr>
        <w:tabs>
          <w:tab w:val="clear" w:pos="720"/>
          <w:tab w:val="left" w:pos="2160" w:leader="none"/>
        </w:tabs>
        <w:ind w:hanging="720" w:start="2160" w:end="0"/>
        <w:rPr/>
      </w:pPr>
      <w:r>
        <w:rPr>
          <w:b/>
        </w:rPr>
        <w:t>Copyright</w:t>
      </w:r>
      <w:r>
        <w:rPr/>
        <w:t xml:space="preserve">: In the event of a conversation between an employee of ECI and a third party, ECI may hold copyright in the contents of the telephone conversation jointly with that third party.  </w:t>
      </w:r>
    </w:p>
    <w:p>
      <w:pPr>
        <w:pStyle w:val="Normal"/>
        <w:ind w:start="2160" w:end="0"/>
        <w:rPr/>
      </w:pPr>
      <w:r>
        <w:rPr/>
        <w:t>ECI should be able to rely on an implied licence to use the rights owned by the third party, provided these uses will be such that the third party may be deemed to have consented to them.</w:t>
      </w:r>
      <w:r>
        <w:rPr>
          <w:b/>
          <w:i/>
        </w:rPr>
        <w:t xml:space="preserve"> </w:t>
      </w:r>
    </w:p>
    <w:p>
      <w:pPr>
        <w:pStyle w:val="bullet"/>
        <w:numPr>
          <w:ilvl w:val="0"/>
          <w:numId w:val="50"/>
        </w:numPr>
        <w:tabs>
          <w:tab w:val="clear" w:pos="720"/>
          <w:tab w:val="left" w:pos="2137" w:leader="none"/>
        </w:tabs>
        <w:ind w:hanging="720" w:start="2137" w:end="0"/>
        <w:rPr>
          <w:b/>
        </w:rPr>
      </w:pPr>
      <w:r>
        <w:rPr>
          <w:b/>
        </w:rPr>
        <w:t xml:space="preserve">Admissibility of tape recorded telephone conversations in court proceedings: </w:t>
      </w:r>
      <w:r>
        <w:rPr/>
        <w:t>Tape recordings are generally admissible as evidence in court proceedings.  However, if the recordings have been obtained illegally or in contravention of public policy, they may be rejected on these grounds. To ensure recordings are not declared inadmissible, it would be advisable for Enron to inform its traders and the Local Counterparty that it is taping the telephone calls.</w:t>
      </w:r>
    </w:p>
    <w:p>
      <w:pPr>
        <w:pStyle w:val="Normal"/>
        <w:ind w:hanging="720" w:start="1440" w:end="0"/>
        <w:rPr/>
      </w:pPr>
      <w:r>
        <w:rPr/>
        <w:t>(d)(i)</w:t>
        <w:tab/>
      </w:r>
      <w:r>
        <w:rPr>
          <w:b/>
          <w:i/>
        </w:rPr>
        <w:t>Would any data protection laws in Hong Kong apply to the Transactions where ECI or the Local Counterparty have data about each other or their customers; or</w:t>
      </w:r>
    </w:p>
    <w:p>
      <w:pPr>
        <w:pStyle w:val="BodyText3"/>
        <w:ind w:start="1440" w:end="0"/>
        <w:rPr/>
      </w:pPr>
      <w:r>
        <w:rPr/>
        <w:t>The Personal Data (Privacy) Ordinance (Cap. 486) ("PDPO") regulates the collection, retention and use of "data" which are "personal data".</w:t>
      </w:r>
    </w:p>
    <w:p>
      <w:pPr>
        <w:pStyle w:val="BodyText3"/>
        <w:ind w:start="1440" w:end="0"/>
        <w:rPr/>
      </w:pPr>
      <w:r>
        <w:rPr/>
        <w:t>The PDPO provides that "data" means any representation of information in any document.  For these purposes a document refers not only to a written document, but also includes discs, tapes, films and other devices in which data can be stored.  Therefore any information which ECI or the Local Counterparty does not record in some written, electronic or other format will not be "data" and will not be subject to the PDPO.</w:t>
      </w:r>
    </w:p>
    <w:p>
      <w:pPr>
        <w:pStyle w:val="BodyText3"/>
        <w:ind w:start="1440" w:end="0"/>
        <w:rPr/>
      </w:pPr>
      <w:r>
        <w:rPr/>
        <w:t>Personal data are any data: (i) relating directly or indirectly to a living individual, (ii) from which it is practicable for the identity of the individual to be directly or indirectly ascertained, and (iii) in a form in which access to or processing of the data is practicable.</w:t>
      </w:r>
    </w:p>
    <w:p>
      <w:pPr>
        <w:pStyle w:val="BodyText3"/>
        <w:ind w:start="1440" w:end="0"/>
        <w:rPr/>
      </w:pPr>
      <w:r>
        <w:rPr/>
        <w:t>Therefore, if any data (as defined in the PDPO) created in a Transaction between ECI and a Local Counterparty are in a form in which access to or processing of the data is practicable and those data relate to a living individual who could be identified from those data or from other data which the data controller could obtain, then those data will be subject to the PDPO.</w:t>
      </w:r>
    </w:p>
    <w:p>
      <w:pPr>
        <w:pStyle w:val="BodyText3"/>
        <w:ind w:start="1440" w:end="0"/>
        <w:rPr/>
      </w:pPr>
      <w:r>
        <w:rPr/>
        <w:t>The PDPO does not apply to information about corporates, except to the extent that that information contains personal data.</w:t>
      </w:r>
    </w:p>
    <w:p>
      <w:pPr>
        <w:pStyle w:val="BodyText3"/>
        <w:ind w:start="1440" w:end="0"/>
        <w:rPr/>
      </w:pPr>
      <w:r>
        <w:rPr/>
        <w:t>The PDPO does not contain any provision geographically limiting the application of the Ordinance.  Therefore the PDPO technically applies to personal data, and the entities controlling such personal data, wherever they are located.  Data stored at ECI’s trading offices outside of Hong Kong would therefore technically be subject to the PDPO.</w:t>
      </w:r>
    </w:p>
    <w:p>
      <w:pPr>
        <w:pStyle w:val="BodyText3"/>
        <w:ind w:start="1440" w:end="0"/>
        <w:rPr/>
      </w:pPr>
      <w:r>
        <w:rPr/>
        <w:t xml:space="preserve">However, whilst the Privacy Commissioner (Hong Kong’s data privacy regulator) is under a obligation to investigate most complaints regarding contraventions of the PDPO, he </w:t>
      </w:r>
      <w:r>
        <w:rPr>
          <w:i/>
        </w:rPr>
        <w:t>may</w:t>
      </w:r>
      <w:r>
        <w:rPr/>
        <w:t xml:space="preserve"> decline to investigate a complaint if there is no link with Hong Kong because none of the following applies:</w:t>
      </w:r>
    </w:p>
    <w:p>
      <w:pPr>
        <w:pStyle w:val="bullet"/>
        <w:numPr>
          <w:ilvl w:val="0"/>
          <w:numId w:val="50"/>
        </w:numPr>
        <w:tabs>
          <w:tab w:val="clear" w:pos="720"/>
          <w:tab w:val="left" w:pos="2160" w:leader="none"/>
        </w:tabs>
        <w:ind w:hanging="720" w:start="2160" w:end="0"/>
        <w:rPr/>
      </w:pPr>
      <w:r>
        <w:rPr/>
        <w:t>The complainant was a resident of Hong Kong or the data controller was able to control the data in or from Hong Kong;</w:t>
      </w:r>
    </w:p>
    <w:p>
      <w:pPr>
        <w:pStyle w:val="bullet"/>
        <w:numPr>
          <w:ilvl w:val="0"/>
          <w:numId w:val="50"/>
        </w:numPr>
        <w:tabs>
          <w:tab w:val="clear" w:pos="720"/>
          <w:tab w:val="left" w:pos="2160" w:leader="none"/>
        </w:tabs>
        <w:ind w:hanging="720" w:start="2160" w:end="0"/>
        <w:rPr/>
      </w:pPr>
      <w:r>
        <w:rPr/>
        <w:t>The complainant was in Hong Kong when the complaint arose; or</w:t>
      </w:r>
    </w:p>
    <w:p>
      <w:pPr>
        <w:pStyle w:val="bullet"/>
        <w:numPr>
          <w:ilvl w:val="0"/>
          <w:numId w:val="50"/>
        </w:numPr>
        <w:tabs>
          <w:tab w:val="clear" w:pos="720"/>
          <w:tab w:val="left" w:pos="2160" w:leader="none"/>
        </w:tabs>
        <w:ind w:hanging="720" w:start="2160" w:end="0"/>
        <w:rPr/>
      </w:pPr>
      <w:r>
        <w:rPr/>
        <w:t>The act or practice complained of may prejudice the enforcement of any right or the exercise of any privilege acquired in Hong Kong.</w:t>
      </w:r>
    </w:p>
    <w:p>
      <w:pPr>
        <w:pStyle w:val="BodyText3"/>
        <w:ind w:start="1417" w:end="0"/>
        <w:rPr/>
      </w:pPr>
      <w:r>
        <w:rPr/>
        <w:t>Accordingly, whilst the PDPO technically applies to personal data wherever located, the regulatory focus of the Privacy Commissioner will tend to be on contraventions of the PDPO which involve Hong Kong data controllers, Hong Kong data subjects or personal data located in Hong Kong.</w:t>
      </w:r>
    </w:p>
    <w:p>
      <w:pPr>
        <w:pStyle w:val="BodyText2"/>
        <w:ind w:hanging="720" w:start="1440" w:end="0"/>
        <w:rPr/>
      </w:pPr>
      <w:r>
        <w:rPr/>
        <w:t>(d)(ii)</w:t>
        <w:tab/>
      </w:r>
      <w:r>
        <w:rPr>
          <w:b/>
          <w:i/>
        </w:rPr>
        <w:t>Would either ECI or the Local Counterparty have responsibility in Hong Kong for the protection of the data which passes through a telecommunications network, equipment, facilities or circuits as a result of a Transaction.</w:t>
      </w:r>
    </w:p>
    <w:p>
      <w:pPr>
        <w:pStyle w:val="BodyText3"/>
        <w:ind w:start="1440" w:end="0"/>
        <w:rPr/>
      </w:pPr>
      <w:r>
        <w:rPr/>
        <w:t>The PDPO would only apply to information which passes through a telecommunications network, equipment, facilities or circuits as a result of a Transaction if the information constitutes "data" which is "personal data" as defined in the PDPO (see our answer to Question 1C(d)(i) above).  Therefore the PDPO would not apply if:</w:t>
      </w:r>
    </w:p>
    <w:p>
      <w:pPr>
        <w:pStyle w:val="bullet"/>
        <w:numPr>
          <w:ilvl w:val="0"/>
          <w:numId w:val="50"/>
        </w:numPr>
        <w:tabs>
          <w:tab w:val="clear" w:pos="720"/>
          <w:tab w:val="left" w:pos="2160" w:leader="none"/>
        </w:tabs>
        <w:ind w:hanging="720" w:start="2160" w:end="0"/>
        <w:rPr/>
      </w:pPr>
      <w:r>
        <w:rPr/>
        <w:t>the information is not recorded in some format;</w:t>
      </w:r>
    </w:p>
    <w:p>
      <w:pPr>
        <w:pStyle w:val="bullet"/>
        <w:numPr>
          <w:ilvl w:val="0"/>
          <w:numId w:val="50"/>
        </w:numPr>
        <w:tabs>
          <w:tab w:val="clear" w:pos="720"/>
          <w:tab w:val="left" w:pos="2160" w:leader="none"/>
        </w:tabs>
        <w:ind w:hanging="720" w:start="2160" w:end="0"/>
        <w:rPr/>
      </w:pPr>
      <w:r>
        <w:rPr/>
        <w:t>the data is not in a form in which access to or processing of the data is practicable; or</w:t>
      </w:r>
    </w:p>
    <w:p>
      <w:pPr>
        <w:pStyle w:val="bullet"/>
        <w:numPr>
          <w:ilvl w:val="0"/>
          <w:numId w:val="50"/>
        </w:numPr>
        <w:tabs>
          <w:tab w:val="clear" w:pos="720"/>
          <w:tab w:val="left" w:pos="2160" w:leader="none"/>
        </w:tabs>
        <w:ind w:hanging="720" w:start="2160" w:end="0"/>
        <w:rPr/>
      </w:pPr>
      <w:r>
        <w:rPr/>
        <w:t>the data does not relate to a living individual who could be identified from those data or from other data which the data controller could obtain.</w:t>
      </w:r>
    </w:p>
    <w:p>
      <w:pPr>
        <w:pStyle w:val="BodyText3"/>
        <w:ind w:start="1440" w:end="0"/>
        <w:rPr/>
      </w:pPr>
      <w:r>
        <w:rPr/>
        <w:t>If the information does constitute personal data, then the PDPO technically will apply, even though the data does not pass through telecommunications equipment located in Hong Kong.  However, unless:</w:t>
      </w:r>
    </w:p>
    <w:p>
      <w:pPr>
        <w:pStyle w:val="bullet"/>
        <w:numPr>
          <w:ilvl w:val="0"/>
          <w:numId w:val="50"/>
        </w:numPr>
        <w:tabs>
          <w:tab w:val="clear" w:pos="720"/>
          <w:tab w:val="left" w:pos="2160" w:leader="none"/>
        </w:tabs>
        <w:ind w:hanging="720" w:start="2160" w:end="0"/>
        <w:rPr/>
      </w:pPr>
      <w:r>
        <w:rPr/>
        <w:t>the individual complainant is either a resident of Hong Kong or was in Hong Kong when the contravention of the PDPO occurred; or</w:t>
      </w:r>
    </w:p>
    <w:p>
      <w:pPr>
        <w:pStyle w:val="bullet"/>
        <w:numPr>
          <w:ilvl w:val="0"/>
          <w:numId w:val="50"/>
        </w:numPr>
        <w:tabs>
          <w:tab w:val="clear" w:pos="720"/>
          <w:tab w:val="left" w:pos="2160" w:leader="none"/>
        </w:tabs>
        <w:ind w:hanging="720" w:start="2160" w:end="0"/>
        <w:rPr/>
      </w:pPr>
      <w:r>
        <w:rPr/>
        <w:t>the Local Counterparty was able to control the data in or from Hong Kong,</w:t>
      </w:r>
    </w:p>
    <w:p>
      <w:pPr>
        <w:pStyle w:val="BodyText3"/>
        <w:ind w:start="1440" w:end="0"/>
        <w:rPr/>
      </w:pPr>
      <w:r>
        <w:rPr/>
        <w:t>the Privacy Commissioner may exercise his discretion not to investigate any alleged contravention of the PDPO.</w:t>
      </w:r>
    </w:p>
    <w:p>
      <w:pPr>
        <w:pStyle w:val="BodyText3"/>
        <w:ind w:start="1440" w:end="0"/>
        <w:rPr/>
      </w:pPr>
      <w:r>
        <w:rPr/>
        <w:t>If the PDPO does apply to the personal data which passes through the telecommunications network and equipment, then the entity or entities which control the collection, holding, processing or use of the data ("</w:t>
      </w:r>
      <w:r>
        <w:rPr>
          <w:b/>
        </w:rPr>
        <w:t>data controller</w:t>
      </w:r>
      <w:r>
        <w:rPr/>
        <w:t>") will have to comply with the data protection principles set out in Schedule 1 of the PDPO.  These provide, inter alia:</w:t>
      </w:r>
    </w:p>
    <w:p>
      <w:pPr>
        <w:pStyle w:val="bullet"/>
        <w:numPr>
          <w:ilvl w:val="0"/>
          <w:numId w:val="50"/>
        </w:numPr>
        <w:tabs>
          <w:tab w:val="clear" w:pos="720"/>
          <w:tab w:val="left" w:pos="2160" w:leader="none"/>
        </w:tabs>
        <w:ind w:hanging="720" w:start="2160" w:end="0"/>
        <w:rPr/>
      </w:pPr>
      <w:r>
        <w:rPr/>
        <w:t>That personal data must be collected for a lawful purpose directly related to a function of ECI, that the collection must be necessary for that purpose and the data collection must not be excessive.  In addition, the personal data must be collected by lawful and fair means, and if the personal data is collected from the data subject himself, certain information must be provided to the data subject.</w:t>
      </w:r>
    </w:p>
    <w:p>
      <w:pPr>
        <w:pStyle w:val="bullet"/>
        <w:numPr>
          <w:ilvl w:val="0"/>
          <w:numId w:val="50"/>
        </w:numPr>
        <w:tabs>
          <w:tab w:val="clear" w:pos="720"/>
          <w:tab w:val="left" w:pos="2160" w:leader="none"/>
        </w:tabs>
        <w:ind w:hanging="720" w:start="2160" w:end="0"/>
        <w:rPr/>
      </w:pPr>
      <w:r>
        <w:rPr/>
        <w:t>That all practicable steps should be taken to ensure that personal data are accurate having regard to the purposes for which they are to be used, and that personal data are not kept longer than is necessary for the fulfilment of that purpose.</w:t>
      </w:r>
    </w:p>
    <w:p>
      <w:pPr>
        <w:pStyle w:val="bullet"/>
        <w:numPr>
          <w:ilvl w:val="0"/>
          <w:numId w:val="50"/>
        </w:numPr>
        <w:tabs>
          <w:tab w:val="clear" w:pos="720"/>
          <w:tab w:val="left" w:pos="2160" w:leader="none"/>
        </w:tabs>
        <w:ind w:hanging="720" w:start="2160" w:end="0"/>
        <w:rPr/>
      </w:pPr>
      <w:r>
        <w:rPr/>
        <w:t>That personal data shall not, without the data subject’s consent, be used for any purpose other than the purpose for which they were collected (or a directly related purpose).</w:t>
      </w:r>
    </w:p>
    <w:p>
      <w:pPr>
        <w:pStyle w:val="bullet"/>
        <w:numPr>
          <w:ilvl w:val="0"/>
          <w:numId w:val="50"/>
        </w:numPr>
        <w:tabs>
          <w:tab w:val="clear" w:pos="720"/>
          <w:tab w:val="left" w:pos="2160" w:leader="none"/>
        </w:tabs>
        <w:ind w:hanging="720" w:start="2160" w:end="0"/>
        <w:rPr/>
      </w:pPr>
      <w:r>
        <w:rPr/>
        <w:t>That all practicable steps are taken to ensure that personal data are protected against unauthorized or accidental access, processing, erasure or other use.</w:t>
      </w:r>
    </w:p>
    <w:p>
      <w:pPr>
        <w:pStyle w:val="bullet"/>
        <w:numPr>
          <w:ilvl w:val="0"/>
          <w:numId w:val="50"/>
        </w:numPr>
        <w:tabs>
          <w:tab w:val="clear" w:pos="720"/>
          <w:tab w:val="left" w:pos="2160" w:leader="none"/>
        </w:tabs>
        <w:ind w:hanging="720" w:start="2160" w:end="0"/>
        <w:rPr/>
      </w:pPr>
      <w:r>
        <w:rPr/>
        <w:t>That the data subject shall have a right of access to, and correction of, personal data.</w:t>
      </w:r>
    </w:p>
    <w:p>
      <w:pPr>
        <w:pStyle w:val="BodyText3"/>
        <w:ind w:start="1417" w:end="0"/>
        <w:rPr/>
      </w:pPr>
      <w:r>
        <w:rPr/>
        <w:t>In addition to the PDPO, the TA generally makes it a condition of a telecommunications licence that the licensee shall not disclose a customer's information except with the customer's consent, such form of consent to be approved by the TA.  This requirement does not apply where the disclosure is required for the prevention or detection of crime, the apprehension or prosecution of offenders or as may be authorised by law.  In addition, telecommunication licences will generally provide that the licensee may not use information provided by a customer or obtained in the course of providing service to the customer, other than in relation to the provision by the licensee of the licensed service.</w:t>
      </w:r>
    </w:p>
    <w:p>
      <w:pPr>
        <w:pStyle w:val="BodyText2"/>
        <w:keepNext w:val="true"/>
        <w:ind w:hanging="720" w:start="1440" w:end="0"/>
        <w:rPr/>
      </w:pPr>
      <w:r>
        <w:rPr/>
        <w:t>(e)</w:t>
        <w:tab/>
      </w:r>
      <w:r>
        <w:rPr>
          <w:b/>
          <w:i/>
        </w:rPr>
        <w:t>Does the law of Hong Kong prescribe any implied terms or conditions that would impact on a Transaction? If so, please outline only the key terms or conditions.</w:t>
      </w:r>
    </w:p>
    <w:p>
      <w:pPr>
        <w:pStyle w:val="BodyText3"/>
        <w:keepNext w:val="true"/>
        <w:ind w:start="1440" w:end="0"/>
        <w:rPr/>
      </w:pPr>
      <w:r>
        <w:rPr/>
        <w:t>In our answer to this question we have dealt both with implied terms and limitations of liability which should also be borne in mind in relation to the proposed Master Agreement and GTCs.</w:t>
      </w:r>
    </w:p>
    <w:p>
      <w:pPr>
        <w:pStyle w:val="BodyText3"/>
        <w:ind w:start="1440" w:end="0"/>
        <w:rPr>
          <w:b/>
          <w:i/>
          <w:i/>
        </w:rPr>
      </w:pPr>
      <w:r>
        <w:rPr>
          <w:b/>
          <w:i/>
        </w:rPr>
        <w:t>Implied terms and exclusion thereof</w:t>
      </w:r>
    </w:p>
    <w:p>
      <w:pPr>
        <w:pStyle w:val="Normal"/>
        <w:ind w:start="1440" w:end="0"/>
        <w:rPr/>
      </w:pPr>
      <w:r>
        <w:rPr/>
        <w:t xml:space="preserve">Under section 5 of the SSITO, there is an implied term that the supplier of a service will carry out the services with reasonable skill and care.  Under section 8 of the SSITO, this implied term may be expressly excluded.  In such case, an express term may act to negative the implied term but only where it is inconsistent with the implied term.  Where one party to the contract is dealing other than as a consumer then any exclusion and restriction of liability arising under any such implied term must be reasonable (see below as to the requirement of "reasonableness"). </w:t>
      </w:r>
    </w:p>
    <w:p>
      <w:pPr>
        <w:pStyle w:val="Normal"/>
        <w:ind w:start="1440" w:end="0"/>
        <w:rPr/>
      </w:pPr>
      <w:r>
        <w:rPr/>
        <w:t>To the extent that the contract includes the sale of goods, (please see our discussion in Section 1C(a)(ii) above) then SOGO provides that terms as to title and the quality and fitness for purpose of such goods must be implied in the contract. Implied terms as to title cannot be excluded by any term of the contract, however implied terms as to quality and fitness for purpose may be excluded provided that such exclusion satisfies the test of reasonableness.</w:t>
      </w:r>
    </w:p>
    <w:p>
      <w:pPr>
        <w:pStyle w:val="Normal"/>
        <w:ind w:start="1440" w:end="0"/>
        <w:rPr/>
      </w:pPr>
      <w:r>
        <w:rPr/>
        <w:t>The applicable test of reasonableness is provided for in section 3 of the CECO.  In essence, the reasonableness test is satisfied if the court or the arbitrator determines that the term was fair and reasonable having regard to the circumstances which were known or ought reasonably to have been known to or in the contemplation of the parties at the time this contract was made.  The court or the arbitrator may have regard to various matters including the relative bargaining positions of the parties, whether the counterparty received an inducement to enter the contract, and whether the counterparty had notice of the existence of the terms of the contract.</w:t>
      </w:r>
    </w:p>
    <w:p>
      <w:pPr>
        <w:pStyle w:val="Normal"/>
        <w:ind w:start="1440" w:end="0"/>
        <w:rPr>
          <w:b/>
          <w:i/>
          <w:i/>
        </w:rPr>
      </w:pPr>
      <w:r>
        <w:rPr>
          <w:b/>
          <w:i/>
        </w:rPr>
        <w:t>Limitation and Exclusion of Liability</w:t>
      </w:r>
    </w:p>
    <w:p>
      <w:pPr>
        <w:pStyle w:val="Normal"/>
        <w:ind w:start="1440" w:end="0"/>
        <w:rPr/>
      </w:pPr>
      <w:r>
        <w:rPr/>
        <w:t>Under CECO, no person may restrict or exclude his liability for loss or damage caused by his negligence unless such restriction or exclusion satisfies the reasonableness test (regardless of whether the other person is dealing as a business customer or a consumer). A cap placed on the liability of a party would therefore be subject to the test of reasonableness. To the extent therefore that Clause 3.5 in the Master Agreement and the GTCs place a cap on the liability of the Seller which is equal to the amounts of liquidated damages set out therein, such cap would amount to a limitation of liability and must therefore satisfy the test of reasonableness.</w:t>
      </w:r>
    </w:p>
    <w:p>
      <w:pPr>
        <w:pStyle w:val="BodyText4"/>
        <w:ind w:start="1440" w:end="0"/>
        <w:rPr/>
      </w:pPr>
      <w:r>
        <w:rPr/>
        <w:t xml:space="preserve">Moreover, a term limiting or excluding liability for breach of contract as against a consumer or a person dealing with the supplier on the supplier’s written standard terms of business must also be subject to the test of reasonableness.  </w:t>
      </w:r>
    </w:p>
    <w:p>
      <w:pPr>
        <w:pStyle w:val="BodyText4"/>
        <w:ind w:start="1440" w:end="0"/>
        <w:rPr/>
      </w:pPr>
      <w:r>
        <w:rPr/>
        <w:t>Under CECO, no person may restrict or exclude liability for death or personal injury caused by negligence.</w:t>
      </w:r>
    </w:p>
    <w:p>
      <w:pPr>
        <w:pStyle w:val="BodyText4"/>
        <w:ind w:start="1440" w:end="0"/>
        <w:rPr/>
      </w:pPr>
      <w:r>
        <w:rPr/>
        <w:t xml:space="preserve">Under MO, a term attempting to exclude or restrict liability for misrepresentation made before the contract was entered into or liability for any remedy available by reason of such misrepresentation would be of no effect except in so far as it satisfies the requirement of reasonableness.  </w:t>
      </w:r>
    </w:p>
    <w:p>
      <w:pPr>
        <w:pStyle w:val="BodyText4"/>
        <w:ind w:start="1440" w:end="0"/>
        <w:rPr>
          <w:b/>
          <w:i/>
          <w:i/>
        </w:rPr>
      </w:pPr>
      <w:r>
        <w:rPr/>
        <w:t xml:space="preserve">As a matter of common law, liability for fraudulent misrepresentation may not be excluded. </w:t>
      </w:r>
    </w:p>
    <w:p>
      <w:pPr>
        <w:pStyle w:val="Normal"/>
        <w:ind w:start="1440" w:end="0"/>
        <w:rPr/>
      </w:pPr>
      <w:r>
        <w:rPr/>
        <w:t>The provisions described above would clearly have an impact on Clause 9 of the Master Agreement and the GTCs to the extent that this is to be enforced in Hong Kong. Clause 9 would not operate to exclude liability for death or personal injury or liability for fraudulent misrepresentation. In addition, the exclusion of any other remedies such as damages or rescission for misrepresentation, the exclusion of any implied terms as set forth above and the exclusion of liability for indirect and consequential loss will be subject to the test of reasonableness.</w:t>
      </w:r>
    </w:p>
    <w:p>
      <w:pPr>
        <w:pStyle w:val="Normal"/>
        <w:ind w:start="1440" w:end="0"/>
        <w:rPr/>
      </w:pPr>
      <w:r>
        <w:rPr/>
        <w:t>On the basis of the above we would suggest that Clause 9 should expressly state that nothing therein is intended to exclude liability of either party for death or personal injury caused by negligence. In addition we would suggest that given that the courts will generally not uphold a restriction or exclusion of negligence unless negligence is expressly stated, Clause 9 should refer to the exclusion of consequential damage caused by "negligence or any other cause".</w:t>
      </w:r>
    </w:p>
    <w:p>
      <w:pPr>
        <w:pStyle w:val="BodyText"/>
        <w:ind w:hanging="794" w:start="1418" w:end="0"/>
        <w:rPr/>
      </w:pPr>
      <w:r>
        <w:rPr/>
        <w:t>(f)(i)</w:t>
        <w:tab/>
      </w:r>
      <w:r>
        <w:rPr>
          <w:b/>
          <w:i/>
        </w:rPr>
        <w:t>Would it be necessary to register, or make notification of, any Transaction entered into with a Local Counterparty (or the Master  Agreement or GTCs to which it would be subject) with/to any governmental or other authority or regulatory body in Hong Kong?</w:t>
      </w:r>
    </w:p>
    <w:p>
      <w:pPr>
        <w:pStyle w:val="BodyText2"/>
        <w:rPr/>
      </w:pPr>
      <w:r>
        <w:rPr/>
        <w:t>Section 14 of the PDPO establishes a procedure under which the Privacy Commissioner may, by means of a notice in the Government Gazette, specify that a class of data controllers must submit data user returns on an annual basis.  The form of the data user return will be specified in the Gazette notice.  As the Privacy Commissioner has not issued any Gazette notices pursuant to section 14 to date, there is no current requirement for any persons to file data user returns.  Moreover, as no gazette notices have been filed, it is not possible to determine conclusively whether details of Transactions would need to be included in any data user returns prescribed in the future.</w:t>
      </w:r>
    </w:p>
    <w:p>
      <w:pPr>
        <w:pStyle w:val="BodyText2"/>
        <w:rPr/>
      </w:pPr>
      <w:r>
        <w:rPr/>
        <w:t>As mentioned in our response to Section 3A(d)(ii), the TA may require as a condition of a licence that a telecommunication licensee provide certain information to the TA, such as may be reasonably required for the TA to carry out his functions.  It is not possible for us to determine, without discussion with OFTA, whether information relating to the Transactions would be likely to be required to be disclosed to the TA.</w:t>
      </w:r>
    </w:p>
    <w:p>
      <w:pPr>
        <w:pStyle w:val="BodyText"/>
        <w:ind w:hanging="794" w:start="1418" w:end="0"/>
        <w:rPr/>
      </w:pPr>
      <w:r>
        <w:rPr/>
        <w:t>(f)(ii)</w:t>
        <w:tab/>
      </w:r>
      <w:r>
        <w:rPr>
          <w:b/>
          <w:i/>
        </w:rPr>
        <w:t>If it would be necessary, whose duty would this be, i.e., the buyer’s or the seller’s under a Transaction?</w:t>
      </w:r>
    </w:p>
    <w:p>
      <w:pPr>
        <w:pStyle w:val="BodyText2"/>
        <w:rPr/>
      </w:pPr>
      <w:r>
        <w:rPr/>
        <w:t>If the PDPO procedure is established, the "data controller" would be required to submit the returns.  It is not clear whether the Buyer or Seller under a Transaction would be the data controller - this would be a matter of fact, depending on the extent to which each party controls the collection, holding, processing or use of personal data.</w:t>
      </w:r>
    </w:p>
    <w:p>
      <w:pPr>
        <w:pStyle w:val="BodyText2"/>
        <w:rPr/>
      </w:pPr>
      <w:r>
        <w:rPr/>
        <w:t>If information is required to be disclosed pursuant to a telecommunications licence, the licensee (whether it is Buyer or Seller) would be required to disclose the information.</w:t>
      </w:r>
    </w:p>
    <w:p>
      <w:pPr>
        <w:pStyle w:val="BodyText"/>
        <w:ind w:hanging="794" w:start="1418" w:end="0"/>
        <w:rPr/>
      </w:pPr>
      <w:r>
        <w:rPr/>
        <w:t>(f)(iii)</w:t>
        <w:tab/>
      </w:r>
      <w:r>
        <w:rPr>
          <w:b/>
          <w:i/>
        </w:rPr>
        <w:t>What would be the consequences of so failing to register or make notification of the Transaction (e.g., would the Transaction be void or voidable or would it have some other consequence)?</w:t>
      </w:r>
    </w:p>
    <w:p>
      <w:pPr>
        <w:pStyle w:val="BodyText2"/>
        <w:rPr/>
      </w:pPr>
      <w:r>
        <w:rPr/>
        <w:t>If a data controller fails to submit a data protection return in circumstances where he is obliged to do so, it is an offence punishable with a fine of HK$10,000.  Failure to submit a data protection return will not, however, render a Transaction void or voidable.</w:t>
      </w:r>
    </w:p>
    <w:p>
      <w:pPr>
        <w:pStyle w:val="BodyText2"/>
        <w:rPr/>
      </w:pPr>
      <w:r>
        <w:rPr/>
        <w:t>If a telecommunications licensee contravenes a licence condition, the TA may impose a financial penalty (generally this will be noted in the licence), and also has the power to suspend, withdraw or cancel the licence.</w:t>
      </w:r>
    </w:p>
    <w:p>
      <w:pPr>
        <w:pStyle w:val="BodyText"/>
        <w:ind w:hanging="794" w:start="1418" w:end="0"/>
        <w:rPr/>
      </w:pPr>
      <w:r>
        <w:rPr/>
        <w:t>(g)</w:t>
        <w:tab/>
      </w:r>
      <w:r>
        <w:rPr>
          <w:b/>
          <w:i/>
        </w:rPr>
        <w:t xml:space="preserve">If suit were brought in Hong Kong to enforce the terms of the Master Agreement or the GTCs relating to a Transaction and the Court in Hong Kong applied Hong Kong law (either because the court did not enforce the choice of foreign law - as to which see Section 1D below- or because the parties elected for Hong Kong law in place of foreign law to govern the Transaction), what are the requirements for contract formation under local law, e.g., offer, acceptance, in writing, witnessed, notarised, under seal, document stamps? </w:t>
      </w:r>
    </w:p>
    <w:p>
      <w:pPr>
        <w:pStyle w:val="BodyText2"/>
        <w:rPr/>
      </w:pPr>
      <w:r>
        <w:rPr/>
        <w:t>Please see our answer to Section 1B(b)(i) above.</w:t>
      </w:r>
    </w:p>
    <w:p>
      <w:pPr>
        <w:pStyle w:val="Heading2"/>
        <w:ind w:hanging="0" w:start="0"/>
        <w:rPr/>
      </w:pPr>
      <w:bookmarkStart w:id="16" w:name="__RefHeading___Toc470323627"/>
      <w:bookmarkEnd w:id="16"/>
      <w:r>
        <w:rPr/>
        <w:t>Section 1D: Jurisdiction and Enforcement</w:t>
      </w:r>
    </w:p>
    <w:p>
      <w:pPr>
        <w:pStyle w:val="BodyText"/>
        <w:rPr/>
      </w:pPr>
      <w:r>
        <w:rPr/>
        <w:t>For the purposes of this Section 1D, you have asked us to assume the following:</w:t>
      </w:r>
    </w:p>
    <w:p>
      <w:pPr>
        <w:pStyle w:val="BodyText"/>
        <w:numPr>
          <w:ilvl w:val="0"/>
          <w:numId w:val="47"/>
        </w:numPr>
        <w:rPr/>
      </w:pPr>
      <w:r>
        <w:rPr/>
        <w:t>disputes relating to Transactions between ECI and a Local Counterparty were referred to either:</w:t>
      </w:r>
    </w:p>
    <w:p>
      <w:pPr>
        <w:pStyle w:val="squarebullet"/>
        <w:numPr>
          <w:ilvl w:val="0"/>
          <w:numId w:val="33"/>
        </w:numPr>
        <w:tabs>
          <w:tab w:val="clear" w:pos="720"/>
          <w:tab w:val="left" w:pos="1778" w:leader="none"/>
        </w:tabs>
        <w:ind w:hanging="360" w:start="1778" w:end="0"/>
        <w:rPr/>
      </w:pPr>
      <w:r>
        <w:rPr/>
        <w:t>arbitration governed by the U.S. Federal Arbitration Act ("FAA") and conducted in accordance with the American Arbitration Association Commercial Arbitration Rules ("AAA") in New York City; or, alternatively,</w:t>
      </w:r>
    </w:p>
    <w:p>
      <w:pPr>
        <w:pStyle w:val="squarebullet"/>
        <w:numPr>
          <w:ilvl w:val="0"/>
          <w:numId w:val="33"/>
        </w:numPr>
        <w:tabs>
          <w:tab w:val="clear" w:pos="720"/>
          <w:tab w:val="left" w:pos="1778" w:leader="none"/>
        </w:tabs>
        <w:ind w:hanging="360" w:start="1778" w:end="0"/>
        <w:rPr/>
      </w:pPr>
      <w:r>
        <w:rPr/>
        <w:t xml:space="preserve">international arbitration under the Rules of the International Chamber of Commerce ("ICC Rules") or of the London Chamber of International Arbitration ("LCIA"), in either case in London; and </w:t>
      </w:r>
    </w:p>
    <w:p>
      <w:pPr>
        <w:pStyle w:val="BodyText"/>
        <w:numPr>
          <w:ilvl w:val="0"/>
          <w:numId w:val="27"/>
        </w:numPr>
        <w:rPr/>
      </w:pPr>
      <w:r>
        <w:rPr/>
        <w:t xml:space="preserve">the governing law of the Master Agreement or GTCs would be New York law but that in certain cases (e.g., where the stipulated dispute resolution forum was changed to London) then the governing law may be the laws of England; and </w:t>
      </w:r>
    </w:p>
    <w:p>
      <w:pPr>
        <w:pStyle w:val="BodyText"/>
        <w:numPr>
          <w:ilvl w:val="0"/>
          <w:numId w:val="37"/>
        </w:numPr>
        <w:rPr/>
      </w:pPr>
      <w:r>
        <w:rPr/>
        <w:t>in all cases, however, that either form of arbitration will be conducted in the English language.</w:t>
      </w:r>
    </w:p>
    <w:p>
      <w:pPr>
        <w:pStyle w:val="BodyText"/>
        <w:ind w:hanging="794" w:start="1418" w:end="0"/>
        <w:rPr/>
      </w:pPr>
      <w:r>
        <w:rPr/>
        <w:t>(a)</w:t>
        <w:tab/>
      </w:r>
      <w:r>
        <w:rPr>
          <w:b/>
          <w:i/>
        </w:rPr>
        <w:t>Would any local counterparty (public or private) be granted immunity from suit attachment of assets or execution of judgments either in the form of sovereign immunity or otherwise?</w:t>
      </w:r>
    </w:p>
    <w:p>
      <w:pPr>
        <w:pStyle w:val="BodyText2"/>
        <w:rPr/>
      </w:pPr>
      <w:r>
        <w:rPr/>
        <w:t>Generally speaking, except for international, diplomatic and consular organisations or missions, private corporations or public bodies do not enjoy immunity from suit under Hong Kong law.</w:t>
      </w:r>
    </w:p>
    <w:p>
      <w:pPr>
        <w:pStyle w:val="BodyText2"/>
        <w:rPr/>
      </w:pPr>
      <w:r>
        <w:rPr/>
        <w:t xml:space="preserve">Under the doctrine of restrictive immunity of the common law of Hong Kong, the Local Counterparty would not be entitled to any immunity under Hong Kong law on the basis of sovereignty or otherwise which would enable the Local Counterparty to interpose any such immunity as a defence to any suit or action brought or maintained in respect of the Transaction.  It should be noted, however, that the doctrine of restrictive immunity has not been tested since Hong Kong's return to the sovereignty of the PRC on 1 July 1997 and it is unclear whether such doctrine remains applicable without change. Under Article 19 of the Basic Law, Hong Kong courts have no jurisdiction over acts of state such as defence and foreign affairs.  It is unlikely however that the activities of any Local Counterparty in respect of the Transaction would be regarded as acts of state or defence. </w:t>
      </w:r>
    </w:p>
    <w:p>
      <w:pPr>
        <w:pStyle w:val="BodyText2"/>
        <w:rPr/>
      </w:pPr>
      <w:r>
        <w:rPr/>
        <w:t>As suggested in our answer to Question 4.3(a) above, when dealing with a public body or government organisation it would be advisable for ECI to obtain a legal opinion from the legal counsel of such public body or government organisation confirming enforceability of the Transaction against the public body or government organisation.</w:t>
      </w:r>
    </w:p>
    <w:p>
      <w:pPr>
        <w:pStyle w:val="BodyText"/>
        <w:ind w:hanging="794" w:start="1418" w:end="0"/>
        <w:rPr/>
      </w:pPr>
      <w:r>
        <w:rPr/>
        <w:t>(b)</w:t>
        <w:tab/>
      </w:r>
      <w:r>
        <w:rPr>
          <w:b/>
          <w:i/>
        </w:rPr>
        <w:t>Please confirm that the agreement of a Local Counterparty to submit to the substantive law of the State of New York or the Laws of England and further to submit to either:</w:t>
      </w:r>
    </w:p>
    <w:p>
      <w:pPr>
        <w:pStyle w:val="BodyText2"/>
        <w:rPr/>
      </w:pPr>
      <w:r>
        <w:rPr/>
        <w:t>(i)</w:t>
        <w:tab/>
      </w:r>
      <w:r>
        <w:rPr>
          <w:b/>
          <w:i/>
        </w:rPr>
        <w:t xml:space="preserve">AAA arbitration under the FAA to be held in New York City; or </w:t>
      </w:r>
    </w:p>
    <w:p>
      <w:pPr>
        <w:pStyle w:val="BodyText2"/>
        <w:ind w:hanging="743" w:start="2160" w:end="0"/>
        <w:rPr/>
      </w:pPr>
      <w:r>
        <w:rPr/>
        <w:t>(ii)</w:t>
        <w:tab/>
      </w:r>
      <w:r>
        <w:rPr>
          <w:b/>
          <w:i/>
        </w:rPr>
        <w:t>arbitration under either the ICC or LCIA Rules to be held in London,</w:t>
      </w:r>
    </w:p>
    <w:p>
      <w:pPr>
        <w:pStyle w:val="BodyText2"/>
        <w:rPr>
          <w:b/>
          <w:i/>
          <w:i/>
        </w:rPr>
      </w:pPr>
      <w:r>
        <w:rPr>
          <w:b/>
          <w:i/>
        </w:rPr>
        <w:t xml:space="preserve">would be legally valid, binding and enforceable under the laws of Hong Kong. </w:t>
      </w:r>
    </w:p>
    <w:p>
      <w:pPr>
        <w:pStyle w:val="BodyText2"/>
        <w:rPr>
          <w:b/>
          <w:i/>
          <w:i/>
        </w:rPr>
      </w:pPr>
      <w:r>
        <w:rPr>
          <w:b/>
          <w:i/>
        </w:rPr>
        <w:t>Choice of Governing Law</w:t>
      </w:r>
    </w:p>
    <w:p>
      <w:pPr>
        <w:pStyle w:val="BodyText2"/>
        <w:rPr/>
      </w:pPr>
      <w:r>
        <w:rPr/>
        <w:t xml:space="preserve">The Hong Kong courts will generally recognise the parties’ freedom to contract and thus will generally recognise as valid the choice of a foreign governing law for the Transactions.  A connection between the contract and the chosen system of law is not essential.  </w:t>
      </w:r>
    </w:p>
    <w:p>
      <w:pPr>
        <w:pStyle w:val="BodyText2"/>
        <w:rPr/>
      </w:pPr>
      <w:r>
        <w:rPr/>
        <w:t xml:space="preserve">The courts of Hong Kong would enforce such chosen governing law provided that: (i) such choice was made freely and for bona fide and legal purposes (i.e. provided that it was not made with a view to avoiding the consequence of the law of any other jurisdiction);  (ii) the application of the chosen governing law is not contrary to public policy; and (iii) domestic legislation does not nullify or limit the effect of the chosen governing law.  Where an overriding domestic legislation applies regardless of the governing law, the express choice of the parties is not necessarily invalid and for purposes unconnected with that particular domestic legislation, Hong Kong courts will apply the selected governing law. </w:t>
      </w:r>
    </w:p>
    <w:p>
      <w:pPr>
        <w:pStyle w:val="BodyText2"/>
        <w:rPr/>
      </w:pPr>
      <w:r>
        <w:rPr/>
        <w:t>Please note that, under the CECO, where it appears to the court or an arbitrator that a term applying or purporting to apply the law of another country other than Hong Kong has been imposed wholly or mainly for the purpose of evading the operation of the CECO, then the CECO will have effect regardless of the governing law of the contract.</w:t>
      </w:r>
    </w:p>
    <w:p>
      <w:pPr>
        <w:pStyle w:val="BodyText2"/>
        <w:keepNext w:val="true"/>
        <w:ind w:start="1418" w:end="0"/>
        <w:rPr>
          <w:b/>
          <w:i/>
          <w:i/>
        </w:rPr>
      </w:pPr>
      <w:r>
        <w:rPr>
          <w:b/>
          <w:i/>
        </w:rPr>
        <w:t>Choice of Arbitration</w:t>
      </w:r>
    </w:p>
    <w:p>
      <w:pPr>
        <w:pStyle w:val="BodyText2"/>
        <w:keepNext w:val="true"/>
        <w:ind w:start="1418" w:end="0"/>
        <w:rPr/>
      </w:pPr>
      <w:r>
        <w:rPr/>
        <w:t>Pursuant to section 34C of the Arbitration Ordinance (Cap. 341) and Article 8 of the UNCITRAL Model Law, an  agreement to submit to arbitration in the manner set out above would be legally valid, binding and enforceable under Hong Kong law.</w:t>
      </w:r>
    </w:p>
    <w:p>
      <w:pPr>
        <w:pStyle w:val="BodyText2"/>
        <w:keepNext w:val="true"/>
        <w:ind w:hanging="794" w:start="1418" w:end="0"/>
        <w:rPr/>
      </w:pPr>
      <w:r>
        <w:rPr/>
        <w:t>(c)(i)</w:t>
        <w:tab/>
      </w:r>
      <w:r>
        <w:rPr>
          <w:b/>
          <w:i/>
        </w:rPr>
        <w:t>Would a Court in Hong Kong enforce an award rendered by either (1) arbitrators in New York governed by the FAA and pursuant to the AAA Rules or (2) arbitrators in London pursuant to either the ICC or LCIA Rules?</w:t>
      </w:r>
    </w:p>
    <w:p>
      <w:pPr>
        <w:pStyle w:val="BodyText2"/>
        <w:rPr/>
      </w:pPr>
      <w:r>
        <w:rPr/>
        <w:t>An arbitration award obtained in pursuant to both (1) and (2) above will be enforceable in Hong Kong as a Convention award (an award made in pursuance of an arbitration agreement in a country, state or territory other than Hong Kong which is a party to the New York Convention) in the same way as a judgment of the Court of First Instance pursuant to Part IV of the Arbitration Ordinance of Hong Kong (Cap. 341), provided that:</w:t>
      </w:r>
    </w:p>
    <w:p>
      <w:pPr>
        <w:pStyle w:val="squarebullet"/>
        <w:numPr>
          <w:ilvl w:val="0"/>
          <w:numId w:val="17"/>
        </w:numPr>
        <w:tabs>
          <w:tab w:val="clear" w:pos="720"/>
          <w:tab w:val="left" w:pos="2137" w:leader="none"/>
        </w:tabs>
        <w:ind w:hanging="720" w:start="2137" w:end="0"/>
        <w:rPr/>
      </w:pPr>
      <w:r>
        <w:rPr/>
        <w:t>the arbitration agreement pursuant to which the Convention award is made is contained in a written document; and</w:t>
      </w:r>
    </w:p>
    <w:p>
      <w:pPr>
        <w:pStyle w:val="squarebullet"/>
        <w:numPr>
          <w:ilvl w:val="0"/>
          <w:numId w:val="17"/>
        </w:numPr>
        <w:tabs>
          <w:tab w:val="clear" w:pos="720"/>
          <w:tab w:val="left" w:pos="2137" w:leader="none"/>
        </w:tabs>
        <w:ind w:hanging="720" w:start="2137" w:end="0"/>
        <w:rPr/>
      </w:pPr>
      <w:r>
        <w:rPr/>
        <w:t xml:space="preserve">the parties seeking to enforce a Convention award produce the following documents: </w:t>
      </w:r>
    </w:p>
    <w:p>
      <w:pPr>
        <w:pStyle w:val="squarebullet"/>
        <w:numPr>
          <w:ilvl w:val="0"/>
          <w:numId w:val="33"/>
        </w:numPr>
        <w:tabs>
          <w:tab w:val="clear" w:pos="720"/>
          <w:tab w:val="left" w:pos="2497" w:leader="none"/>
        </w:tabs>
        <w:ind w:hanging="360" w:start="2497" w:end="0"/>
        <w:rPr/>
      </w:pPr>
      <w:r>
        <w:rPr/>
        <w:t>a duly agreement or a duly certified copy of it;</w:t>
      </w:r>
    </w:p>
    <w:p>
      <w:pPr>
        <w:pStyle w:val="squarebullet"/>
        <w:numPr>
          <w:ilvl w:val="0"/>
          <w:numId w:val="33"/>
        </w:numPr>
        <w:tabs>
          <w:tab w:val="clear" w:pos="720"/>
          <w:tab w:val="left" w:pos="2497" w:leader="none"/>
        </w:tabs>
        <w:ind w:hanging="360" w:start="2497" w:end="0"/>
        <w:rPr/>
      </w:pPr>
      <w:r>
        <w:rPr/>
        <w:t>where the Convention award or agreement is in a foreign language, a translation of it certified by authenticated original award or a duly certified copy of it; and</w:t>
      </w:r>
    </w:p>
    <w:p>
      <w:pPr>
        <w:pStyle w:val="bullet"/>
        <w:numPr>
          <w:ilvl w:val="0"/>
          <w:numId w:val="31"/>
        </w:numPr>
        <w:tabs>
          <w:tab w:val="clear" w:pos="720"/>
          <w:tab w:val="left" w:pos="2497" w:leader="none"/>
        </w:tabs>
        <w:ind w:hanging="360" w:start="2497" w:end="0"/>
        <w:rPr/>
      </w:pPr>
      <w:r>
        <w:rPr/>
        <w:t>the original arbitration an official or sworn by a diplomatic or consular agent.</w:t>
      </w:r>
    </w:p>
    <w:p>
      <w:pPr>
        <w:pStyle w:val="BodyText3"/>
        <w:ind w:start="1440" w:end="0"/>
        <w:rPr/>
      </w:pPr>
      <w:r>
        <w:rPr/>
        <w:t>The enforcement of a Convention award may be refused by a Hong Kong court if the person against whom it is invoked proves:</w:t>
      </w:r>
    </w:p>
    <w:p>
      <w:pPr>
        <w:pStyle w:val="bullet"/>
        <w:numPr>
          <w:ilvl w:val="0"/>
          <w:numId w:val="50"/>
        </w:numPr>
        <w:tabs>
          <w:tab w:val="clear" w:pos="720"/>
          <w:tab w:val="left" w:pos="2160" w:leader="none"/>
        </w:tabs>
        <w:ind w:hanging="720" w:start="2160" w:end="0"/>
        <w:rPr/>
      </w:pPr>
      <w:r>
        <w:rPr/>
        <w:t xml:space="preserve">that a party to the arbitration agreement was (under the law applicable to him) under some incapacity; or </w:t>
      </w:r>
    </w:p>
    <w:p>
      <w:pPr>
        <w:pStyle w:val="bullet"/>
        <w:numPr>
          <w:ilvl w:val="0"/>
          <w:numId w:val="50"/>
        </w:numPr>
        <w:tabs>
          <w:tab w:val="clear" w:pos="720"/>
          <w:tab w:val="left" w:pos="2160" w:leader="none"/>
        </w:tabs>
        <w:ind w:hanging="720" w:start="2160" w:end="0"/>
        <w:rPr/>
      </w:pPr>
      <w:r>
        <w:rPr/>
        <w:t xml:space="preserve">that the arbitration agreement was not valid under the law to which the parties subjected it or, failing any indication thereon, under the law of the country where the award was made; or </w:t>
      </w:r>
    </w:p>
    <w:p>
      <w:pPr>
        <w:pStyle w:val="bullet"/>
        <w:numPr>
          <w:ilvl w:val="0"/>
          <w:numId w:val="50"/>
        </w:numPr>
        <w:tabs>
          <w:tab w:val="clear" w:pos="720"/>
          <w:tab w:val="left" w:pos="2160" w:leader="none"/>
        </w:tabs>
        <w:ind w:hanging="720" w:start="2160" w:end="0"/>
        <w:rPr/>
      </w:pPr>
      <w:r>
        <w:rPr/>
        <w:t xml:space="preserve">that he was not given proper notice of the appointment of the arbitrator or of the arbitration proceedings or was otherwise unable to present his case; or </w:t>
      </w:r>
    </w:p>
    <w:p>
      <w:pPr>
        <w:pStyle w:val="bullet"/>
        <w:numPr>
          <w:ilvl w:val="0"/>
          <w:numId w:val="50"/>
        </w:numPr>
        <w:tabs>
          <w:tab w:val="clear" w:pos="720"/>
          <w:tab w:val="left" w:pos="2160" w:leader="none"/>
        </w:tabs>
        <w:ind w:hanging="720" w:start="2160" w:end="0"/>
        <w:rPr/>
      </w:pPr>
      <w:r>
        <w:rPr/>
        <w:t>that the award deals with a decision not contemplated by or not falling within the terms of the submission to arbitration or contains decisions on matters beyond the scope of the submission to arbitration; or</w:t>
      </w:r>
    </w:p>
    <w:p>
      <w:pPr>
        <w:pStyle w:val="bullet"/>
        <w:numPr>
          <w:ilvl w:val="0"/>
          <w:numId w:val="50"/>
        </w:numPr>
        <w:tabs>
          <w:tab w:val="clear" w:pos="720"/>
          <w:tab w:val="left" w:pos="2160" w:leader="none"/>
        </w:tabs>
        <w:ind w:hanging="720" w:start="2160" w:end="0"/>
        <w:rPr/>
      </w:pPr>
      <w:r>
        <w:rPr/>
        <w:t xml:space="preserve">that the composition of the arbitral authority or the arbitral procedure was not in accordance with the agreement of the parties or, failing such agreement, with the law of the country where the arbitration took place; or </w:t>
      </w:r>
    </w:p>
    <w:p>
      <w:pPr>
        <w:pStyle w:val="squarebullet"/>
        <w:numPr>
          <w:ilvl w:val="0"/>
          <w:numId w:val="21"/>
        </w:numPr>
        <w:tabs>
          <w:tab w:val="clear" w:pos="720"/>
          <w:tab w:val="left" w:pos="2160" w:leader="none"/>
        </w:tabs>
        <w:ind w:hanging="720" w:start="2160" w:end="0"/>
        <w:rPr/>
      </w:pPr>
      <w:r>
        <w:rPr/>
        <w:t>that the award has not yet become binding on the parties, or has been set aside or suspended by a competent authority of the country in which, or under the law of which, it was made.</w:t>
      </w:r>
    </w:p>
    <w:p>
      <w:pPr>
        <w:pStyle w:val="BodyText3"/>
        <w:rPr/>
      </w:pPr>
      <w:r>
        <w:rPr/>
        <w:t>The enforcement of a Convention award may also be refused if the award is in respect of a matter which is not capable of settlement by arbitration, or if it would be contrary to public policy to enforce the order. Furthermore a Convention award which contains decisions on matters not submitted to arbitration may be enforced to the extent that it contains decisions on matters submitted to arbitration which can be separated from those on matters not so submitted.</w:t>
      </w:r>
    </w:p>
    <w:p>
      <w:pPr>
        <w:pStyle w:val="BodyText"/>
        <w:ind w:hanging="794" w:start="1418" w:end="0"/>
        <w:rPr/>
      </w:pPr>
      <w:r>
        <w:rPr/>
        <w:t>(c)(ii)</w:t>
        <w:tab/>
      </w:r>
      <w:r>
        <w:rPr>
          <w:b/>
          <w:i/>
        </w:rPr>
        <w:t>Is there any possibility of the national or local courts of Hong Kong challenging or otherwise intervening in relation to any award made by any such arbitral tribunal?</w:t>
      </w:r>
    </w:p>
    <w:p>
      <w:pPr>
        <w:pStyle w:val="BodyText2"/>
        <w:rPr/>
      </w:pPr>
      <w:r>
        <w:rPr/>
        <w:t xml:space="preserve">Except as set out in our answer to Section 1D(c)(i) above there is no possibility of a Hong Kong court intervening in relation to an award obtained in the manner set out in the assumptions to this Section 1D. </w:t>
      </w:r>
    </w:p>
    <w:p>
      <w:pPr>
        <w:pStyle w:val="BodyText"/>
        <w:ind w:hanging="794" w:start="1418" w:end="0"/>
        <w:rPr/>
      </w:pPr>
      <w:r>
        <w:rPr/>
        <w:t>(c)(iii)</w:t>
        <w:tab/>
      </w:r>
      <w:r>
        <w:rPr>
          <w:b/>
          <w:i/>
        </w:rPr>
        <w:t xml:space="preserve">Would a party have any right to appeal to the courts in Hong Kong in respect of an award made by either such body, or could it challenge the validity of the award? </w:t>
      </w:r>
    </w:p>
    <w:p>
      <w:pPr>
        <w:pStyle w:val="BodyText2"/>
        <w:rPr/>
      </w:pPr>
      <w:r>
        <w:rPr/>
        <w:t xml:space="preserve">Except as set out in our answer to Section 1D(c)(i) above there is no possibility of a Hong Kong court intervening in relation to an award obtained in the manner set out in the assumptions to this Section 1D. </w:t>
      </w:r>
    </w:p>
    <w:p>
      <w:pPr>
        <w:pStyle w:val="BodyText"/>
        <w:ind w:hanging="794" w:start="1418" w:end="0"/>
        <w:rPr/>
      </w:pPr>
      <w:r>
        <w:rPr>
          <w:rFonts w:eastAsia="'宋体"/>
          <w:lang w:eastAsia="zh-CN"/>
        </w:rPr>
        <w:t>(d)</w:t>
        <w:tab/>
      </w:r>
      <w:r>
        <w:rPr>
          <w:b/>
          <w:i/>
        </w:rPr>
        <w:t>If an award of arbitrators pursuant to either form and location of arbitration as referred to in the first assumption set out in Section 1D above is enforceable in the courts of Hong Kong, would ECI experience any significant delays in such courts in seeking enforcement of such award?</w:t>
      </w:r>
    </w:p>
    <w:p>
      <w:pPr>
        <w:pStyle w:val="BodyText2"/>
        <w:rPr/>
      </w:pPr>
      <w:r>
        <w:rPr/>
        <w:t xml:space="preserve">ECI would not experience significant delays in seeking enforcement of such award.  The Hong Kong courts have an exemplary track record in enforcing overseas arbitration awards. </w:t>
      </w:r>
    </w:p>
    <w:p>
      <w:pPr>
        <w:pStyle w:val="Heading2"/>
        <w:keepNext w:val="true"/>
        <w:ind w:hanging="0" w:start="0"/>
        <w:rPr>
          <w:b w:val="false"/>
        </w:rPr>
      </w:pPr>
      <w:bookmarkStart w:id="17" w:name="__RefHeading___Toc470323628"/>
      <w:bookmarkEnd w:id="17"/>
      <w:r>
        <w:rPr/>
        <w:t>Section 1E: Events of Default, Insolvency and Early Termination</w:t>
      </w:r>
    </w:p>
    <w:p>
      <w:pPr>
        <w:pStyle w:val="BodyText"/>
        <w:keepNext w:val="true"/>
        <w:rPr/>
      </w:pPr>
      <w:r>
        <w:rPr/>
        <w:t>You have asked us about events of default, insolvency and early termination in the Master Agreement and the GTCs.  We understand from the Survey Questionnaire that the Local Counterparty to the Master Agreement/GTCs may be a corporation or partnership, a utility, a municipal entity, a government-owned entity or a financial institution, but that it will not be an individual.</w:t>
      </w:r>
    </w:p>
    <w:p>
      <w:pPr>
        <w:pStyle w:val="Heading3"/>
        <w:keepNext w:val="true"/>
        <w:ind w:hanging="0" w:start="0"/>
        <w:rPr>
          <w:b/>
          <w:i/>
          <w:i/>
        </w:rPr>
      </w:pPr>
      <w:r>
        <w:rPr>
          <w:b/>
          <w:i/>
        </w:rPr>
        <w:t>Background</w:t>
      </w:r>
    </w:p>
    <w:p>
      <w:pPr>
        <w:pStyle w:val="BodyText2"/>
        <w:keepNext w:val="true"/>
        <w:rPr/>
      </w:pPr>
      <w:r>
        <w:rPr/>
        <w:t>In this Section 1E, a reference to:</w:t>
      </w:r>
    </w:p>
    <w:p>
      <w:pPr>
        <w:pStyle w:val="BodyText2"/>
        <w:keepNext w:val="true"/>
        <w:numPr>
          <w:ilvl w:val="0"/>
          <w:numId w:val="22"/>
        </w:numPr>
        <w:tabs>
          <w:tab w:val="clear" w:pos="720"/>
          <w:tab w:val="left" w:pos="2211" w:leader="none"/>
        </w:tabs>
        <w:ind w:hanging="794" w:start="2211" w:end="0"/>
        <w:rPr/>
      </w:pPr>
      <w:r>
        <w:rPr/>
        <w:t>a "</w:t>
      </w:r>
      <w:r>
        <w:rPr>
          <w:b/>
        </w:rPr>
        <w:t>bank</w:t>
      </w:r>
      <w:r>
        <w:rPr/>
        <w:t>" is a reference to an authorised institution within the meaning in section 2(1) of the Banking Ordinance (Cap. 155);</w:t>
      </w:r>
    </w:p>
    <w:p>
      <w:pPr>
        <w:pStyle w:val="BodyText2"/>
        <w:numPr>
          <w:ilvl w:val="0"/>
          <w:numId w:val="22"/>
        </w:numPr>
        <w:tabs>
          <w:tab w:val="clear" w:pos="720"/>
          <w:tab w:val="left" w:pos="2211" w:leader="none"/>
        </w:tabs>
        <w:ind w:hanging="794" w:start="2211" w:end="0"/>
        <w:rPr/>
      </w:pPr>
      <w:r>
        <w:rPr/>
        <w:t>a "</w:t>
      </w:r>
      <w:r>
        <w:rPr>
          <w:b/>
        </w:rPr>
        <w:t>company</w:t>
      </w:r>
      <w:r>
        <w:rPr/>
        <w:t>" is a reference to a company or an oversea company each within the meaning in section 2(1) of the Companies Ordinance (Cap. 32);</w:t>
      </w:r>
    </w:p>
    <w:p>
      <w:pPr>
        <w:pStyle w:val="BodyText2"/>
        <w:numPr>
          <w:ilvl w:val="0"/>
          <w:numId w:val="22"/>
        </w:numPr>
        <w:tabs>
          <w:tab w:val="clear" w:pos="720"/>
          <w:tab w:val="left" w:pos="2211" w:leader="none"/>
        </w:tabs>
        <w:ind w:hanging="794" w:start="2211" w:end="0"/>
        <w:rPr/>
      </w:pPr>
      <w:r>
        <w:rPr/>
        <w:t>a "</w:t>
      </w:r>
      <w:r>
        <w:rPr>
          <w:b/>
        </w:rPr>
        <w:t>partnership</w:t>
      </w:r>
      <w:r>
        <w:rPr/>
        <w:t>"</w:t>
      </w:r>
      <w:r>
        <w:rPr>
          <w:b/>
        </w:rPr>
        <w:t xml:space="preserve"> </w:t>
      </w:r>
      <w:r>
        <w:rPr/>
        <w:t>is a reference to</w:t>
      </w:r>
      <w:r>
        <w:rPr>
          <w:b/>
        </w:rPr>
        <w:t xml:space="preserve"> </w:t>
      </w:r>
      <w:r>
        <w:rPr/>
        <w:t>a group of individuals or companies which have contracted to engage in a business with a view to profit (within the meaning of the Partnership Ordinance (Cap. 38)), whether on the basis of unlimited or limited liability (within the meaning of the Limited Partnership Ordinance (Cap.37));</w:t>
      </w:r>
    </w:p>
    <w:p>
      <w:pPr>
        <w:pStyle w:val="BodyText2"/>
        <w:numPr>
          <w:ilvl w:val="0"/>
          <w:numId w:val="22"/>
        </w:numPr>
        <w:tabs>
          <w:tab w:val="clear" w:pos="720"/>
          <w:tab w:val="left" w:pos="2211" w:leader="none"/>
        </w:tabs>
        <w:ind w:hanging="794" w:start="2211" w:end="0"/>
        <w:rPr/>
      </w:pPr>
      <w:r>
        <w:rPr/>
        <w:t>a "</w:t>
      </w:r>
      <w:r>
        <w:rPr>
          <w:b/>
        </w:rPr>
        <w:t>utility</w:t>
      </w:r>
      <w:r>
        <w:rPr/>
        <w:t xml:space="preserve">" is a reference to those public corporations formed to carry out public works such as, but not limited to, railway, water, electricity and gas companies; </w:t>
      </w:r>
    </w:p>
    <w:p>
      <w:pPr>
        <w:pStyle w:val="BodyText2"/>
        <w:numPr>
          <w:ilvl w:val="0"/>
          <w:numId w:val="22"/>
        </w:numPr>
        <w:tabs>
          <w:tab w:val="clear" w:pos="720"/>
          <w:tab w:val="left" w:pos="2211" w:leader="none"/>
        </w:tabs>
        <w:ind w:hanging="794" w:start="2211" w:end="0"/>
        <w:rPr/>
      </w:pPr>
      <w:r>
        <w:rPr/>
        <w:t>a "</w:t>
      </w:r>
      <w:r>
        <w:rPr>
          <w:b/>
        </w:rPr>
        <w:t>public corporation</w:t>
      </w:r>
      <w:r>
        <w:rPr/>
        <w:t xml:space="preserve">" is a reference to any corporation (other than a company) formed by special statute in which the government or a local government authority may have an ownership interest; </w:t>
      </w:r>
    </w:p>
    <w:p>
      <w:pPr>
        <w:pStyle w:val="BodyText2"/>
        <w:numPr>
          <w:ilvl w:val="0"/>
          <w:numId w:val="22"/>
        </w:numPr>
        <w:tabs>
          <w:tab w:val="clear" w:pos="720"/>
          <w:tab w:val="left" w:pos="2211" w:leader="none"/>
        </w:tabs>
        <w:ind w:hanging="794" w:start="2211" w:end="0"/>
        <w:rPr/>
      </w:pPr>
      <w:r>
        <w:rPr/>
        <w:t>a "</w:t>
      </w:r>
      <w:r>
        <w:rPr>
          <w:b/>
        </w:rPr>
        <w:t>municipality</w:t>
      </w:r>
      <w:r>
        <w:rPr/>
        <w:t>" or "</w:t>
      </w:r>
      <w:r>
        <w:rPr>
          <w:b/>
        </w:rPr>
        <w:t>government-owned entity</w:t>
      </w:r>
      <w:r>
        <w:rPr/>
        <w:t>" is a reference to a company in which the government or a local government authority may have an ownership interest or public corporation</w:t>
      </w:r>
      <w:bookmarkStart w:id="18" w:name="_Ref467038353"/>
      <w:r>
        <w:rPr/>
        <w:t>; and</w:t>
      </w:r>
    </w:p>
    <w:p>
      <w:pPr>
        <w:pStyle w:val="BodyText2"/>
        <w:numPr>
          <w:ilvl w:val="0"/>
          <w:numId w:val="22"/>
        </w:numPr>
        <w:tabs>
          <w:tab w:val="clear" w:pos="720"/>
          <w:tab w:val="left" w:pos="2211" w:leader="none"/>
        </w:tabs>
        <w:ind w:hanging="794" w:start="2211" w:end="0"/>
        <w:rPr/>
      </w:pPr>
      <w:r>
        <w:rPr/>
        <w:t>a "</w:t>
      </w:r>
      <w:r>
        <w:rPr>
          <w:b/>
        </w:rPr>
        <w:t>statutory company</w:t>
      </w:r>
      <w:r>
        <w:rPr/>
        <w:t>" means a corporation which is incorporated under a Hong Kong ordinance other than the Companies Ordinance and would include a utility, a public corporation and a municipality/government-owned entity which is itself a public corporation (each as defined above).</w:t>
      </w:r>
    </w:p>
    <w:p>
      <w:pPr>
        <w:pStyle w:val="BodyText2"/>
        <w:rPr/>
      </w:pPr>
      <w:r>
        <w:rPr/>
        <w:t>The only bankruptcy, composition, rehabilitation or other insolvency procedures to which a party could be subject under Hong Kong law and which are relevant for the purposes of the advice set out below are liquidation, receivership and schemes of arrangement.  These procedures are together referred to as "</w:t>
      </w:r>
      <w:r>
        <w:rPr>
          <w:b/>
        </w:rPr>
        <w:t>Insolvency Proceedings</w:t>
      </w:r>
      <w:r>
        <w:rPr/>
        <w:t>".  The legislation applicable to Insolvency Proceedings is:</w:t>
      </w:r>
    </w:p>
    <w:p>
      <w:pPr>
        <w:pStyle w:val="BodyText2"/>
        <w:numPr>
          <w:ilvl w:val="0"/>
          <w:numId w:val="9"/>
        </w:numPr>
        <w:tabs>
          <w:tab w:val="clear" w:pos="720"/>
          <w:tab w:val="left" w:pos="2211" w:leader="none"/>
        </w:tabs>
        <w:ind w:hanging="794" w:start="2211" w:end="0"/>
        <w:rPr/>
      </w:pPr>
      <w:r>
        <w:rPr/>
        <w:t>the Companies Ordinance;</w:t>
      </w:r>
    </w:p>
    <w:p>
      <w:pPr>
        <w:pStyle w:val="BodyText2"/>
        <w:numPr>
          <w:ilvl w:val="0"/>
          <w:numId w:val="9"/>
        </w:numPr>
        <w:tabs>
          <w:tab w:val="clear" w:pos="720"/>
          <w:tab w:val="left" w:pos="2211" w:leader="none"/>
        </w:tabs>
        <w:ind w:hanging="794" w:start="2211" w:end="0"/>
        <w:rPr/>
      </w:pPr>
      <w:r>
        <w:rPr/>
        <w:t>the Bankruptcy Ordinance (Cap. 6);</w:t>
      </w:r>
    </w:p>
    <w:p>
      <w:pPr>
        <w:pStyle w:val="BodyText2"/>
        <w:numPr>
          <w:ilvl w:val="0"/>
          <w:numId w:val="9"/>
        </w:numPr>
        <w:tabs>
          <w:tab w:val="clear" w:pos="720"/>
          <w:tab w:val="left" w:pos="2211" w:leader="none"/>
        </w:tabs>
        <w:ind w:hanging="794" w:start="2211" w:end="0"/>
        <w:rPr/>
      </w:pPr>
      <w:r>
        <w:rPr/>
        <w:t>the Bankruptcy (Winding-up) Rules;</w:t>
      </w:r>
    </w:p>
    <w:p>
      <w:pPr>
        <w:pStyle w:val="BodyText2"/>
        <w:numPr>
          <w:ilvl w:val="0"/>
          <w:numId w:val="9"/>
        </w:numPr>
        <w:tabs>
          <w:tab w:val="clear" w:pos="720"/>
          <w:tab w:val="left" w:pos="2211" w:leader="none"/>
        </w:tabs>
        <w:ind w:hanging="794" w:start="2211" w:end="0"/>
        <w:rPr/>
      </w:pPr>
      <w:r>
        <w:rPr/>
        <w:t>the Companies (Winding-Up) Rules;</w:t>
      </w:r>
    </w:p>
    <w:p>
      <w:pPr>
        <w:pStyle w:val="BodyText2"/>
        <w:numPr>
          <w:ilvl w:val="0"/>
          <w:numId w:val="9"/>
        </w:numPr>
        <w:tabs>
          <w:tab w:val="clear" w:pos="720"/>
          <w:tab w:val="left" w:pos="2211" w:leader="none"/>
        </w:tabs>
        <w:ind w:hanging="794" w:start="2211" w:end="0"/>
        <w:rPr/>
      </w:pPr>
      <w:r>
        <w:rPr/>
        <w:t>the Conveyancing and Property Ordinance (Cap. 219); and</w:t>
      </w:r>
    </w:p>
    <w:p>
      <w:pPr>
        <w:pStyle w:val="BodyText2"/>
        <w:numPr>
          <w:ilvl w:val="0"/>
          <w:numId w:val="9"/>
        </w:numPr>
        <w:tabs>
          <w:tab w:val="clear" w:pos="720"/>
          <w:tab w:val="left" w:pos="2211" w:leader="none"/>
        </w:tabs>
        <w:ind w:hanging="794" w:start="2211" w:end="0"/>
        <w:rPr/>
      </w:pPr>
      <w:r>
        <w:rPr/>
        <w:t>other relevant subsidiary legislation,</w:t>
      </w:r>
    </w:p>
    <w:p>
      <w:pPr>
        <w:pStyle w:val="BodyText2"/>
        <w:rPr/>
      </w:pPr>
      <w:r>
        <w:rPr/>
        <w:t>each as modified up to the date of this advice.</w:t>
      </w:r>
    </w:p>
    <w:p>
      <w:pPr>
        <w:pStyle w:val="BodyText2"/>
        <w:rPr/>
      </w:pPr>
      <w:r>
        <w:rPr/>
        <w:t>These Insolvency Proceedings all fall within the definition of Bankruptcy Proceedings in the Master Agreement and GTCs.</w:t>
      </w:r>
      <w:bookmarkEnd w:id="18"/>
      <w:r>
        <w:rPr/>
        <w:t xml:space="preserve">  However, we note that:</w:t>
      </w:r>
    </w:p>
    <w:p>
      <w:pPr>
        <w:pStyle w:val="Normal"/>
        <w:numPr>
          <w:ilvl w:val="0"/>
          <w:numId w:val="11"/>
        </w:numPr>
        <w:tabs>
          <w:tab w:val="clear" w:pos="720"/>
          <w:tab w:val="left" w:pos="1080" w:leader="none"/>
        </w:tabs>
        <w:ind w:hanging="710" w:start="2127" w:end="0"/>
        <w:rPr/>
      </w:pPr>
      <w:r>
        <w:rPr/>
        <w:t>a partnership is not susceptible of being made subject to the receivership procedure;</w:t>
      </w:r>
      <w:r>
        <w:rPr>
          <w:rStyle w:val="FootnoteCharacters"/>
          <w:rStyle w:val="FootnoteReference"/>
        </w:rPr>
        <w:footnoteReference w:id="9"/>
      </w:r>
      <w:r>
        <w:rPr/>
        <w:t xml:space="preserve"> and</w:t>
      </w:r>
    </w:p>
    <w:p>
      <w:pPr>
        <w:pStyle w:val="Normal"/>
        <w:numPr>
          <w:ilvl w:val="0"/>
          <w:numId w:val="11"/>
        </w:numPr>
        <w:tabs>
          <w:tab w:val="clear" w:pos="720"/>
          <w:tab w:val="left" w:pos="1080" w:leader="none"/>
        </w:tabs>
        <w:ind w:hanging="710" w:start="2127" w:end="0"/>
        <w:rPr/>
      </w:pPr>
      <w:r>
        <w:rPr/>
        <w:t>an oversea company is not susceptible of being made subject to the scheme of arrangement procedure and may not be voluntarily wound-up (although it may be compulsorily wound-up).</w:t>
      </w:r>
    </w:p>
    <w:p>
      <w:pPr>
        <w:pStyle w:val="Normal"/>
        <w:ind w:start="1417" w:end="0"/>
        <w:rPr/>
      </w:pPr>
      <w:r>
        <w:rPr/>
        <w:t xml:space="preserve">Statutory companies may be subject to a different insolvency regime than that which applies to companies (as defined above).  In particular, they may be subject to special insolvency regimes pursuant to the Ordinance by which they are established or incorporated.  </w:t>
      </w:r>
    </w:p>
    <w:p>
      <w:pPr>
        <w:pStyle w:val="Normal"/>
        <w:ind w:start="1417" w:end="0"/>
        <w:rPr/>
      </w:pPr>
      <w:r>
        <w:rPr/>
        <w:t>It is also possible that special insolvency regimes may exist for municipalities and government-owned entities which are not themselves statutory companies, but whose conduct may be governed by statutes which themselves contain or impose specific insolvency provisions on such entities.</w:t>
      </w:r>
    </w:p>
    <w:p>
      <w:pPr>
        <w:pStyle w:val="Normal"/>
        <w:ind w:start="1417" w:end="0"/>
        <w:rPr/>
      </w:pPr>
      <w:r>
        <w:rPr/>
        <w:t>Given the possibility that statutory companies, municipalities and/or government-owned entities may be subject to special insolvency regimes, we recommend that prior to entering into a Transaction with such an entity for the first time, you obtain a legal opinion from its counsel as to the enforceability of the Master Agreement/GTCs.</w:t>
      </w:r>
    </w:p>
    <w:p>
      <w:pPr>
        <w:pStyle w:val="Normal"/>
        <w:ind w:start="1417" w:end="0"/>
        <w:rPr/>
      </w:pPr>
      <w:r>
        <w:rPr/>
        <w:t xml:space="preserve">Unless the statute under which a statutory company is established says otherwise, such a statutory company is capable of being made subject to compulsory winding-up procedures as an “unregistered company” under section 326 of the Companies Ordinance.  </w:t>
      </w:r>
    </w:p>
    <w:p>
      <w:pPr>
        <w:pStyle w:val="Normal"/>
        <w:ind w:start="1417" w:end="0"/>
        <w:rPr/>
      </w:pPr>
      <w:r>
        <w:rPr/>
        <w:t>Given the possibility that special insolvency regimes may apply to statutory companies and municipalities/government-owned entities (which are not statutory companies) and our recommendation that you obtain specific opinions in relation to such entities before entering into Transactions with them for the first time, our answers to your questions in Section 4.6.3 are limited to an analysis of the position relating to:</w:t>
      </w:r>
    </w:p>
    <w:p>
      <w:pPr>
        <w:pStyle w:val="Normal"/>
        <w:numPr>
          <w:ilvl w:val="0"/>
          <w:numId w:val="6"/>
        </w:numPr>
        <w:tabs>
          <w:tab w:val="clear" w:pos="720"/>
          <w:tab w:val="left" w:pos="2137" w:leader="none"/>
        </w:tabs>
        <w:ind w:hanging="720" w:start="2137" w:end="0"/>
        <w:rPr/>
      </w:pPr>
      <w:r>
        <w:rPr/>
        <w:t xml:space="preserve">Insolvency Procedures in respect of companies which are not oversea companies; and </w:t>
      </w:r>
    </w:p>
    <w:p>
      <w:pPr>
        <w:pStyle w:val="Normal"/>
        <w:numPr>
          <w:ilvl w:val="0"/>
          <w:numId w:val="6"/>
        </w:numPr>
        <w:tabs>
          <w:tab w:val="clear" w:pos="720"/>
          <w:tab w:val="left" w:pos="2137" w:leader="none"/>
        </w:tabs>
        <w:ind w:hanging="720" w:start="2137" w:end="0"/>
        <w:rPr/>
      </w:pPr>
      <w:r>
        <w:rPr/>
        <w:t>compulsory winding-up procedures in respect of oversea companies and unregistered companies which are capable of being made subject to the compulsory winding-up procedures as “unregistered companies” under section 326 of the Companies Ordinance.</w:t>
      </w:r>
    </w:p>
    <w:p>
      <w:pPr>
        <w:pStyle w:val="Heading3"/>
        <w:ind w:hanging="0" w:start="0"/>
        <w:rPr>
          <w:b/>
          <w:i/>
          <w:i/>
        </w:rPr>
      </w:pPr>
      <w:r>
        <w:rPr>
          <w:b/>
          <w:i/>
        </w:rPr>
        <w:t>Assumptions</w:t>
      </w:r>
    </w:p>
    <w:p>
      <w:pPr>
        <w:pStyle w:val="BodyText2"/>
        <w:rPr/>
      </w:pPr>
      <w:r>
        <w:rPr/>
        <w:t>Our responses to Section 1E only consider obligations under the Master Agreement/GTCs and Transactions which are legally binding and enforceable and which are mutual between the parties, in the sense that each is personally and solely liable for its own account as regards obligations owing by it and is sole beneficial owner of obligations owed to it.  Therefore, the responses do not apply, for example, in respect of a party which is acting as agent for another person, or is a trustee, or in respect of which a party has a joint interest (including partnership)</w:t>
      </w:r>
      <w:r>
        <w:rPr>
          <w:b/>
        </w:rPr>
        <w:t xml:space="preserve"> </w:t>
      </w:r>
      <w:r>
        <w:rPr/>
        <w:t>or in respect of which a party's rights or obligations or any interest therein have been assigned, charged or transferred  (whether in whole or in part) whether unilaterally, by agreement or by operation of law.</w:t>
      </w:r>
    </w:p>
    <w:p>
      <w:pPr>
        <w:pStyle w:val="BodyText2"/>
        <w:rPr/>
      </w:pPr>
      <w:r>
        <w:rPr/>
        <w:t>In addition, our responses are given only on the basis that the Non-Defaulting Party is not itself insolvent for the purposes of any insolvency law, is not subject to any Insolvency Proceedings and is given only in respect of those Transactions which are futures, options, contracts for differences, swaps, spot or forward contracts of any kind in relation to Bandwidth trading.</w:t>
      </w:r>
    </w:p>
    <w:p>
      <w:pPr>
        <w:pStyle w:val="BodyText2"/>
        <w:rPr/>
      </w:pPr>
      <w:r>
        <w:rPr/>
        <w:t>You should be also aware that, in providing our response to Section 1E of the Survey Questionnaire, we have made the following assumptions:</w:t>
      </w:r>
    </w:p>
    <w:p>
      <w:pPr>
        <w:pStyle w:val="BodyText2"/>
        <w:numPr>
          <w:ilvl w:val="0"/>
          <w:numId w:val="36"/>
        </w:numPr>
        <w:tabs>
          <w:tab w:val="clear" w:pos="720"/>
          <w:tab w:val="left" w:pos="2211" w:leader="none"/>
        </w:tabs>
        <w:ind w:hanging="794" w:start="2211" w:end="0"/>
        <w:rPr/>
      </w:pPr>
      <w:r>
        <w:rPr/>
        <w:t>that each party will have the capacity, power and authority under all applicable law(s) and have taken all other requisite steps to enter into the Master Agreement/GTCs and to perform its obligations under the Master Agreement/GTCs and the Transactions;</w:t>
      </w:r>
    </w:p>
    <w:p>
      <w:pPr>
        <w:pStyle w:val="BodyText2"/>
        <w:numPr>
          <w:ilvl w:val="0"/>
          <w:numId w:val="36"/>
        </w:numPr>
        <w:tabs>
          <w:tab w:val="clear" w:pos="720"/>
          <w:tab w:val="left" w:pos="2211" w:leader="none"/>
        </w:tabs>
        <w:ind w:hanging="794" w:start="2211" w:end="0"/>
        <w:rPr/>
      </w:pPr>
      <w:r>
        <w:rPr/>
        <w:t>that the obligations expressed to be assumed by each party to the Master Agreement/GTCs and the Transactions constitute its valid and binding obligations under the laws by which they are expressed to be governed;</w:t>
      </w:r>
    </w:p>
    <w:p>
      <w:pPr>
        <w:pStyle w:val="BodyText2"/>
        <w:numPr>
          <w:ilvl w:val="0"/>
          <w:numId w:val="36"/>
        </w:numPr>
        <w:tabs>
          <w:tab w:val="clear" w:pos="720"/>
          <w:tab w:val="left" w:pos="2211" w:leader="none"/>
        </w:tabs>
        <w:ind w:hanging="794" w:start="2211" w:end="0"/>
        <w:rPr/>
      </w:pPr>
      <w:r>
        <w:rPr/>
        <w:t xml:space="preserve">that the Master Agreement/GTCs will have been entered into prior to the formal commencement of any Insolvency Proceeding in respect of either party; and </w:t>
      </w:r>
    </w:p>
    <w:p>
      <w:pPr>
        <w:pStyle w:val="BodyText2"/>
        <w:numPr>
          <w:ilvl w:val="0"/>
          <w:numId w:val="36"/>
        </w:numPr>
        <w:tabs>
          <w:tab w:val="clear" w:pos="720"/>
          <w:tab w:val="left" w:pos="2211" w:leader="none"/>
        </w:tabs>
        <w:ind w:hanging="794" w:start="2211" w:end="0"/>
        <w:rPr/>
      </w:pPr>
      <w:r>
        <w:rPr/>
        <w:t>that the contractual arrangements and obligations established pursuant to and by the Master Agreement/GTCs and each Transaction are not capable of being avoided by virtue of the existence of any misrepresentation, fraud, illegality, undue influence or mistake of fact which relates to the Master Agreement/GTCs or for the reasons mentioned in Section 4.6.4 below.</w:t>
      </w:r>
    </w:p>
    <w:p>
      <w:pPr>
        <w:pStyle w:val="BodyText3"/>
        <w:ind w:start="1418" w:end="0"/>
        <w:rPr/>
      </w:pPr>
      <w:r>
        <w:rPr/>
        <w:t>Please note that, in answering Section 1E, we have limited our review to the effectiveness of the termination, valuation and set-off provisions of the Master Agreement/GTCs.  We would also mention that there are various other assumptions and qualifications (which are usual in the context of giving an opinion on the effectiveness of netting) which we have relied upon but have not expressly set out here as they are likely to be of subsidiary importance.  We would be happy to provide a full netting opinion in respect of a particular counterparty when the need arises.</w:t>
      </w:r>
    </w:p>
    <w:p>
      <w:pPr>
        <w:pStyle w:val="Heading3"/>
        <w:ind w:hanging="0" w:start="0"/>
        <w:rPr>
          <w:b/>
          <w:i/>
          <w:i/>
        </w:rPr>
      </w:pPr>
      <w:r>
        <w:rPr>
          <w:b/>
          <w:i/>
        </w:rPr>
        <w:t>Survey responses</w:t>
      </w:r>
    </w:p>
    <w:p>
      <w:pPr>
        <w:pStyle w:val="BodyText2"/>
        <w:ind w:hanging="743" w:start="2160" w:end="0"/>
        <w:rPr/>
      </w:pPr>
      <w:r>
        <w:rPr>
          <w:rFonts w:eastAsia="'宋体"/>
          <w:lang w:eastAsia="zh-CN"/>
        </w:rPr>
        <w:t>(a)</w:t>
        <w:tab/>
      </w:r>
      <w:r>
        <w:rPr>
          <w:b/>
          <w:i/>
        </w:rPr>
        <w:t>Assuming that no Bankruptcy Proceeding (as such term is defined in the Master Agreement/GTCs) or similar event occurred to a Local Counterparty, if Hong Kong law were the governing law of a Transaction(s) (rather than New York or English Law) with that Local Counterparty, would a court in Hong Kong enforce the Early Termination provisions of Section 6 of the Master Agreement or GTCs (including, but not limited to, the set-off provisions thereof) against a Local Counterparty?</w:t>
      </w:r>
    </w:p>
    <w:p>
      <w:pPr>
        <w:pStyle w:val="BodyText3"/>
        <w:rPr/>
      </w:pPr>
      <w:r>
        <w:rPr/>
        <w:t>On the assumption that an Event of Default (whether as a result of the commencement of an Insolvency Proceeding or not) has occurred in relation to a party, the Non-Defaulting Party would be entitled to exercise its rights under Section 6 of the Master Agreement/GTCs and the terms of Section 6 providing for the termination and liquidation of obligations would be valid and effective under Hong Kong law irrespective of the governing law(s) of the Transactions to which those obligations relate.</w:t>
      </w:r>
    </w:p>
    <w:p>
      <w:pPr>
        <w:pStyle w:val="BodyText2"/>
        <w:ind w:hanging="743" w:start="2160" w:end="0"/>
        <w:rPr/>
      </w:pPr>
      <w:r>
        <w:rPr>
          <w:rFonts w:eastAsia="CG Times"/>
          <w:lang w:eastAsia="zh-CN"/>
        </w:rPr>
        <w:t xml:space="preserve"> </w:t>
      </w:r>
      <w:r>
        <w:rPr>
          <w:rFonts w:eastAsia="'宋体"/>
          <w:lang w:eastAsia="zh-CN"/>
        </w:rPr>
        <w:t>(b)</w:t>
        <w:tab/>
      </w:r>
      <w:r>
        <w:rPr>
          <w:b/>
          <w:i/>
        </w:rPr>
        <w:t>If the Master Agreement/GTCs (and their underlying Transactions) could be so terminated, would a court in Hong Kong, applying Hong Kong law, give effect to the Early Termination Payment provisions of the Master Agreement/GTCs, without requiring some additional act or condition (e.g. judicial approval or a statement before a notary in order to effect a set-off)?</w:t>
      </w:r>
    </w:p>
    <w:p>
      <w:pPr>
        <w:pStyle w:val="BodyText3"/>
        <w:rPr/>
      </w:pPr>
      <w:r>
        <w:rPr/>
        <w:t>A court would give effect to the Early Termination Payment provisions without requiring any additional act or condition.</w:t>
      </w:r>
    </w:p>
    <w:p>
      <w:pPr>
        <w:pStyle w:val="BodyText2"/>
        <w:ind w:hanging="743" w:start="2160" w:end="0"/>
        <w:rPr/>
      </w:pPr>
      <w:r>
        <w:rPr>
          <w:rFonts w:eastAsia="'宋体"/>
          <w:lang w:eastAsia="zh-CN"/>
        </w:rPr>
        <w:t>(c)</w:t>
        <w:tab/>
      </w:r>
      <w:r>
        <w:rPr>
          <w:b/>
          <w:i/>
        </w:rPr>
        <w:t>Would a court in Hong Kong, applying Hong Kong law, enforce the said Early Termination and Early Termination Payment provisions of the Master Agreement/GTCs (including, but not limited to, the set-off provisions thereof) against a Local Counterparty after an Insolvency Proceeding has occurred to that Local Counterparty?  You may assume that ECI was not able to (or was able, but failed to) early terminate the Master Agreement/GTCs (and hence the underlying Transactions) before the Insolvency Proceeding.</w:t>
      </w:r>
    </w:p>
    <w:p>
      <w:pPr>
        <w:pStyle w:val="BodyText3"/>
        <w:rPr/>
      </w:pPr>
      <w:r>
        <w:rPr/>
        <w:t>Transactions entered into after Insolvency Proceedings have commenced in relation to a party might not be capable of inclusion in the termination and liquidation under Section 6 (see further our response to Section 1E(e)(iii) below), but this would not affect the effectiveness of Section 6 in respect of Transactions entered into before the commencement of such Insolvency Proceedings.</w:t>
      </w:r>
    </w:p>
    <w:p>
      <w:pPr>
        <w:pStyle w:val="BodyText2"/>
        <w:ind w:hanging="743" w:start="2160" w:end="0"/>
        <w:rPr/>
      </w:pPr>
      <w:r>
        <w:rPr>
          <w:rFonts w:eastAsia="'宋体"/>
          <w:lang w:eastAsia="zh-CN"/>
        </w:rPr>
        <w:t>(d)</w:t>
        <w:tab/>
      </w:r>
      <w:r>
        <w:rPr>
          <w:b/>
          <w:i/>
        </w:rPr>
        <w:t>To the extent that ECI could not early terminate the Master Agreement/GTCs (and hence the underlying Transactions) on the basis of an Insolvency Proceeding or similar event occurring to the Local Counterparty, if at the time of the Insolvency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BodyText3"/>
        <w:rPr/>
      </w:pPr>
      <w:r>
        <w:rPr/>
        <w:t>Not applicable.  ECI can early terminate the Master Agreement/GTCs on the basis of an Insolvency Proceeding applying to the Local Counterparty.</w:t>
      </w:r>
    </w:p>
    <w:p>
      <w:pPr>
        <w:pStyle w:val="BodyText2"/>
        <w:ind w:hanging="743" w:start="2160" w:end="0"/>
        <w:rPr/>
      </w:pPr>
      <w:r>
        <w:rPr>
          <w:rFonts w:eastAsia="'宋体"/>
          <w:lang w:eastAsia="zh-CN"/>
        </w:rPr>
        <w:t>(e)</w:t>
        <w:tab/>
      </w:r>
      <w:r>
        <w:rPr>
          <w:b/>
          <w:i/>
        </w:rPr>
        <w:t>On the assumption that the Local Counterparty entering into Transactions with ECI was either incorporated in Hong Kong but had a branch or other form of presence outside of Hong Kong in another jurisdiction or was incorporated outside of Hong Kong but had a branch or other form of presence in Hong Kong and the Local Counterparty became subject to an Insolvency Proceeding, then, in either case, and in the event that an insolvency official was appointed both to the Local Counterparty in Hong Kong and to its presence in the jurisdiction outside of Hong Kong:</w:t>
      </w:r>
    </w:p>
    <w:p>
      <w:pPr>
        <w:pStyle w:val="BodyText3"/>
        <w:keepNext w:val="true"/>
        <w:ind w:hanging="720" w:start="2880" w:end="0"/>
        <w:rPr/>
      </w:pPr>
      <w:r>
        <w:rPr>
          <w:rFonts w:eastAsia="'宋体"/>
          <w:lang w:eastAsia="zh-CN"/>
        </w:rPr>
        <w:t>(e)(i)</w:t>
        <w:tab/>
      </w:r>
      <w:r>
        <w:rPr>
          <w:b/>
          <w:i/>
        </w:rPr>
        <w:t>Would your answers to any of Section 1E(c) to (d), inclusive, above change in any manner?</w:t>
      </w:r>
    </w:p>
    <w:p>
      <w:pPr>
        <w:pStyle w:val="BodyText4"/>
        <w:keepNext w:val="true"/>
        <w:rPr/>
      </w:pPr>
      <w:r>
        <w:rPr/>
        <w:t>In relation to a Local Counterparty incorporated in Hong Kong with a branch or other form of presence in another jurisdiction, there are no differences to our answers in paragraphs (c) to (d) above, but other systems of law may be relevant as described in paragraph (e)(iii) below.</w:t>
      </w:r>
    </w:p>
    <w:p>
      <w:pPr>
        <w:pStyle w:val="BodyText4"/>
        <w:rPr/>
      </w:pPr>
      <w:r>
        <w:rPr/>
        <w:t>In relation to a Local Counterparty incorporated outside Hong Kong but with a branch or other form of presence in Hong Kong, our answers in paragraphs (c) to (d) above would apply, but other systems of law may be relevant as described in paragraph (e)(iii) below.</w:t>
      </w:r>
    </w:p>
    <w:p>
      <w:pPr>
        <w:pStyle w:val="BodyText3"/>
        <w:ind w:hanging="720" w:start="2880" w:end="0"/>
        <w:rPr/>
      </w:pPr>
      <w:r>
        <w:rPr>
          <w:rFonts w:eastAsia="'宋体"/>
          <w:lang w:eastAsia="zh-CN"/>
        </w:rPr>
        <w:t>(e)(ii)</w:t>
        <w:tab/>
      </w:r>
      <w:r>
        <w:rPr>
          <w:b/>
          <w:i/>
        </w:rPr>
        <w:t>Does Hong Kong have any bankruptcy treaties with any other countries and what is the effect of such treaties?</w:t>
      </w:r>
    </w:p>
    <w:p>
      <w:pPr>
        <w:pStyle w:val="BodyText4"/>
        <w:rPr/>
      </w:pPr>
      <w:r>
        <w:rPr/>
        <w:t>There are no bankruptcy or insolvency treaties entered into by, and in force in, Hong Kong which would affect our responses to Section 1E; however, please see paragraph (e)(iii) below.</w:t>
      </w:r>
    </w:p>
    <w:p>
      <w:pPr>
        <w:pStyle w:val="BodyText3"/>
        <w:ind w:hanging="720" w:start="2880" w:end="0"/>
        <w:rPr/>
      </w:pPr>
      <w:r>
        <w:rPr>
          <w:rFonts w:eastAsia="'宋体"/>
          <w:lang w:eastAsia="zh-CN"/>
        </w:rPr>
        <w:t>(e)(iii)</w:t>
        <w:tab/>
      </w:r>
      <w:r>
        <w:rPr>
          <w:b/>
          <w:i/>
        </w:rPr>
        <w:t>Would the insolvency of the Local Counterparty in Hong Kong proceed without deference to, or being impacted in any manner by, any insolvency proceedings in any jurisdiction outside of Hong Kong where the Local Counterparty also had a presence?</w:t>
      </w:r>
      <w:bookmarkStart w:id="19" w:name="_Ref467038388"/>
    </w:p>
    <w:p>
      <w:pPr>
        <w:pStyle w:val="BodyText4"/>
        <w:rPr/>
      </w:pPr>
      <w:r>
        <w:rPr/>
        <w:t>We do not consider that the effectiveness under Hong Kong law of termination and liquidation of Transactions under section 6 would be jeopardised by insolvency proceedings in other jurisdictions, including those where netting may not be effective (e.g. where an insolvency official in those jurisdictions may be entitled to "cherry-pick" obligations).  Furthermore:</w:t>
      </w:r>
      <w:bookmarkEnd w:id="19"/>
    </w:p>
    <w:p>
      <w:pPr>
        <w:pStyle w:val="BodyText4"/>
        <w:numPr>
          <w:ilvl w:val="0"/>
          <w:numId w:val="39"/>
        </w:numPr>
        <w:tabs>
          <w:tab w:val="clear" w:pos="720"/>
          <w:tab w:val="left" w:pos="3600" w:leader="none"/>
        </w:tabs>
        <w:ind w:hanging="720" w:start="3600" w:end="0"/>
        <w:rPr/>
      </w:pPr>
      <w:r>
        <w:rPr/>
        <w:t xml:space="preserve">where the Defaulting Party is incorporated and registered in Hong Kong and has branches or other presence in a number of other jurisdictions, there can be separate Insolvency Proceedings in Hong Kong with respect to the Defaulting Party whether or not the relevant authorities in any other jurisdiction have initiated proceedings in respect of the Defaulting Party; and </w:t>
      </w:r>
    </w:p>
    <w:p>
      <w:pPr>
        <w:pStyle w:val="BodyText4"/>
        <w:numPr>
          <w:ilvl w:val="0"/>
          <w:numId w:val="39"/>
        </w:numPr>
        <w:tabs>
          <w:tab w:val="clear" w:pos="720"/>
          <w:tab w:val="left" w:pos="3600" w:leader="none"/>
        </w:tabs>
        <w:ind w:hanging="720" w:start="3600" w:end="0"/>
        <w:rPr/>
      </w:pPr>
      <w:r>
        <w:rPr/>
        <w:t>where the Defaulting Party is incorporated or formed under the laws of another jurisdiction (the "</w:t>
      </w:r>
      <w:r>
        <w:rPr>
          <w:b/>
        </w:rPr>
        <w:t>Home Jurisdiction</w:t>
      </w:r>
      <w:r>
        <w:rPr/>
        <w:t>") and the Defaulting Party has branch or other presence in Hong Kong, there can be compulsory winding-up and receivership proceedings in this jurisdiction with respect to the Defaulting Party whether or not the relevant authorities in any other jurisdiction have initiated proceedings in respect of the Defaulting Party.</w:t>
      </w:r>
    </w:p>
    <w:p>
      <w:pPr>
        <w:pStyle w:val="BodyText4"/>
        <w:rPr/>
      </w:pPr>
      <w:r>
        <w:rPr/>
        <w:t>In addition:</w:t>
      </w:r>
    </w:p>
    <w:p>
      <w:pPr>
        <w:pStyle w:val="BodyText4"/>
        <w:numPr>
          <w:ilvl w:val="0"/>
          <w:numId w:val="39"/>
        </w:numPr>
        <w:tabs>
          <w:tab w:val="clear" w:pos="720"/>
          <w:tab w:val="left" w:pos="3600" w:leader="none"/>
        </w:tabs>
        <w:ind w:hanging="720" w:start="3600" w:end="0"/>
        <w:rPr/>
      </w:pPr>
      <w:r>
        <w:rPr/>
        <w:t>a Hong Kong court may, in some circumstances, stay Insolvency Proceedings in this jurisdiction where it is of the opinion that proceedings in another forum would be more convenient or if concurrent proceedings are being brought elsewhere, but will often take into account whether or not this will prejudice creditors situated in this jurisdiction; and</w:t>
      </w:r>
    </w:p>
    <w:p>
      <w:pPr>
        <w:pStyle w:val="BodyText4"/>
        <w:numPr>
          <w:ilvl w:val="0"/>
          <w:numId w:val="39"/>
        </w:numPr>
        <w:tabs>
          <w:tab w:val="clear" w:pos="720"/>
          <w:tab w:val="left" w:pos="3600" w:leader="none"/>
        </w:tabs>
        <w:ind w:hanging="720" w:start="3600" w:end="0"/>
        <w:rPr/>
      </w:pPr>
      <w:r>
        <w:rPr/>
        <w:t xml:space="preserve">the courts in Hong Kong have various discretions to take account of and give assistance to concurrent insolvency proceedings commenced under the laws of another jurisdiction which may, for example, include dealing with only those assets located in this jurisdiction to assist those other insolvency proceedings. </w:t>
      </w:r>
    </w:p>
    <w:p>
      <w:pPr>
        <w:pStyle w:val="Heading3"/>
        <w:ind w:hanging="0" w:start="0"/>
        <w:rPr>
          <w:b/>
          <w:i/>
          <w:i/>
        </w:rPr>
      </w:pPr>
      <w:r>
        <w:rPr>
          <w:b/>
          <w:i/>
        </w:rPr>
        <w:t>Other relevant insolvency issues</w:t>
      </w:r>
    </w:p>
    <w:p>
      <w:pPr>
        <w:pStyle w:val="BodyText2"/>
        <w:rPr/>
      </w:pPr>
      <w:r>
        <w:rPr/>
        <w:t>In the winding-up of a party under Hong Kong law, the aggregation of amounts representing terminated obligations may be implemented under section 35 of the Bankruptcy Ordinance ("</w:t>
      </w:r>
      <w:r>
        <w:rPr>
          <w:b/>
        </w:rPr>
        <w:t>section 35</w:t>
      </w:r>
      <w:r>
        <w:rPr/>
        <w:t>") rather than under the specific provisions of the Master Agreement/GTCs. A section 35 set-off would, in our view, result in a net amount payable between the parties in respect of such amounts, subject to the other qualifications set out in our answers to the questions in Section 1E.</w:t>
      </w:r>
    </w:p>
    <w:p>
      <w:pPr>
        <w:pStyle w:val="BodyText2"/>
        <w:rPr/>
      </w:pPr>
      <w:r>
        <w:rPr/>
        <w:t xml:space="preserve">In a winding-up by the Hong Kong courts, any dispositions of a party's property (which is interpreted widely and includes transfers of property and undertaking obligations) made after the commencement of the compulsory winding-up of that party are void under section 182 of the Companies Ordinance unless the court otherwise orders.  Accordingly, we express no opinion as to whether or not any obligations arising after the commencement of the winding-up could validly be included in a termination and liquidation pursuant to section 6 of the Master Agreement/GTCs or a set-off pursuant to section 35. </w:t>
      </w:r>
    </w:p>
    <w:p>
      <w:pPr>
        <w:pStyle w:val="BodyText2"/>
        <w:rPr/>
      </w:pPr>
      <w:r>
        <w:rPr/>
        <w:t>The provisions in section 35 relating to the set-off of mutual credits and debts do not apply to sums which became due under Transactions which were entered into at a time when a party has notice that a winding-up petition has been presented in relation to the other party, but this would not affect the effectiveness of a termination and liquidation pursuant to section 6 of the Master Agreement/GTCs or a set-off pursuant to section 35 in respect of Transactions entered into before the first party has such notice.</w:t>
      </w:r>
    </w:p>
    <w:p>
      <w:pPr>
        <w:pStyle w:val="Heading2"/>
        <w:ind w:hanging="0" w:start="0"/>
        <w:rPr/>
      </w:pPr>
      <w:bookmarkStart w:id="20" w:name="__RefHeading___Toc470323629"/>
      <w:bookmarkEnd w:id="20"/>
      <w:r>
        <w:rPr/>
        <w:t>Section 1F: Liquidated Damages provisions</w:t>
      </w:r>
    </w:p>
    <w:p>
      <w:pPr>
        <w:pStyle w:val="BodyText"/>
        <w:ind w:hanging="794" w:start="1418" w:end="0"/>
        <w:rPr/>
      </w:pPr>
      <w:r>
        <w:rPr>
          <w:rFonts w:eastAsia="'宋体"/>
          <w:lang w:eastAsia="zh-CN"/>
        </w:rPr>
        <w:t>(a)</w:t>
        <w:tab/>
      </w:r>
      <w:r>
        <w:rPr>
          <w:b/>
          <w:i/>
        </w:rPr>
        <w:t>If suit were brought in Hong Kong by ECI to enforce the Liquidated Damages provisions of Section 3.5 of the Master Agreement/GTCs against the Local Counterparty, and the court in Hong Kong applied the laws of Hong Kong would those Liquidated Damages provisions be enforceable in all respects against the local counterparty? Or would the court view such provisions as being unenforceable for being, for example, a penalty?</w:t>
      </w:r>
    </w:p>
    <w:p>
      <w:pPr>
        <w:pStyle w:val="BodyText2"/>
        <w:rPr/>
      </w:pPr>
      <w:r>
        <w:rPr/>
        <w:t>Generally speaking liquidated damages provisions are enforceable under Hong Kong law. However, please see our answer in Section 1C(e)(ii) above in relation to liquidated damages as a cap or limit on a party’s liability under the contract.</w:t>
      </w:r>
    </w:p>
    <w:p>
      <w:pPr>
        <w:pStyle w:val="BodyText2"/>
        <w:rPr/>
      </w:pPr>
      <w:r>
        <w:rPr/>
        <w:t xml:space="preserve">With regard to the question as to whether the quantum of liquidated damages would be viewed as a penalty, the principles of common law would apply and we refer you in this regard to Section 4.7 of our English law survey. </w:t>
      </w:r>
    </w:p>
    <w:p>
      <w:pPr>
        <w:pStyle w:val="Heading2"/>
        <w:ind w:hanging="0" w:start="0"/>
        <w:rPr/>
      </w:pPr>
      <w:bookmarkStart w:id="21" w:name="__RefHeading___Toc470323630"/>
      <w:bookmarkEnd w:id="21"/>
      <w:r>
        <w:rPr/>
        <w:t>Section 1G: Foreign Exchange Controls and Usury</w:t>
      </w:r>
    </w:p>
    <w:p>
      <w:pPr>
        <w:pStyle w:val="BodyText"/>
        <w:ind w:hanging="794" w:start="1418" w:end="0"/>
        <w:rPr/>
      </w:pPr>
      <w:r>
        <w:rPr>
          <w:rFonts w:eastAsia="'宋体"/>
          <w:lang w:eastAsia="zh-CN"/>
        </w:rPr>
        <w:t>(a)</w:t>
        <w:tab/>
      </w:r>
      <w:r>
        <w:rPr>
          <w:b/>
          <w:i/>
        </w:rPr>
        <w:t>Transactions may require that payments be made in non-local currencies (e.g. United States Dollars) and delivered into Hong Kong or a foreign jurisdiction.  To what extent are central bank approval or other foreign exchange controls in Hong Kong applicable to payments made by either ECI or Local Counterparty to the other in respect of the Transactions?</w:t>
      </w:r>
    </w:p>
    <w:p>
      <w:pPr>
        <w:pStyle w:val="BodyText2"/>
        <w:rPr/>
      </w:pPr>
      <w:r>
        <w:rPr/>
        <w:t>There are no foreign exchange controls, restrictions or prohibitions in Hong Kong.</w:t>
      </w:r>
    </w:p>
    <w:p>
      <w:pPr>
        <w:pStyle w:val="BodyText"/>
        <w:ind w:hanging="794" w:start="1418" w:end="0"/>
        <w:rPr/>
      </w:pPr>
      <w:r>
        <w:rPr>
          <w:rFonts w:eastAsia="'宋体"/>
          <w:lang w:eastAsia="zh-CN"/>
        </w:rPr>
        <w:t>(b)</w:t>
      </w:r>
      <w:r>
        <w:rPr/>
        <w:t>(i)</w:t>
        <w:tab/>
      </w:r>
      <w:r>
        <w:rPr>
          <w:b/>
          <w:i/>
        </w:rPr>
        <w:t>Are there any usury laws in Hong Kong which may apply to the Transactions and, to the extent that usury laws apply, what are the rate restrictions?</w:t>
      </w:r>
    </w:p>
    <w:p>
      <w:pPr>
        <w:pStyle w:val="BodyText2"/>
        <w:rPr/>
      </w:pPr>
      <w:r>
        <w:rPr/>
        <w:t>On the assumption that neither ECI nor the Local Counterparty will:</w:t>
      </w:r>
    </w:p>
    <w:p>
      <w:pPr>
        <w:pStyle w:val="BodyText2"/>
        <w:numPr>
          <w:ilvl w:val="0"/>
          <w:numId w:val="3"/>
        </w:numPr>
        <w:tabs>
          <w:tab w:val="clear" w:pos="720"/>
          <w:tab w:val="left" w:pos="2137" w:leader="none"/>
        </w:tabs>
        <w:ind w:hanging="720" w:start="2137" w:end="0"/>
        <w:rPr/>
      </w:pPr>
      <w:r>
        <w:rPr/>
        <w:t xml:space="preserve">carry on a business of making loans; or </w:t>
      </w:r>
    </w:p>
    <w:p>
      <w:pPr>
        <w:pStyle w:val="BodyText2"/>
        <w:numPr>
          <w:ilvl w:val="0"/>
          <w:numId w:val="3"/>
        </w:numPr>
        <w:tabs>
          <w:tab w:val="clear" w:pos="720"/>
          <w:tab w:val="left" w:pos="2137" w:leader="none"/>
        </w:tabs>
        <w:ind w:hanging="720" w:start="2137" w:end="0"/>
        <w:rPr/>
      </w:pPr>
      <w:r>
        <w:rPr/>
        <w:t>make loans at an effective rate of interest which exceeds 60% per annum,</w:t>
      </w:r>
    </w:p>
    <w:p>
      <w:pPr>
        <w:pStyle w:val="BodyText2"/>
        <w:rPr/>
      </w:pPr>
      <w:r>
        <w:rPr/>
        <w:t>in order to finance the entry into Transactions, there are no applicable usury laws in Hong Kong in relation to the Transactions.</w:t>
      </w:r>
    </w:p>
    <w:p>
      <w:pPr>
        <w:pStyle w:val="BodyText"/>
        <w:rPr/>
      </w:pPr>
      <w:r>
        <w:rPr>
          <w:rFonts w:eastAsia="'宋体"/>
          <w:lang w:eastAsia="zh-CN"/>
        </w:rPr>
        <w:t>(b)</w:t>
      </w:r>
      <w:r>
        <w:rPr/>
        <w:t>(ii)</w:t>
        <w:tab/>
      </w:r>
      <w:r>
        <w:rPr>
          <w:b/>
          <w:i/>
        </w:rPr>
        <w:t>Are there any available exemptions?</w:t>
      </w:r>
    </w:p>
    <w:p>
      <w:pPr>
        <w:pStyle w:val="BodyText2"/>
        <w:rPr/>
      </w:pPr>
      <w:r>
        <w:rPr/>
        <w:tab/>
        <w:t>Not applicable.</w:t>
      </w:r>
    </w:p>
    <w:p>
      <w:pPr>
        <w:pStyle w:val="BodyText"/>
        <w:ind w:hanging="794" w:start="1418" w:end="0"/>
        <w:rPr/>
      </w:pPr>
      <w:r>
        <w:rPr>
          <w:rFonts w:eastAsia="'宋体"/>
          <w:lang w:eastAsia="zh-CN"/>
        </w:rPr>
        <w:t>(b)</w:t>
      </w:r>
      <w:r>
        <w:rPr/>
        <w:t>(iii)</w:t>
        <w:tab/>
      </w:r>
      <w:r>
        <w:rPr>
          <w:b/>
          <w:i/>
        </w:rPr>
        <w:t>If no exemptions exist, what are the consequences as to enforceability and penalties?</w:t>
      </w:r>
    </w:p>
    <w:p>
      <w:pPr>
        <w:pStyle w:val="BodyText2"/>
        <w:rPr/>
      </w:pPr>
      <w:r>
        <w:rPr/>
        <w:t>Not applicable.</w:t>
      </w:r>
    </w:p>
    <w:p>
      <w:pPr>
        <w:pStyle w:val="Heading2"/>
        <w:ind w:hanging="0" w:start="0"/>
        <w:rPr/>
      </w:pPr>
      <w:bookmarkStart w:id="22" w:name="__RefHeading___Toc470323631"/>
      <w:bookmarkEnd w:id="22"/>
      <w:r>
        <w:rPr/>
        <w:t>Section 1H: Taxation</w:t>
      </w:r>
    </w:p>
    <w:p>
      <w:pPr>
        <w:pStyle w:val="ListAlpha2"/>
        <w:keepNext w:val="true"/>
        <w:numPr>
          <w:ilvl w:val="1"/>
          <w:numId w:val="54"/>
        </w:numPr>
        <w:ind w:hanging="0" w:start="0"/>
        <w:rPr>
          <w:b/>
          <w:i/>
          <w:i/>
        </w:rPr>
      </w:pPr>
      <w:r>
        <w:rPr>
          <w:b/>
          <w:i/>
        </w:rPr>
        <w:t>In respect of a Transaction, are there any taxes, duties or levies in Hong Kong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Hong Kong or (b) is incorporated in, or has a branch or establishment in Hong Kong.</w:t>
      </w:r>
    </w:p>
    <w:p>
      <w:pPr>
        <w:pStyle w:val="BodyText2"/>
        <w:rPr/>
      </w:pPr>
      <w:r>
        <w:rPr/>
        <w:t>Hong Kong does not impose any turnover tax or sales tax; the only direct tax that will be relevant to a Transaction is profits tax.</w:t>
      </w:r>
    </w:p>
    <w:p>
      <w:pPr>
        <w:pStyle w:val="BodyText2"/>
        <w:rPr/>
      </w:pPr>
      <w:r>
        <w:rPr/>
        <w:t>Hong Kong adopts a territorial basis for taxing profits.  Essentially the profits must be derived from a trade, profession or "business" carried on in Hong Kong and profits tax can only be charged on profits sourced from Hong Kong.  In simple terms this means that a person who carries on a business in Hong Kong but derives profits from outside Hong Kong is not required to pay tax in Hong Kong on those profits.</w:t>
      </w:r>
    </w:p>
    <w:p>
      <w:pPr>
        <w:pStyle w:val="BodyText2"/>
        <w:rPr/>
      </w:pPr>
      <w:r>
        <w:rPr/>
        <w:t xml:space="preserve">Whether a business is carried on in Hong Kong is a matter of fact (please see our answer to Section 1C(b)(iv) above).  However the Inland Revenue and the Courts in Hong Kong may adopt a different approach when considering the "carrying on business" issue for taxation purposes and not necessarily follow the approach adopted by other regulations.  Technically the presence of an establishment in Hong Kong whether in form of a company, branch or other set-up should not be relevant in deciding whether a person is carrying on a business in Hong Kong since a person may have an establishment in Hong Kong without carrying on a business; a person may carry on a business in Hong Kong without an establishment (for example through a general agent).  </w:t>
      </w:r>
    </w:p>
    <w:p>
      <w:pPr>
        <w:pStyle w:val="BodyText2"/>
        <w:rPr/>
      </w:pPr>
      <w:r>
        <w:rPr/>
        <w:t xml:space="preserve">In practice, the establishment of a Company or a branch (but not a representative office which does not carry on any business) in Hong Kong will lead to the inference that a business is carried on in Hong Kong through that entity unless the Inland Revenue can be persuaded otherwise.  (Please see our answer to Section 1C(b)(iv) above). </w:t>
      </w:r>
    </w:p>
    <w:p>
      <w:pPr>
        <w:pStyle w:val="BodyText2"/>
        <w:rPr/>
      </w:pPr>
      <w:r>
        <w:rPr/>
        <w:t>The law does not give guidance on how the source of profit to be determined.  Although the Hong Kong Courts have over the years considered the subject of the source of profits, not all decisions are consistent.  However some general principles have emerged from these court decisions:-</w:t>
      </w:r>
    </w:p>
    <w:p>
      <w:pPr>
        <w:pStyle w:val="BodyText2"/>
        <w:numPr>
          <w:ilvl w:val="0"/>
          <w:numId w:val="26"/>
        </w:numPr>
        <w:ind w:hanging="720" w:start="2137" w:end="0"/>
        <w:rPr>
          <w:b/>
          <w:i/>
          <w:i/>
        </w:rPr>
      </w:pPr>
      <w:r>
        <w:rPr>
          <w:b/>
          <w:i/>
        </w:rPr>
        <w:t xml:space="preserve">Question of fact:  </w:t>
      </w:r>
      <w:r>
        <w:rPr/>
        <w:t>The question of locality of profits is a question of fact.  No universal rule can apply to every scenario. Whether profits arise in or are derived from Hong Kong depends on the nature of the profits and of the transactions which give rise to such profits.</w:t>
      </w:r>
    </w:p>
    <w:p>
      <w:pPr>
        <w:pStyle w:val="BodyText2"/>
        <w:numPr>
          <w:ilvl w:val="0"/>
          <w:numId w:val="26"/>
        </w:numPr>
        <w:ind w:hanging="720" w:start="2137" w:end="0"/>
        <w:rPr>
          <w:b/>
          <w:i/>
          <w:i/>
        </w:rPr>
      </w:pPr>
      <w:r>
        <w:rPr>
          <w:b/>
          <w:i/>
        </w:rPr>
        <w:t xml:space="preserve">The "operations" test:  </w:t>
      </w:r>
      <w:r>
        <w:rPr/>
        <w:t>The broad guiding principle in determining the locality of profits is that one looks to see what the taxpayer has done to earn the profits in question and where he has done it.  In other words, the proper approach is to identify the operations which produced the relevant profits and ascertain where those operations took place.</w:t>
      </w:r>
    </w:p>
    <w:p>
      <w:pPr>
        <w:pStyle w:val="BodyText2"/>
        <w:numPr>
          <w:ilvl w:val="0"/>
          <w:numId w:val="26"/>
        </w:numPr>
        <w:ind w:hanging="720" w:start="2137" w:end="0"/>
        <w:rPr/>
      </w:pPr>
      <w:r>
        <w:rPr>
          <w:b/>
          <w:i/>
        </w:rPr>
        <w:t xml:space="preserve">Gross profits from transactions:  </w:t>
      </w:r>
      <w:r>
        <w:rPr/>
        <w:t>The distinction between Hong Kong profits and offshore profits is made by reference to the gross profits arising from individual transactions.  Only those business activities which directly produce gross profits are taken into consideration in determining the source of profits.  Activities such as general administration are normally not relevant.</w:t>
      </w:r>
    </w:p>
    <w:p>
      <w:pPr>
        <w:pStyle w:val="BodyText2"/>
        <w:rPr/>
      </w:pPr>
      <w:r>
        <w:rPr/>
        <w:t>By drawing analogy to the UK VAT legislation (which treats sale of bandwidth as a provision of services), the Inland Revenue may treat the Transactions as provision of services.   Based on past experience, it is not uncommon that the Inland Revenue may borrow concepts from the UK when formulating tax policies and drafting new tax legislation or practice notes for a new type of product or transaction.</w:t>
      </w:r>
    </w:p>
    <w:p>
      <w:pPr>
        <w:pStyle w:val="BodyText2"/>
        <w:rPr/>
      </w:pPr>
      <w:r>
        <w:rPr/>
        <w:t xml:space="preserve">In accordance with a practice note issued by the Inland Revenue service fee income is sourced where the services which give rise to the fee are performed.  </w:t>
      </w:r>
    </w:p>
    <w:p>
      <w:pPr>
        <w:pStyle w:val="BodyText2"/>
        <w:rPr/>
      </w:pPr>
      <w:r>
        <w:rPr/>
        <w:t>A totality of factors must be looked into in order to determine where services are performed including what a services provider has done in order to provide the services, where those operations take place and the locality of the recipient of the services (this last factor should not be a determining factor).</w:t>
      </w:r>
    </w:p>
    <w:p>
      <w:pPr>
        <w:pStyle w:val="BodyText2"/>
        <w:rPr/>
      </w:pPr>
      <w:r>
        <w:rPr/>
        <w:t>We have summarised below our view regarding the Hong Kong tax liabilities under various scenarios based on our interpretation of the tax law and practices adopted by the Inland Revenue.  Since the "source of profits" issue arguably is the most controversial point in Hong Kong tax law, we recommend ECI to seek a formal advance ruling from the Inland Revenue on the profits tax treatment of a Transaction before it is implemented.  A ruling normally takes six weeks to process. A fee of HK$10,000 is payable.</w:t>
      </w:r>
    </w:p>
    <w:p>
      <w:pPr>
        <w:pStyle w:val="BodyText2"/>
        <w:keepNext w:val="true"/>
        <w:rPr/>
      </w:pPr>
      <w:r>
        <w:rPr/>
        <w:t>Likely tax liabilities are as follows:</w:t>
      </w:r>
    </w:p>
    <w:p>
      <w:pPr>
        <w:pStyle w:val="bullet"/>
        <w:keepNext w:val="true"/>
        <w:numPr>
          <w:ilvl w:val="0"/>
          <w:numId w:val="50"/>
        </w:numPr>
        <w:tabs>
          <w:tab w:val="clear" w:pos="720"/>
          <w:tab w:val="left" w:pos="2137" w:leader="none"/>
        </w:tabs>
        <w:ind w:hanging="720" w:start="2137" w:end="0"/>
        <w:rPr/>
      </w:pPr>
      <w:r>
        <w:rPr/>
        <w:t>Where the Buyer, Seller and ECI are carrying on a business outside Hong Kong, there should not be any Hong Kong tax consequences on the Transaction.</w:t>
      </w:r>
    </w:p>
    <w:p>
      <w:pPr>
        <w:pStyle w:val="bullet"/>
        <w:numPr>
          <w:ilvl w:val="0"/>
          <w:numId w:val="50"/>
        </w:numPr>
        <w:tabs>
          <w:tab w:val="clear" w:pos="720"/>
          <w:tab w:val="left" w:pos="2137" w:leader="none"/>
        </w:tabs>
        <w:ind w:hanging="720" w:start="2137" w:end="0"/>
        <w:rPr/>
      </w:pPr>
      <w:r>
        <w:rPr/>
        <w:t>Where the Buyer, Seller and ECI are carrying on a business in Hong Kong, the profits derived from the Transaction are more likely to be subject to Hong Kong tax.</w:t>
      </w:r>
    </w:p>
    <w:p>
      <w:pPr>
        <w:pStyle w:val="bullet"/>
        <w:numPr>
          <w:ilvl w:val="0"/>
          <w:numId w:val="50"/>
        </w:numPr>
        <w:tabs>
          <w:tab w:val="clear" w:pos="720"/>
          <w:tab w:val="left" w:pos="2137" w:leader="none"/>
        </w:tabs>
        <w:ind w:hanging="720" w:start="2137" w:end="0"/>
        <w:rPr/>
      </w:pPr>
      <w:r>
        <w:rPr/>
        <w:t>Where the Seller is not carrying on a business in Hong Kong and ECI is, there should not be any Hong Kong profits tax consequences on the leg of the Transaction involving sale of Bandwidth from the Seller to ECI.</w:t>
      </w:r>
    </w:p>
    <w:p>
      <w:pPr>
        <w:pStyle w:val="bullet"/>
        <w:numPr>
          <w:ilvl w:val="0"/>
          <w:numId w:val="50"/>
        </w:numPr>
        <w:tabs>
          <w:tab w:val="clear" w:pos="720"/>
          <w:tab w:val="left" w:pos="2137" w:leader="none"/>
        </w:tabs>
        <w:ind w:hanging="720" w:start="2137" w:end="0"/>
        <w:rPr/>
      </w:pPr>
      <w:r>
        <w:rPr/>
        <w:t xml:space="preserve">Where the Seller is carrying on a business in Hong Kong and ECI is not, there is likely to be profits tax consequences on the leg of the Transaction involving sale of Bandwidth from the Seller to ECI unless the Seller can keep the negotiation, signing and implementation of the sale and purchase contract offshore.  </w:t>
      </w:r>
    </w:p>
    <w:p>
      <w:pPr>
        <w:pStyle w:val="bullet"/>
        <w:numPr>
          <w:ilvl w:val="0"/>
          <w:numId w:val="50"/>
        </w:numPr>
        <w:tabs>
          <w:tab w:val="clear" w:pos="720"/>
          <w:tab w:val="left" w:pos="2137" w:leader="none"/>
        </w:tabs>
        <w:ind w:hanging="720" w:start="2137" w:end="0"/>
        <w:rPr/>
      </w:pPr>
      <w:r>
        <w:rPr/>
        <w:t xml:space="preserve">Where the Buyer is not carrying on a business in Hong Kong and ECI is, the profits derived from the leg of the Transactions involving sale of Bandwidth from ECI by Buyer is likely to be subject to profits tax in Hong Kong unless ECI can keep the negotiation, signing and implementation of the sale and purchase agreement offshore. </w:t>
      </w:r>
    </w:p>
    <w:p>
      <w:pPr>
        <w:pStyle w:val="bullet"/>
        <w:numPr>
          <w:ilvl w:val="0"/>
          <w:numId w:val="50"/>
        </w:numPr>
        <w:tabs>
          <w:tab w:val="clear" w:pos="720"/>
          <w:tab w:val="left" w:pos="2137" w:leader="none"/>
        </w:tabs>
        <w:ind w:hanging="720" w:start="2137" w:end="0"/>
        <w:rPr/>
      </w:pPr>
      <w:r>
        <w:rPr/>
        <w:t xml:space="preserve">Where the Buyer is carrying on a business in Hong Kong but ECI is not, the profits derived on this leg of the Transaction should not be subject to profits tax in Hong Kong.  </w:t>
      </w:r>
    </w:p>
    <w:p>
      <w:pPr>
        <w:pStyle w:val="BodyText2"/>
        <w:rPr/>
      </w:pPr>
      <w:r>
        <w:rPr/>
        <w:t xml:space="preserve">Care however must be exercised by the ECI employees visiting Hong Kong.  They should not be given general authority to enter into contracts on behalf of ECI nor visit Hong Kong more than 60 days in a tax year or else ECI  may be regarded as carrying on a business in Hong Kong even though it has no other form of presence in Hong Kong. </w:t>
      </w:r>
    </w:p>
    <w:p>
      <w:pPr>
        <w:pStyle w:val="Normal"/>
        <w:ind w:start="1417" w:end="0"/>
        <w:rPr/>
      </w:pPr>
      <w:r>
        <w:rPr/>
        <w:t xml:space="preserve">The </w:t>
      </w:r>
      <w:r>
        <w:rPr>
          <w:rFonts w:eastAsia="MS Song"/>
          <w:lang w:eastAsia="zh-CN"/>
        </w:rPr>
        <w:t xml:space="preserve">technical department of </w:t>
      </w:r>
      <w:r>
        <w:rPr/>
        <w:t xml:space="preserve">Inland Revenue has also informally expressed a view </w:t>
      </w:r>
      <w:r>
        <w:rPr>
          <w:rFonts w:eastAsia="MS Song"/>
          <w:lang w:eastAsia="zh-CN"/>
        </w:rPr>
        <w:t xml:space="preserve">in a recent telephone conversation </w:t>
      </w:r>
      <w:r>
        <w:rPr/>
        <w:t xml:space="preserve">that the sale of bandwidth can be treated as rental income from the Segment.  If such approach is adopted formally, and in accordance with practice note </w:t>
      </w:r>
      <w:r>
        <w:rPr>
          <w:rFonts w:eastAsia="MS Song"/>
          <w:lang w:eastAsia="zh-CN"/>
        </w:rPr>
        <w:t>No.21 issued by the Inland Revenue</w:t>
      </w:r>
      <w:r>
        <w:rPr/>
        <w:t xml:space="preserve">, the source of profits will be determined from where the rental property is located.  </w:t>
      </w:r>
      <w:r>
        <w:rPr>
          <w:rFonts w:eastAsia="MS Song"/>
          <w:lang w:eastAsia="zh-CN"/>
        </w:rPr>
        <w:t>I</w:t>
      </w:r>
      <w:r>
        <w:rPr>
          <w:rFonts w:eastAsia="MS Song"/>
          <w:lang w:eastAsia="zh-CN"/>
        </w:rPr>
        <w:t xml:space="preserve">f </w:t>
      </w:r>
      <w:r>
        <w:rPr/>
        <w:t xml:space="preserve">the Segment is located offshore Hong Kong, all income deriving from the Transactions should be sourced outside Hong Kong and not subject to profits tax. </w:t>
      </w:r>
      <w:r>
        <w:rPr>
          <w:rFonts w:eastAsia="MS Song"/>
          <w:lang w:eastAsia="zh-CN"/>
        </w:rPr>
        <w:t xml:space="preserve"> </w:t>
      </w:r>
      <w:r>
        <w:rPr/>
        <w:t>If part of the Segment crosses t</w:t>
      </w:r>
      <w:r>
        <w:rPr>
          <w:rFonts w:eastAsia="MS Song"/>
          <w:lang w:eastAsia="zh-CN"/>
        </w:rPr>
        <w:t>he Hong Kong territory, the income from the Transaction is likely to be subject to profits tax in Hong Kong.</w:t>
      </w:r>
    </w:p>
    <w:p>
      <w:pPr>
        <w:pStyle w:val="Heading2"/>
        <w:keepNext w:val="true"/>
        <w:ind w:hanging="0" w:start="0"/>
        <w:rPr/>
      </w:pPr>
      <w:bookmarkStart w:id="23" w:name="__RefHeading___Toc470323632"/>
      <w:bookmarkEnd w:id="23"/>
      <w:r>
        <w:rPr/>
        <w:t>Section 1I: Miscellaneous</w:t>
      </w:r>
    </w:p>
    <w:p>
      <w:pPr>
        <w:pStyle w:val="BodyText"/>
        <w:keepNext w:val="true"/>
        <w:ind w:hanging="794" w:start="1418" w:end="0"/>
        <w:rPr/>
      </w:pPr>
      <w:r>
        <w:rPr>
          <w:rFonts w:eastAsia="'宋体"/>
          <w:lang w:eastAsia="zh-CN"/>
        </w:rPr>
        <w:t>(a)</w:t>
        <w:tab/>
      </w:r>
      <w:r>
        <w:rPr>
          <w:b/>
          <w:i/>
        </w:rPr>
        <w:t>Are there any restrictions under local law in Hong Kong that would apply to ECI’s marketing or solicitation efforts with respect to these Transactions?</w:t>
      </w:r>
    </w:p>
    <w:p>
      <w:pPr>
        <w:pStyle w:val="BodyText2"/>
        <w:rPr/>
      </w:pPr>
      <w:r>
        <w:rPr/>
        <w:t>Advertising practices are subject to voluntary compliance codes of practice such as those issued by the Broadcasting Authority of Hong Kong.  In addition, the Control of Obscenities and Indecent Articles Ordinance would apply to the extent that any content in any advertisement (whether placed on the website or published elsewhere) were deemed to be obscene or indecent under such legislation.</w:t>
      </w:r>
    </w:p>
    <w:p>
      <w:pPr>
        <w:pStyle w:val="BodyText"/>
        <w:ind w:hanging="794" w:start="1418" w:end="0"/>
        <w:rPr/>
      </w:pPr>
      <w:r>
        <w:rPr>
          <w:rFonts w:eastAsia="'宋体"/>
          <w:lang w:eastAsia="zh-CN"/>
        </w:rPr>
        <w:t>(b)</w:t>
        <w:tab/>
      </w:r>
      <w:r>
        <w:rPr>
          <w:b/>
          <w:i/>
        </w:rPr>
        <w:t>Would any consumer protection laws apply to the Transactions even though ECI will not be dealing with private individuals in Hong Kong?</w:t>
      </w:r>
    </w:p>
    <w:p>
      <w:pPr>
        <w:pStyle w:val="BodyText2"/>
        <w:rPr/>
      </w:pPr>
      <w:r>
        <w:rPr/>
        <w:t>If ECI is not dealing with individuals who are contracting as consumers then the statutory provisions in Hong Kong which protect the rights and interests of consumers will not apply. Please see our answer to Section 1C(a)(ii) above for a definition of "dealing as a consumer" and a discussion of the relevant legislation.</w:t>
      </w:r>
    </w:p>
    <w:p>
      <w:pPr>
        <w:pStyle w:val="BodyText"/>
        <w:ind w:hanging="794" w:start="1418" w:end="0"/>
        <w:rPr/>
      </w:pPr>
      <w:r>
        <w:rPr>
          <w:rFonts w:eastAsia="'宋体"/>
          <w:lang w:eastAsia="zh-CN"/>
        </w:rPr>
        <w:t>(c)</w:t>
        <w:tab/>
      </w:r>
      <w:r>
        <w:rPr>
          <w:b/>
          <w:i/>
        </w:rPr>
        <w:t>Are there any other legal or regulatory issues under the laws or regulations in Hong Kong relating to the Transactions and/or the Master Agreement and/or the GTCs of which ECI should be made aware?</w:t>
      </w:r>
    </w:p>
    <w:p>
      <w:pPr>
        <w:pStyle w:val="BodyText2"/>
        <w:rPr/>
      </w:pPr>
      <w:r>
        <w:rPr/>
        <w:t>Other than set out below, there are no other regulatory issues under the laws of Hong Kong that may apply to the Transactions or the terms of the Master Agreement or GTCs which have not already been discussed or referred to.</w:t>
      </w:r>
    </w:p>
    <w:p>
      <w:pPr>
        <w:pStyle w:val="BodyText2"/>
        <w:rPr>
          <w:b/>
          <w:i/>
          <w:i/>
        </w:rPr>
      </w:pPr>
      <w:r>
        <w:rPr>
          <w:b/>
          <w:i/>
        </w:rPr>
        <w:t>Financial Services Regulatory Regime</w:t>
      </w:r>
    </w:p>
    <w:p>
      <w:pPr>
        <w:pStyle w:val="BodyText2"/>
        <w:rPr/>
      </w:pPr>
      <w:r>
        <w:rPr/>
        <w:t>The Hong Kong financial services regulatory regime is currently under review.   There is a proposal for a Composite Securities and Futures Bill to replace a number of existing regulatory ordinances.  It is expected that the Bill will be tabled before the Legislative Council by the end of this year.   It is possible that the Bill will be drafted in such a way as to bring products such as Bandwidth within the Hong Kong financial services regulatory regime. In June 1999, the Financial Services Bureau issued a paper entitled Legislative Reform for the Securities and Futures Markets.  That paper made reference to the fact that the Bill will include an expanded definition of investment arrangements to include any property.  Unfortunately, the current version of the Bill, presumably containing this expanded definition, has not been published.  As such, it is not possible to advise whether or not trading of Bandwidth falls within the scope of the current draft of the Bill.  However, we should be happy to follow up on this issue once the Bill has been published if that would be helpful.  (Although you should of course bear in mind that the Bill may not be enacted in the form it is initially tabled.)</w:t>
      </w:r>
    </w:p>
    <w:p>
      <w:pPr>
        <w:pStyle w:val="BodyText2"/>
        <w:rPr>
          <w:b/>
          <w:i/>
          <w:i/>
        </w:rPr>
      </w:pPr>
      <w:r>
        <w:rPr>
          <w:b/>
          <w:i/>
        </w:rPr>
        <w:t>Competition Law</w:t>
      </w:r>
    </w:p>
    <w:p>
      <w:pPr>
        <w:pStyle w:val="BodyText2"/>
        <w:rPr/>
      </w:pPr>
      <w:r>
        <w:rPr/>
        <w:t xml:space="preserve">You have also asked us to advise in relation to any applicable competition law in Hong Kong.  </w:t>
      </w:r>
    </w:p>
    <w:p>
      <w:pPr>
        <w:pStyle w:val="BodyText2"/>
        <w:rPr/>
      </w:pPr>
      <w:r>
        <w:rPr/>
        <w:t xml:space="preserve">There is no general competition law in Hong Kong, but OFTA has responsibility for regulating competition within the telecommunications sector.  The Government's competition policy promotes fair trade and competition from the perspective that market forces and minimum Government intervention brings the greatest benefit to Hong Kong because competition and efficiency are enhanced while costs and prices are kept down.  However, appropriate measures are adopted where necessary to rectify any unfair business practices, safeguard competition and protect consumer interests.  </w:t>
      </w:r>
    </w:p>
    <w:p>
      <w:pPr>
        <w:sectPr>
          <w:headerReference w:type="default" r:id="rId8"/>
          <w:headerReference w:type="first" r:id="rId9"/>
          <w:footerReference w:type="default" r:id="rId10"/>
          <w:footerReference w:type="first" r:id="rId11"/>
          <w:footnotePr>
            <w:numFmt w:val="decimal"/>
          </w:footnotePr>
          <w:type w:val="nextPage"/>
          <w:pgSz w:w="11906" w:h="16838"/>
          <w:pgMar w:left="1701" w:right="1701" w:gutter="0" w:header="720" w:top="1440" w:footer="567" w:bottom="1134"/>
          <w:pgNumType w:start="1" w:fmt="decimal"/>
          <w:formProt w:val="false"/>
          <w:textDirection w:val="lrTb"/>
          <w:docGrid w:type="default" w:linePitch="360" w:charSpace="0"/>
        </w:sectPr>
        <w:pStyle w:val="BodyText2"/>
        <w:rPr/>
      </w:pPr>
      <w:r>
        <w:rPr/>
        <w:t>At present, the Telecommunication Ordinance does not contain any specific competition provisions, but certain telecommunication licences contain conditions proscribing certain types of anti-competitive conduct.  As mentioned elsewhere in this Report, the Telecommunication Ordinance is scheduled to be amended during 2000 when the Telecommunication Bill is expected to be enacted.  The Telecommunication Bill sets out specific competition-related provisions which, if the Telecommunication Bill is enacted in its current form, will be applicable to all licensees.  The competition-related provisions set out in the Telecommunication Bill follow closely those conditions contained in the more recently issued telecommunications licences.  These competition provisions prohibit anti-competitive practices, for example, entering into agreements to fix the price in a telecommunication market or giving undue preference to an associated company which in the opinion of OFTA puts competitors at a disadvantage.  If the telecommunications licensee is regarded by the TA as being in a dominant position, the Telecommunication Bill provides that such licensee should not abuse its position in the market, for example, by adopting a predatory pricing arrangement.</w:t>
      </w:r>
    </w:p>
    <w:p>
      <w:pPr>
        <w:pStyle w:val="Heading1"/>
        <w:ind w:hanging="0" w:start="0"/>
        <w:rPr/>
      </w:pPr>
      <w:bookmarkStart w:id="25" w:name="__RefHeading___Toc470323633"/>
      <w:bookmarkEnd w:id="25"/>
      <w:r>
        <w:rPr/>
        <w:t>SECTION 2: TRADING BANDWIDTH WITHOUT ACTUAL PHYSICAL DELIVERY</w:t>
      </w:r>
    </w:p>
    <w:p>
      <w:pPr>
        <w:pStyle w:val="BodyText2"/>
        <w:ind w:start="624" w:end="0"/>
        <w:rPr>
          <w:b/>
          <w:i/>
          <w:i/>
        </w:rPr>
      </w:pPr>
      <w:r>
        <w:rPr>
          <w:b/>
          <w:i/>
        </w:rPr>
        <w:t>In respect of such ability to close out Transactions before physical delivery as described in the introduction to Section 2 of the Survey Questionnaire, with the parties merely making financial settlement of balances payable between them, would any of your answers change to the questions raised in paragraphs 1A to I, inclusive, above of Section I (when answering this question please pay particular, but not exclusive, attention to the questions raised in Section 1A)?</w:t>
      </w:r>
    </w:p>
    <w:p>
      <w:pPr>
        <w:pStyle w:val="Normal"/>
        <w:ind w:start="567" w:end="0"/>
        <w:rPr/>
      </w:pPr>
      <w:r>
        <w:rPr/>
        <w:t>Other than as noted below, our answers to the questions raised in Section 1A to I would not change.</w:t>
      </w:r>
    </w:p>
    <w:p>
      <w:pPr>
        <w:pStyle w:val="Normal"/>
        <w:ind w:start="567" w:end="0"/>
        <w:rPr>
          <w:b/>
          <w:i/>
          <w:i/>
        </w:rPr>
      </w:pPr>
      <w:r>
        <w:rPr>
          <w:b/>
          <w:i/>
        </w:rPr>
        <w:t>Section 1A(a), (b) and (c) and Section 1C(d)(ii)</w:t>
      </w:r>
    </w:p>
    <w:p>
      <w:pPr>
        <w:pStyle w:val="Normal"/>
        <w:ind w:start="567" w:end="0"/>
        <w:rPr/>
      </w:pPr>
      <w:r>
        <w:rPr/>
        <w:t xml:space="preserve">A telecommunications licence is only required to the extent that a means of telecommunications is established or maintained in Hong Kong, or telecommunication services involving the establishment or maintenance of a means of telecommunication in Hong Kong are provided.  If physical delivery of Bandwidth is not required under the Transactions then neither ECI nor the Local Counterparty would need to establish or maintain a means of telecommunication in Hong Kong in order to perform the Transactions </w:t>
      </w:r>
      <w:r>
        <w:rPr>
          <w:i/>
        </w:rPr>
        <w:t>per se</w:t>
      </w:r>
      <w:r>
        <w:rPr/>
        <w:t>.  A telecommunications licence therefore would not be required if the Transactions did not require the physical delivery of Bandwidth.</w:t>
      </w:r>
    </w:p>
    <w:p>
      <w:pPr>
        <w:pStyle w:val="Normal"/>
        <w:ind w:start="567" w:end="0"/>
        <w:rPr>
          <w:b/>
          <w:i/>
          <w:i/>
        </w:rPr>
      </w:pPr>
      <w:r>
        <w:rPr>
          <w:b/>
          <w:i/>
        </w:rPr>
        <w:t>Section 1I(c)</w:t>
      </w:r>
    </w:p>
    <w:p>
      <w:pPr>
        <w:sectPr>
          <w:headerReference w:type="default" r:id="rId12"/>
          <w:headerReference w:type="first" r:id="rId13"/>
          <w:footerReference w:type="default" r:id="rId14"/>
          <w:footerReference w:type="first" r:id="rId15"/>
          <w:footnotePr>
            <w:numFmt w:val="decimal"/>
          </w:footnotePr>
          <w:type w:val="nextPage"/>
          <w:pgSz w:w="11906" w:h="16838"/>
          <w:pgMar w:left="1701" w:right="1701" w:gutter="0" w:header="720" w:top="1440" w:footer="567" w:bottom="1134"/>
          <w:pgNumType w:start="58" w:fmt="decimal"/>
          <w:formProt w:val="false"/>
          <w:textDirection w:val="lrTb"/>
          <w:docGrid w:type="default" w:linePitch="360" w:charSpace="0"/>
        </w:sectPr>
        <w:pStyle w:val="Normal"/>
        <w:ind w:start="567" w:end="0"/>
        <w:rPr/>
      </w:pPr>
      <w:r>
        <w:rPr/>
        <w:t>If the parties to the Transactions are permitted to close out the Transactions by making cash settlements, there is a possibility that the Transactions may fall within the ambit of the Gaming Ordinance (Cap. 148), which provides that gambling ("betting, gaming and bookmaking") is unlawful.  However, provided that the contract price of the Transactions is fixed and will not be calculated by reference to a fluctuating value, e.g. the market value of the Bandwidth on the proposed delivery date, as seems to be suggested in the introductory statements in Section 2 of the Survey Questionnaire, we think it is unlikely that the Transactions would be considered to be an unlawful gambling arrangement for the purposes of the Gambling Ordinance.  If, on the other hand, the intention of ECI is that the cash settlement amount will vary according to a fluctuating value, then it is possible that the Transactions may be regarding as a "gambling arrangement" and hence be unlawful pursuant to the Gambling Ordinance.  We would be happy to provide a more detailed analysis on the Gambling Ordinance if you so request.</w:t>
      </w:r>
    </w:p>
    <w:p>
      <w:pPr>
        <w:pStyle w:val="Heading1"/>
        <w:ind w:hanging="0" w:start="0"/>
        <w:rPr/>
      </w:pPr>
      <w:bookmarkStart w:id="26" w:name="__RefHeading___Toc470323634"/>
      <w:bookmarkEnd w:id="26"/>
      <w:r>
        <w:rPr/>
        <w:t>SECTION 3: ESTABLISHMENT OF POOLING POINTS AND CONNECTION OF TELECOMMUNICATIONS NETWORKS TO POOLING POINTS</w:t>
      </w:r>
    </w:p>
    <w:p>
      <w:pPr>
        <w:pStyle w:val="BodyText"/>
        <w:rPr/>
      </w:pPr>
      <w:r>
        <w:rPr/>
        <w:t>This section concerns the potential establishment of a Pooling Point at a specific location in Hong Kong.  Such Pooling Point would be owned, operated and/or administered by a Pooling Point Developer.</w:t>
      </w:r>
    </w:p>
    <w:p>
      <w:pPr>
        <w:pStyle w:val="Heading2"/>
        <w:ind w:hanging="0" w:start="0"/>
        <w:rPr/>
      </w:pPr>
      <w:bookmarkStart w:id="27" w:name="__RefHeading___Toc470323635"/>
      <w:bookmarkEnd w:id="27"/>
      <w:r>
        <w:rPr/>
        <w:t>Section 3A: Establishment of Pooling Point in Hong Kong by a Pooling Point Operator</w:t>
      </w:r>
    </w:p>
    <w:p>
      <w:pPr>
        <w:pStyle w:val="BodyText"/>
        <w:rPr/>
      </w:pPr>
      <w:r>
        <w:rPr/>
        <w:t>ECI has asked that we assume for the purposes of Questions (a) to (d) of this Section 3A that the Pooling Point Developer would not be incorporated in, nor have any branch or other form of presence in, Hong Kong.</w:t>
      </w:r>
    </w:p>
    <w:p>
      <w:pPr>
        <w:pStyle w:val="BodyText"/>
        <w:ind w:hanging="794" w:start="1418" w:end="0"/>
        <w:rPr/>
      </w:pPr>
      <w:r>
        <w:rPr>
          <w:rFonts w:eastAsia="'宋体"/>
          <w:lang w:eastAsia="zh-CN"/>
        </w:rPr>
        <w:t>(a)</w:t>
        <w:tab/>
      </w:r>
      <w:r>
        <w:rPr>
          <w:b/>
          <w:i/>
        </w:rPr>
        <w:t>How would the establishment, ownership, operation or administration, of a Pooling Point fall to be examined and categorised under the telecoms regulatory regime in Hong Kong?</w:t>
      </w:r>
    </w:p>
    <w:p>
      <w:pPr>
        <w:pStyle w:val="BodyText2"/>
        <w:rPr/>
      </w:pPr>
      <w:r>
        <w:rPr/>
        <w:t>As set out in Section 1A above, it is an offence to establish or maintain any means of telecommunication (or to provide a telecommunication service involving the establishment or maintenance of any means of telecommunication) in Hong Kong without a licence.</w:t>
      </w:r>
    </w:p>
    <w:p>
      <w:pPr>
        <w:pStyle w:val="BodyText2"/>
        <w:rPr/>
      </w:pPr>
      <w:r>
        <w:rPr/>
        <w:t>We believe, based on your description of the Pooling Point in the Documents, that the Pooling Point, if located in Hong Kong, is likely to be treated as a means of telecommunication.  Consequently, it would be an offence to establish or maintain the Pooling Point, and to provide the related telecommunication services, without a licence.</w:t>
      </w:r>
    </w:p>
    <w:p>
      <w:pPr>
        <w:pStyle w:val="BodyText"/>
        <w:ind w:hanging="794" w:start="1418" w:end="0"/>
        <w:rPr/>
      </w:pPr>
      <w:r>
        <w:rPr>
          <w:rFonts w:eastAsia="'宋体"/>
          <w:lang w:eastAsia="zh-CN"/>
        </w:rPr>
        <w:t>(b)</w:t>
        <w:tab/>
      </w:r>
      <w:r>
        <w:rPr>
          <w:b/>
          <w:i/>
        </w:rPr>
        <w:t>Would any licences, permits, consents or other government or regulatory approvals (for example, in the form of telecommunications licence) be required to be obtained in Hong Kong in order for the Pooling Point Developer to establish and/or own and/or operate and/or administer a Pooling Point in Hong Kong? If so, please describe:</w:t>
      </w:r>
    </w:p>
    <w:p>
      <w:pPr>
        <w:pStyle w:val="BodyText2"/>
        <w:rPr/>
      </w:pPr>
      <w:r>
        <w:rPr/>
        <w:t xml:space="preserve">Assuming that the Pooling Point Developer had all necessary rights in respect of the premises at which the Pooling Point was proposed to be established, then except for the telecommunications license described below, no other licences, permits, consents or other government approvals would be required in order for the Pooling Point Developer to establish a Pooling Point in Hong Kong.  Please see paragraphs (b)(i) and (g) below with regard to requirements for the Pooling Point Developer to establish a presence in Hong Kong. </w:t>
      </w:r>
    </w:p>
    <w:p>
      <w:pPr>
        <w:pStyle w:val="BodyText"/>
        <w:keepNext w:val="true"/>
        <w:ind w:hanging="794" w:start="1418" w:end="0"/>
        <w:rPr/>
      </w:pPr>
      <w:r>
        <w:rPr>
          <w:rFonts w:eastAsia="'宋体"/>
          <w:lang w:eastAsia="zh-CN"/>
        </w:rPr>
        <w:t>(b)(i)</w:t>
        <w:tab/>
      </w:r>
      <w:r>
        <w:rPr>
          <w:b/>
          <w:i/>
        </w:rPr>
        <w:t>which licence, permits, consents or other approvals are required, if any, and from which they are required to be obtained for each of (a) the Pooling Point itself and (b) the Pooling Point Developer?</w:t>
      </w:r>
    </w:p>
    <w:p>
      <w:pPr>
        <w:pStyle w:val="BodyText2"/>
        <w:keepNext w:val="true"/>
        <w:rPr/>
      </w:pPr>
      <w:r>
        <w:rPr/>
        <w:t>Based on our understanding of the components of the Pooling Point and its functions as set out in the Documents, and upon recent discussions with OFTA in relation to a different proposal, in light of the assumption you have asked us to make that the Pooling Point Developer would not already be incorporated in, nor have any branch or other form of presence in Hong Kong (and therefore would not be an existing telecommunication licensee in Hong Kong), we believe that a PNETS licence will be required for the establishment and maintenance of the Pooling Point by the Pooling Point Developer.  This would, however, need to be confirmed with OFTA.  The Pooling Point Developer would make an application for the licence.  The Pooling Point itself would not be required to be separately licensed.  This means, in turn, that the Pooling Point Developer would need to be registered as an oversea company (if incorporated outside Hong Kong) or incorporated as a company in Hong Kong, in each case pursuant to the Companies Ordinance (as the TA requires licensees to meet such criteria).</w:t>
      </w:r>
    </w:p>
    <w:p>
      <w:pPr>
        <w:pStyle w:val="BodyText"/>
        <w:ind w:hanging="794" w:start="1418" w:end="0"/>
        <w:rPr/>
      </w:pPr>
      <w:r>
        <w:rPr>
          <w:rFonts w:eastAsia="'宋体"/>
          <w:lang w:eastAsia="zh-CN"/>
        </w:rPr>
        <w:t>(b)(ii)</w:t>
        <w:tab/>
      </w:r>
      <w:r>
        <w:rPr>
          <w:b/>
          <w:i/>
        </w:rPr>
        <w:t xml:space="preserve">if licences or permits would be required, which types of licences or permits would be applicable e.g., an individual licence, class licence or exemptions? </w:t>
      </w:r>
    </w:p>
    <w:p>
      <w:pPr>
        <w:pStyle w:val="BodyText2"/>
        <w:rPr/>
      </w:pPr>
      <w:r>
        <w:rPr/>
        <w:t xml:space="preserve">As mentioned in the overview in Section 1A above, the PNETS licence is used as a "sweep-up" licence to cover a range of telecommunication services.  It does not appear, from the records made publicly available by OFTA, that there is a sub-category of PNETS licence which expressly covers the Pooling Point scenario.  We do not see this as posing any impediment, as the sub-categories of PNETS licences which have been published are those which are most frequently applied for, and the TA will "custom-make" a PNETS licence, as appropriate.  However, it would be necessary to discuss the Proposal with OFTA before we could advise conclusively on this point.  </w:t>
      </w:r>
    </w:p>
    <w:p>
      <w:pPr>
        <w:pStyle w:val="BodyText"/>
        <w:ind w:hanging="794" w:start="1418" w:end="0"/>
        <w:rPr/>
      </w:pPr>
      <w:r>
        <w:rPr>
          <w:rFonts w:eastAsia="'宋体"/>
          <w:lang w:eastAsia="zh-CN"/>
        </w:rPr>
        <w:t>(b)(iii)</w:t>
        <w:tab/>
      </w:r>
      <w:r>
        <w:rPr>
          <w:b/>
          <w:i/>
        </w:rPr>
        <w:t>briefly describe the procedure and approximately how long it would take for the Pooling Point Developer to obtain any such licences, consents or approvals.</w:t>
      </w:r>
    </w:p>
    <w:p>
      <w:pPr>
        <w:pStyle w:val="BodyText2"/>
        <w:rPr/>
      </w:pPr>
      <w:r>
        <w:rPr/>
        <w:t>As a general rule, PNETS licences are readily granted by the TA on application.</w:t>
      </w:r>
    </w:p>
    <w:p>
      <w:pPr>
        <w:pStyle w:val="BodyText2"/>
        <w:rPr/>
      </w:pPr>
      <w:r>
        <w:rPr/>
        <w:t>The PNETS licence is granted for a period of 12 months and, provided the licensee has complied with its licence and pays the (nominal) annual fee, is readily renewable.</w:t>
      </w:r>
    </w:p>
    <w:p>
      <w:pPr>
        <w:pStyle w:val="BodyText2"/>
        <w:rPr/>
      </w:pPr>
      <w:r>
        <w:rPr/>
        <w:t>OFTA issued guidelines for the application for telecommunications licences earlier this year.</w:t>
      </w:r>
      <w:r>
        <w:rPr>
          <w:rStyle w:val="FootnoteCharacters"/>
          <w:rStyle w:val="FootnoteReference"/>
        </w:rPr>
        <w:footnoteReference w:id="10"/>
      </w:r>
      <w:r>
        <w:rPr/>
        <w:t xml:space="preserve">  Those guidelines contain, among other things, guidelines on applying for a PNETS licence.  Applicants and the proposed service are required to meet the following general criteria:</w:t>
      </w:r>
    </w:p>
    <w:p>
      <w:pPr>
        <w:pStyle w:val="BodyText2"/>
        <w:numPr>
          <w:ilvl w:val="0"/>
          <w:numId w:val="41"/>
        </w:numPr>
        <w:tabs>
          <w:tab w:val="clear" w:pos="720"/>
          <w:tab w:val="left" w:pos="2137" w:leader="none"/>
        </w:tabs>
        <w:ind w:hanging="720" w:start="2137" w:end="0"/>
        <w:rPr/>
      </w:pPr>
      <w:r>
        <w:rPr/>
        <w:t>the proposed service must be technically sound and compatible with the local environment;</w:t>
      </w:r>
    </w:p>
    <w:p>
      <w:pPr>
        <w:pStyle w:val="BodyText2"/>
        <w:numPr>
          <w:ilvl w:val="0"/>
          <w:numId w:val="41"/>
        </w:numPr>
        <w:tabs>
          <w:tab w:val="clear" w:pos="720"/>
          <w:tab w:val="left" w:pos="2137" w:leader="none"/>
        </w:tabs>
        <w:ind w:hanging="720" w:start="2137" w:end="0"/>
        <w:rPr/>
      </w:pPr>
      <w:r>
        <w:rPr/>
        <w:t>the applicant must demonstrate financial capability on a willingness to invest in the service;</w:t>
      </w:r>
    </w:p>
    <w:p>
      <w:pPr>
        <w:pStyle w:val="BodyText2"/>
        <w:numPr>
          <w:ilvl w:val="0"/>
          <w:numId w:val="41"/>
        </w:numPr>
        <w:tabs>
          <w:tab w:val="clear" w:pos="720"/>
          <w:tab w:val="left" w:pos="2137" w:leader="none"/>
        </w:tabs>
        <w:ind w:hanging="720" w:start="2137" w:end="0"/>
        <w:rPr/>
      </w:pPr>
      <w:r>
        <w:rPr/>
        <w:t xml:space="preserve">the proposed service and facilities must comply with relevant ITU-T Recommendations; </w:t>
      </w:r>
    </w:p>
    <w:p>
      <w:pPr>
        <w:pStyle w:val="BodyText2"/>
        <w:numPr>
          <w:ilvl w:val="0"/>
          <w:numId w:val="41"/>
        </w:numPr>
        <w:tabs>
          <w:tab w:val="clear" w:pos="720"/>
          <w:tab w:val="left" w:pos="2137" w:leader="none"/>
        </w:tabs>
        <w:ind w:hanging="720" w:start="2137" w:end="0"/>
        <w:rPr/>
      </w:pPr>
      <w:r>
        <w:rPr/>
        <w:t>equipment for interconnection with public networks/services must meet such technical specifications as may be specified by the TA; and</w:t>
      </w:r>
    </w:p>
    <w:p>
      <w:pPr>
        <w:pStyle w:val="BodyText2"/>
        <w:numPr>
          <w:ilvl w:val="0"/>
          <w:numId w:val="41"/>
        </w:numPr>
        <w:tabs>
          <w:tab w:val="clear" w:pos="720"/>
          <w:tab w:val="left" w:pos="2137" w:leader="none"/>
        </w:tabs>
        <w:ind w:hanging="720" w:start="2137" w:end="0"/>
        <w:rPr/>
      </w:pPr>
      <w:r>
        <w:rPr/>
        <w:t>the proposed service must not carry unsolicited advertisements or entertainment materials.</w:t>
      </w:r>
    </w:p>
    <w:p>
      <w:pPr>
        <w:pStyle w:val="BodyText2"/>
        <w:rPr/>
      </w:pPr>
      <w:r>
        <w:rPr/>
        <w:t>The applicant is also required to provide certain information in or with its application such as its name and constitutional documents, audited financial statements, financial projections for the proposed service, a detailed description of the proposed service and evidence of technical support/capability.</w:t>
      </w:r>
    </w:p>
    <w:p>
      <w:pPr>
        <w:pStyle w:val="BodyText2"/>
        <w:rPr/>
      </w:pPr>
      <w:r>
        <w:rPr/>
        <w:t xml:space="preserve">The application for a PNETS licence is generally processed within 14 working days of receipt by OFTA. </w:t>
      </w:r>
    </w:p>
    <w:p>
      <w:pPr>
        <w:pStyle w:val="BodyText"/>
        <w:ind w:hanging="794" w:start="1418" w:end="0"/>
        <w:rPr/>
      </w:pPr>
      <w:r>
        <w:rPr>
          <w:rFonts w:eastAsia="'宋体"/>
          <w:lang w:eastAsia="zh-CN"/>
        </w:rPr>
        <w:t>(c)</w:t>
        <w:tab/>
      </w:r>
      <w:r>
        <w:rPr>
          <w:rFonts w:eastAsia="'宋体"/>
          <w:b/>
          <w:i/>
          <w:lang w:eastAsia="zh-CN"/>
        </w:rPr>
        <w:t>W</w:t>
      </w:r>
      <w:r>
        <w:rPr>
          <w:b/>
          <w:i/>
        </w:rPr>
        <w:t>hich other elements of the telecoms regulatory regime in Hong Kong would effect the establishment, ownership, operation or administration of a Pooling Point in Hong Kong? For example, are there  provisions relating to the publication of prices, limitation on prices, access control (third party access), interconnection/interoperable or technical interfacing which would affect or apply to the establishment, ownership, operation or administration of a Pooling Point in Hong Kong?</w:t>
      </w:r>
    </w:p>
    <w:p>
      <w:pPr>
        <w:pStyle w:val="BodyText2"/>
        <w:rPr>
          <w:b/>
          <w:i/>
          <w:i/>
        </w:rPr>
      </w:pPr>
      <w:r>
        <w:rPr/>
        <w:t>As described in Section 1A(b) above, telecommunication equipment used in connection with a Pooling Point in Hong Kong may be required to comply with relevant technical specifications.</w:t>
      </w:r>
    </w:p>
    <w:p>
      <w:pPr>
        <w:pStyle w:val="BodyText2"/>
        <w:rPr/>
      </w:pPr>
      <w:r>
        <w:rPr/>
        <w:t xml:space="preserve">We would expect the issues mentioned in this question to be specific obligations of the Pooling Point Developer imposed by virtue of the licence conditions in the Pooling Point Developer's PNETS licence (assuming a PNETS licence would be issued), or in such other licence as the TA may consider appropriate.  Please see our response to paragraph (d)(iii) below for a summary of the potential PNETS licence conditions.  </w:t>
      </w:r>
    </w:p>
    <w:p>
      <w:pPr>
        <w:pStyle w:val="BodyText2"/>
        <w:rPr/>
      </w:pPr>
      <w:r>
        <w:rPr/>
        <w:t>With the exception of any special conditions imposed by the TA under the PNETS licence (or other relevant licence), there are no other general telecommunications regulatory requirements in Hong Kong which would affect the establishment, ownership, operation or administration of the Pooling Point in Hong Kong.</w:t>
      </w:r>
    </w:p>
    <w:p>
      <w:pPr>
        <w:pStyle w:val="BodyText"/>
        <w:ind w:hanging="794" w:start="1418" w:end="0"/>
        <w:rPr/>
      </w:pPr>
      <w:r>
        <w:rPr>
          <w:rFonts w:eastAsia="'宋体"/>
          <w:lang w:eastAsia="zh-CN"/>
        </w:rPr>
        <w:t>(d)</w:t>
        <w:tab/>
      </w:r>
      <w:r>
        <w:rPr>
          <w:b/>
          <w:i/>
        </w:rPr>
        <w:t>Would the Pooling Point Developer be subject to the rules and regulations of any regulatory body in Hong Kong in respect of the establishment and/or ownership and/or operation and/or administration of the Pooling Point? If so, please:</w:t>
      </w:r>
    </w:p>
    <w:p>
      <w:pPr>
        <w:pStyle w:val="BodyText"/>
        <w:rPr/>
      </w:pPr>
      <w:r>
        <w:rPr>
          <w:rFonts w:eastAsia="'宋体"/>
          <w:lang w:eastAsia="zh-CN"/>
        </w:rPr>
        <w:t>(d)(i)</w:t>
        <w:tab/>
      </w:r>
      <w:r>
        <w:rPr>
          <w:b/>
          <w:i/>
        </w:rPr>
        <w:t>Identify and describe the nature of the regulatory body concerned:</w:t>
      </w:r>
    </w:p>
    <w:p>
      <w:pPr>
        <w:pStyle w:val="BodyText"/>
        <w:ind w:hanging="794" w:start="1418" w:end="0"/>
        <w:rPr/>
      </w:pPr>
      <w:r>
        <w:rPr>
          <w:b/>
          <w:i/>
        </w:rPr>
        <w:tab/>
      </w:r>
      <w:r>
        <w:rPr/>
        <w:t>The relevant regulatory body would be the TA and its executive arm, OFTA.  Please see the telecommunications regulatory overview in Section 1A for further details.</w:t>
      </w:r>
    </w:p>
    <w:p>
      <w:pPr>
        <w:pStyle w:val="BodyText"/>
        <w:ind w:hanging="794" w:start="1418" w:end="0"/>
        <w:rPr/>
      </w:pPr>
      <w:r>
        <w:rPr>
          <w:rFonts w:eastAsia="'宋体"/>
          <w:lang w:eastAsia="zh-CN"/>
        </w:rPr>
        <w:t>(d)(ii)</w:t>
        <w:tab/>
      </w:r>
      <w:r>
        <w:rPr>
          <w:b/>
          <w:i/>
        </w:rPr>
        <w:t>Briefly describe the structure and composition of the regulatory body, including its powers and duties as they would relate to the establishment and/or operation and/or administration of the Pooling Point and/or the Pooling Point Developer;</w:t>
      </w:r>
    </w:p>
    <w:p>
      <w:pPr>
        <w:pStyle w:val="BodyText2"/>
        <w:rPr/>
      </w:pPr>
      <w:r>
        <w:rPr/>
        <w:t>Please see the telecommunications regulatory overview contained in Section 1A above for details regarding the TA and OFTA.</w:t>
      </w:r>
    </w:p>
    <w:p>
      <w:pPr>
        <w:pStyle w:val="BodyText"/>
        <w:ind w:hanging="794" w:start="1418" w:end="0"/>
        <w:rPr/>
      </w:pPr>
      <w:r>
        <w:rPr>
          <w:rFonts w:eastAsia="'宋体"/>
          <w:lang w:eastAsia="zh-CN"/>
        </w:rPr>
        <w:t>(d)(iii)</w:t>
        <w:tab/>
      </w:r>
      <w:r>
        <w:rPr>
          <w:b/>
          <w:i/>
        </w:rPr>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w:t>
      </w:r>
    </w:p>
    <w:p>
      <w:pPr>
        <w:pStyle w:val="BodyText2"/>
        <w:rPr/>
      </w:pPr>
      <w:r>
        <w:rPr/>
        <w:t xml:space="preserve">The Pooling Point Developer’s specific obligations would be as set out in its licence.  Licence obligations are not owed to the regulator </w:t>
      </w:r>
      <w:r>
        <w:rPr>
          <w:i/>
        </w:rPr>
        <w:t>per se</w:t>
      </w:r>
      <w:r>
        <w:rPr/>
        <w:t>, but as mentioned in Section 1A (in the telecommunications regulatory overview) the TA has the authority to grant and administer licences, to impose licence conditions and generally to regulate telecommunications in Hong Kong.  Therefore, in practice, the discharge of licence conditions will require the licensee to meet the TA's requirements and otherwise to comply with TA-related obligations as set out in its licence.</w:t>
      </w:r>
    </w:p>
    <w:p>
      <w:pPr>
        <w:pStyle w:val="BodyText2"/>
        <w:rPr/>
      </w:pPr>
      <w:r>
        <w:rPr/>
        <w:t xml:space="preserve">Telecommunications licences contain general conditions which apply generally to the category of licence, and special conditions which are specific to the particular licence (although we note that in practice many special conditions appear to be applied generally across a licence category).  </w:t>
      </w:r>
    </w:p>
    <w:p>
      <w:pPr>
        <w:pStyle w:val="BodyText2"/>
        <w:rPr/>
      </w:pPr>
      <w:r>
        <w:rPr/>
        <w:t xml:space="preserve">As noted above, we believe that a PNETS licence may need to be "custom-made" for the Pooling Point Developer as the services to be provided by the Pooling Point do not fall within the published sub-categories of PNETS licences.  However, based on a review of existing sub-categories of PNETS licences, and the form of PNETS licence set out in the Telecommunication Regulations, assuming that the PNETS licence is the appropriate licence, we would expect the following conditions to be amongst those likely to be contained in the Pooling Point Developer's licence: </w:t>
      </w:r>
    </w:p>
    <w:p>
      <w:pPr>
        <w:pStyle w:val="BodyText2"/>
        <w:numPr>
          <w:ilvl w:val="0"/>
          <w:numId w:val="28"/>
        </w:numPr>
        <w:tabs>
          <w:tab w:val="clear" w:pos="720"/>
          <w:tab w:val="left" w:pos="2137" w:leader="none"/>
        </w:tabs>
        <w:ind w:hanging="720" w:start="2137" w:end="0"/>
        <w:rPr/>
      </w:pPr>
      <w:r>
        <w:rPr/>
        <w:t>to comply with the licence, the Telecommunication Ordinance, the Telecommunication Regulations and any instruments made by the TA under the Telecommunication Ordinance;</w:t>
      </w:r>
    </w:p>
    <w:p>
      <w:pPr>
        <w:pStyle w:val="BodyText2"/>
        <w:numPr>
          <w:ilvl w:val="0"/>
          <w:numId w:val="28"/>
        </w:numPr>
        <w:tabs>
          <w:tab w:val="clear" w:pos="720"/>
          <w:tab w:val="left" w:pos="2137" w:leader="none"/>
        </w:tabs>
        <w:ind w:hanging="720" w:start="2137" w:end="0"/>
        <w:rPr/>
      </w:pPr>
      <w:r>
        <w:rPr/>
        <w:t>not to operate licensed apparatus in such a manner as to cause interference with any other licensed telecommunications service or apparatus;</w:t>
      </w:r>
    </w:p>
    <w:p>
      <w:pPr>
        <w:pStyle w:val="BodyText2"/>
        <w:numPr>
          <w:ilvl w:val="0"/>
          <w:numId w:val="49"/>
        </w:numPr>
        <w:tabs>
          <w:tab w:val="clear" w:pos="720"/>
          <w:tab w:val="left" w:pos="2137" w:leader="none"/>
        </w:tabs>
        <w:ind w:hanging="720" w:start="2137" w:end="0"/>
        <w:rPr/>
      </w:pPr>
      <w:r>
        <w:rPr/>
        <w:t>to operate, maintain and provide the service in a manner satisfactory to the TA;</w:t>
      </w:r>
    </w:p>
    <w:p>
      <w:pPr>
        <w:pStyle w:val="BodyText2"/>
        <w:numPr>
          <w:ilvl w:val="0"/>
          <w:numId w:val="49"/>
        </w:numPr>
        <w:tabs>
          <w:tab w:val="clear" w:pos="720"/>
          <w:tab w:val="left" w:pos="2137" w:leader="none"/>
        </w:tabs>
        <w:ind w:hanging="720" w:start="2137" w:end="0"/>
        <w:rPr/>
      </w:pPr>
      <w:r>
        <w:rPr/>
        <w:t>to comply with the provisions of the International Telecommunications Convention and all regulations and recommendations annexed thereto, to the extent applicable in Hong Kong (unless expressly absolved from doing so by the TA);</w:t>
      </w:r>
    </w:p>
    <w:p>
      <w:pPr>
        <w:pStyle w:val="BodyText2"/>
        <w:numPr>
          <w:ilvl w:val="0"/>
          <w:numId w:val="49"/>
        </w:numPr>
        <w:tabs>
          <w:tab w:val="clear" w:pos="720"/>
          <w:tab w:val="left" w:pos="2137" w:leader="none"/>
        </w:tabs>
        <w:ind w:hanging="720" w:start="2137" w:end="0"/>
        <w:rPr/>
      </w:pPr>
      <w:r>
        <w:rPr/>
        <w:t>not to enter into any agreement or arrangement which would in any way prevent or restrict competition in relation to the operation of the service or any other telecommunication service licensed by the TA;</w:t>
      </w:r>
    </w:p>
    <w:p>
      <w:pPr>
        <w:pStyle w:val="BodyText2"/>
        <w:numPr>
          <w:ilvl w:val="0"/>
          <w:numId w:val="49"/>
        </w:numPr>
        <w:tabs>
          <w:tab w:val="clear" w:pos="720"/>
          <w:tab w:val="left" w:pos="2137" w:leader="none"/>
        </w:tabs>
        <w:ind w:hanging="720" w:start="2137" w:end="0"/>
        <w:rPr/>
      </w:pPr>
      <w:r>
        <w:rPr/>
        <w:t xml:space="preserve">to comply with any technical specification prescribed by the TA in relation to connecting the service to a licensed public telecommunication network; </w:t>
      </w:r>
    </w:p>
    <w:p>
      <w:pPr>
        <w:pStyle w:val="BodyText2"/>
        <w:numPr>
          <w:ilvl w:val="0"/>
          <w:numId w:val="49"/>
        </w:numPr>
        <w:tabs>
          <w:tab w:val="clear" w:pos="720"/>
          <w:tab w:val="left" w:pos="2137" w:leader="none"/>
        </w:tabs>
        <w:ind w:hanging="720" w:start="2137" w:end="0"/>
        <w:rPr/>
      </w:pPr>
      <w:r>
        <w:rPr/>
        <w:t xml:space="preserve">upon reasonable notice, to allow the TA and anyone authorised by the TA to enter and inspect the premises in Hong Kong where the licensee has installed telecommunication equipment or which are used for the provision of the service; </w:t>
      </w:r>
    </w:p>
    <w:p>
      <w:pPr>
        <w:pStyle w:val="BodyText2"/>
        <w:numPr>
          <w:ilvl w:val="0"/>
          <w:numId w:val="49"/>
        </w:numPr>
        <w:tabs>
          <w:tab w:val="clear" w:pos="720"/>
          <w:tab w:val="left" w:pos="2137" w:leader="none"/>
        </w:tabs>
        <w:ind w:hanging="720" w:start="2137" w:end="0"/>
        <w:rPr/>
      </w:pPr>
      <w:r>
        <w:rPr/>
        <w:t xml:space="preserve">to provide to the TA facilities to enable the TA to inspect, test, read or measure and telecommunication installations, equipment or premises used for the provision of the service; </w:t>
      </w:r>
    </w:p>
    <w:p>
      <w:pPr>
        <w:pStyle w:val="BodyText2"/>
        <w:numPr>
          <w:ilvl w:val="0"/>
          <w:numId w:val="49"/>
        </w:numPr>
        <w:tabs>
          <w:tab w:val="clear" w:pos="720"/>
          <w:tab w:val="left" w:pos="2137" w:leader="none"/>
        </w:tabs>
        <w:ind w:hanging="720" w:start="2137" w:end="0"/>
        <w:rPr/>
      </w:pPr>
      <w:r>
        <w:rPr/>
        <w:t>to provide to the TA in such manner and at such times as the TA may request in writing, information relating to the business, including financial information, accounts, traffic information, technical configuration, circuit routing and other records or information as the TA may reasonably require (generally the TA will hear representations from the licensee in respect of any such information the TA may propose to disclose);</w:t>
      </w:r>
    </w:p>
    <w:p>
      <w:pPr>
        <w:pStyle w:val="BodyText2"/>
        <w:numPr>
          <w:ilvl w:val="0"/>
          <w:numId w:val="49"/>
        </w:numPr>
        <w:tabs>
          <w:tab w:val="clear" w:pos="720"/>
          <w:tab w:val="left" w:pos="2137" w:leader="none"/>
        </w:tabs>
        <w:ind w:hanging="720" w:start="2137" w:end="0"/>
        <w:rPr/>
      </w:pPr>
      <w:r>
        <w:rPr/>
        <w:t xml:space="preserve">to permit the TA and anyone authorised by the TA to make copies of records, documents and accounts relating to the licensee’s business to enable the TA to perform his functions under the Ordinance and the licence and to ensure the licensee’s compliance with the licence and the Ordinance; </w:t>
      </w:r>
    </w:p>
    <w:p>
      <w:pPr>
        <w:pStyle w:val="BodyText2"/>
        <w:numPr>
          <w:ilvl w:val="0"/>
          <w:numId w:val="49"/>
        </w:numPr>
        <w:tabs>
          <w:tab w:val="clear" w:pos="720"/>
          <w:tab w:val="left" w:pos="2137" w:leader="none"/>
        </w:tabs>
        <w:ind w:hanging="720" w:start="2137" w:end="0"/>
        <w:rPr/>
      </w:pPr>
      <w:r>
        <w:rPr/>
        <w:t>not to disclose a customer's information without the customer's consent (such form of consent to be approved by the TA), except where disclosure is required for the prevention/detection of crime, the apprehension/prosecution of offenders or as may be authorised by law;</w:t>
      </w:r>
    </w:p>
    <w:p>
      <w:pPr>
        <w:pStyle w:val="BodyText2"/>
        <w:numPr>
          <w:ilvl w:val="0"/>
          <w:numId w:val="49"/>
        </w:numPr>
        <w:tabs>
          <w:tab w:val="clear" w:pos="720"/>
          <w:tab w:val="left" w:pos="2137" w:leader="none"/>
        </w:tabs>
        <w:ind w:hanging="720" w:start="2137" w:end="0"/>
        <w:rPr/>
      </w:pPr>
      <w:r>
        <w:rPr/>
        <w:t>not to use information provided by a customer or obtained in the course of providing service to the customer, other than in relation to the provision of the licensed service;</w:t>
      </w:r>
    </w:p>
    <w:p>
      <w:pPr>
        <w:pStyle w:val="BodyText2"/>
        <w:numPr>
          <w:ilvl w:val="0"/>
          <w:numId w:val="49"/>
        </w:numPr>
        <w:tabs>
          <w:tab w:val="clear" w:pos="720"/>
          <w:tab w:val="left" w:pos="2137" w:leader="none"/>
        </w:tabs>
        <w:ind w:hanging="720" w:start="2137" w:end="0"/>
        <w:rPr/>
      </w:pPr>
      <w:r>
        <w:rPr/>
        <w:t>except with the TA’s written consent, to adopt non-proprietary technical standards or TA prescribed standards relating to customer access to the service and interconnection between the service and other telecommunication networks and services;</w:t>
      </w:r>
    </w:p>
    <w:p>
      <w:pPr>
        <w:pStyle w:val="BodyText2"/>
        <w:numPr>
          <w:ilvl w:val="0"/>
          <w:numId w:val="49"/>
        </w:numPr>
        <w:tabs>
          <w:tab w:val="clear" w:pos="720"/>
          <w:tab w:val="left" w:pos="2137" w:leader="none"/>
        </w:tabs>
        <w:ind w:hanging="720" w:start="2137" w:end="0"/>
        <w:rPr/>
      </w:pPr>
      <w:r>
        <w:rPr/>
        <w:t>for services offered generally to the public in Hong Kong, to publish the tariffs (including the terms and conditions for the provision of the service) for the service and charge no more than the tariffs;</w:t>
      </w:r>
    </w:p>
    <w:p>
      <w:pPr>
        <w:pStyle w:val="BodyText2"/>
        <w:numPr>
          <w:ilvl w:val="0"/>
          <w:numId w:val="49"/>
        </w:numPr>
        <w:tabs>
          <w:tab w:val="clear" w:pos="720"/>
          <w:tab w:val="left" w:pos="2137" w:leader="none"/>
        </w:tabs>
        <w:ind w:hanging="720" w:start="2137" w:end="0"/>
        <w:rPr/>
      </w:pPr>
      <w:r>
        <w:rPr/>
        <w:t>to maintain an up-to-date record of the configuration of the system used for the provision of the service;</w:t>
      </w:r>
    </w:p>
    <w:p>
      <w:pPr>
        <w:pStyle w:val="BodyText2"/>
        <w:numPr>
          <w:ilvl w:val="0"/>
          <w:numId w:val="49"/>
        </w:numPr>
        <w:tabs>
          <w:tab w:val="clear" w:pos="720"/>
          <w:tab w:val="left" w:pos="2137" w:leader="none"/>
        </w:tabs>
        <w:ind w:hanging="720" w:start="2137" w:end="0"/>
        <w:rPr/>
      </w:pPr>
      <w:r>
        <w:rPr/>
        <w:t>where directed by the TA in writing, to implement such accounting practices as specified by the TA, consistent with GAAP; and</w:t>
      </w:r>
    </w:p>
    <w:p>
      <w:pPr>
        <w:pStyle w:val="BodyText2"/>
        <w:numPr>
          <w:ilvl w:val="0"/>
          <w:numId w:val="49"/>
        </w:numPr>
        <w:tabs>
          <w:tab w:val="clear" w:pos="720"/>
          <w:tab w:val="left" w:pos="2137" w:leader="none"/>
        </w:tabs>
        <w:ind w:hanging="720" w:start="2137" w:end="0"/>
        <w:rPr/>
      </w:pPr>
      <w:r>
        <w:rPr/>
        <w:t xml:space="preserve">not to assign the licence unless the licence expressly permits. </w:t>
      </w:r>
    </w:p>
    <w:p>
      <w:pPr>
        <w:pStyle w:val="BodyText"/>
        <w:ind w:hanging="794" w:start="1418" w:end="0"/>
        <w:rPr/>
      </w:pPr>
      <w:r>
        <w:rPr>
          <w:rFonts w:eastAsia="CG Times"/>
          <w:lang w:eastAsia="zh-CN"/>
        </w:rPr>
        <w:t xml:space="preserve"> </w:t>
      </w:r>
      <w:r>
        <w:rPr>
          <w:rFonts w:eastAsia="'宋体"/>
          <w:lang w:eastAsia="zh-CN"/>
        </w:rPr>
        <w:t>(d)(iv)</w:t>
        <w:tab/>
      </w:r>
      <w:r>
        <w:rPr>
          <w:b/>
          <w:i/>
        </w:rPr>
        <w:t>would your answers to any of the questions contained in Section 3A(a), (b), (c) or (d) change in any manner if the ownership, operation and administration of the Pooling Point are not done by one and the same entity.</w:t>
      </w:r>
    </w:p>
    <w:p>
      <w:pPr>
        <w:pStyle w:val="BodyText2"/>
        <w:rPr/>
      </w:pPr>
      <w:r>
        <w:rPr/>
        <w:t>If the ownership, operation and administration of the Pooling Point are not done by one and the same entity, it may be necessary for each relevant entity to be licensed.  The Telecommunication Ordinance requires a person who establishes or maintains any means of telecommunications in Hong Kong to be licensed.  While a passive owner may not be "maintaining" the means of telecommunication, the owner may be regarded as having "established" a means of telecommunication.  In practice, we think it is unlikely that the TA would require a passive owner of a means of telecommunication to be licensed if there were another entity which operated and administered (i.e. "maintained") the means of telecommunication and which was properly licensed.  However, this would need to be clarified with OFTA.</w:t>
      </w:r>
    </w:p>
    <w:p>
      <w:pPr>
        <w:pStyle w:val="BodyText"/>
        <w:ind w:hanging="794" w:start="1418" w:end="0"/>
        <w:rPr/>
      </w:pPr>
      <w:r>
        <w:rPr>
          <w:rFonts w:eastAsia="'宋体"/>
          <w:lang w:eastAsia="zh-CN"/>
        </w:rPr>
        <w:t>(e)</w:t>
        <w:tab/>
      </w:r>
      <w:r>
        <w:rPr>
          <w:b/>
          <w:i/>
        </w:rPr>
        <w:t>A switching facility such as a Pooling Point is a highly attractive and effective interception point for law enforcement agencies wishing to "tap" into calls (wiretapping).</w:t>
      </w:r>
    </w:p>
    <w:p>
      <w:pPr>
        <w:pStyle w:val="BodyText"/>
        <w:ind w:hanging="794" w:start="1418" w:end="0"/>
        <w:rPr/>
      </w:pPr>
      <w:r>
        <w:rPr>
          <w:rFonts w:eastAsia="'宋体"/>
          <w:lang w:eastAsia="zh-CN"/>
        </w:rPr>
        <w:t>(e)(i)</w:t>
        <w:tab/>
      </w:r>
      <w:r>
        <w:rPr>
          <w:b/>
          <w:i/>
        </w:rPr>
        <w:t>If a law enforcement agency in Hong Kong was to make a properly constituted request to intercept telecoms traffic at a Pooling Pont, would the Pooling Point Developer be required under the laws of Hong Kong to comply with such request?</w:t>
      </w:r>
    </w:p>
    <w:p>
      <w:pPr>
        <w:pStyle w:val="BodyText2"/>
        <w:rPr/>
      </w:pPr>
      <w:r>
        <w:rPr/>
        <w:t>Yes.  Section 33 of the Telecommunication Ordinance provides that the Chief Executive of the Hong Kong Special Administrative Region, or any public officer authorised by the Chief Executive, may order that any message or any class of messages shall be intercepted or detained or disclosed to the Government or to the public officer specified in the order.  Failure to comply with such an order is a criminal offence.</w:t>
      </w:r>
    </w:p>
    <w:p>
      <w:pPr>
        <w:pStyle w:val="BodyText2"/>
        <w:rPr/>
      </w:pPr>
      <w:r>
        <w:rPr/>
        <w:t>The Interception of Communications Ordinance ("ICO"), if brought into force, would repeal sections 33 of the Telecommunication Ordinance and replace it with a new regime.  Under the proposed new ICO regime, a person must not intentionally intercept a communication unless:</w:t>
      </w:r>
    </w:p>
    <w:p>
      <w:pPr>
        <w:pStyle w:val="bullet"/>
        <w:numPr>
          <w:ilvl w:val="0"/>
          <w:numId w:val="50"/>
        </w:numPr>
        <w:tabs>
          <w:tab w:val="clear" w:pos="720"/>
          <w:tab w:val="left" w:pos="2137" w:leader="none"/>
        </w:tabs>
        <w:ind w:hanging="720" w:start="2137" w:end="0"/>
        <w:rPr/>
      </w:pPr>
      <w:r>
        <w:rPr/>
        <w:t>the interception is authorised by a court order;</w:t>
      </w:r>
    </w:p>
    <w:p>
      <w:pPr>
        <w:pStyle w:val="bullet"/>
        <w:numPr>
          <w:ilvl w:val="0"/>
          <w:numId w:val="50"/>
        </w:numPr>
        <w:tabs>
          <w:tab w:val="clear" w:pos="720"/>
          <w:tab w:val="left" w:pos="2137" w:leader="none"/>
        </w:tabs>
        <w:ind w:hanging="720" w:start="2137" w:end="0"/>
        <w:rPr/>
      </w:pPr>
      <w:r>
        <w:rPr/>
        <w:t xml:space="preserve">a serious threat of death or bodily harm exists, it is impracticable to make an application for a court order, the interception is authorised in writing by the Commissioner of Police (or certain other specified persons) and a court order is applied for within 48 hours; or </w:t>
      </w:r>
    </w:p>
    <w:p>
      <w:pPr>
        <w:pStyle w:val="bullet"/>
        <w:numPr>
          <w:ilvl w:val="0"/>
          <w:numId w:val="50"/>
        </w:numPr>
        <w:tabs>
          <w:tab w:val="clear" w:pos="720"/>
          <w:tab w:val="left" w:pos="2137" w:leader="none"/>
        </w:tabs>
        <w:ind w:hanging="720" w:start="2137" w:end="0"/>
        <w:rPr/>
      </w:pPr>
      <w:r>
        <w:rPr/>
        <w:t>the person making the interception has reasonable grounds for believing that the persons making the communication have consented to the interception.</w:t>
      </w:r>
    </w:p>
    <w:p>
      <w:pPr>
        <w:pStyle w:val="BodyText2"/>
        <w:rPr/>
      </w:pPr>
      <w:r>
        <w:rPr/>
        <w:t>However, the ICO has not been brought into force and no commencement date has been announced.  The ICO was introduced into the Hong Kong Legislative Council as a private member’s bill and was passed despite Government objections to its enactment.  The Government is currently undertaking a comprehensive review of the whole issue of regulation of interception of communications, and as part of this review, will consider whether the ICO should be brought into force.  The Government has not set a firm timetable for the completion of the review.</w:t>
      </w:r>
    </w:p>
    <w:p>
      <w:pPr>
        <w:pStyle w:val="BodyText"/>
        <w:ind w:hanging="794" w:start="1418" w:end="0"/>
        <w:rPr/>
      </w:pPr>
      <w:r>
        <w:rPr>
          <w:rFonts w:eastAsia="'宋体"/>
          <w:lang w:eastAsia="zh-CN"/>
        </w:rPr>
        <w:t>(e)(ii)</w:t>
        <w:tab/>
      </w:r>
      <w:r>
        <w:rPr>
          <w:b/>
          <w:i/>
        </w:rPr>
        <w:t>If the party to whom the request is made is required to allow the interception as requested by the law enforcement agencies, what is the penalty for non-compliance?</w:t>
      </w:r>
    </w:p>
    <w:p>
      <w:pPr>
        <w:pStyle w:val="BodyText2"/>
        <w:rPr/>
      </w:pPr>
      <w:r>
        <w:rPr/>
        <w:t>Failure to comply with an order made under section 33 of the Telecommunication Ordinance is punishable on summary conviction by a fine of HK$20,000 (approx. US$2,500) and imprisonment for up to 12 months.</w:t>
      </w:r>
      <w:r>
        <w:rPr>
          <w:rStyle w:val="FootnoteCharacters"/>
          <w:rStyle w:val="FootnoteReference"/>
        </w:rPr>
        <w:footnoteReference w:id="11"/>
      </w:r>
    </w:p>
    <w:p>
      <w:pPr>
        <w:pStyle w:val="BodyText"/>
        <w:ind w:hanging="794" w:start="1418" w:end="0"/>
        <w:rPr/>
      </w:pPr>
      <w:r>
        <w:rPr>
          <w:rFonts w:eastAsia="'宋体"/>
          <w:lang w:eastAsia="zh-CN"/>
        </w:rPr>
        <w:t>(f)</w:t>
        <w:tab/>
      </w:r>
      <w:r>
        <w:rPr>
          <w:b/>
          <w:i/>
        </w:rPr>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start="1417" w:end="0"/>
        <w:rPr/>
      </w:pPr>
      <w:r>
        <w:rPr/>
        <w:t>According to the definition of "Pooling Point", it appears that the information flowing through the Pooling Point will not be recorded or stored by the Pooling Point Developer.</w:t>
      </w:r>
    </w:p>
    <w:p>
      <w:pPr>
        <w:pStyle w:val="Normal"/>
        <w:ind w:start="1417" w:end="0"/>
        <w:rPr/>
      </w:pPr>
      <w:r>
        <w:rPr/>
        <w:t>The Personal Data (Privacy) Ordinance ("PDPO") only regulates data which are personal data.  Section 2 of the PDPO states that data means "any representation of information … in any document…".  "Document" is stated to include:</w:t>
      </w:r>
    </w:p>
    <w:p>
      <w:pPr>
        <w:pStyle w:val="Normal"/>
        <w:ind w:hanging="720" w:start="2137" w:end="0"/>
        <w:rPr/>
      </w:pPr>
      <w:r>
        <w:rPr/>
        <w:t>"</w:t>
      </w:r>
      <w:r>
        <w:rPr>
          <w:i/>
        </w:rPr>
        <w:t>(a)</w:t>
        <w:tab/>
        <w:t xml:space="preserve">a disc, tape or other device in which data other than visual images are </w:t>
      </w:r>
      <w:r>
        <w:rPr>
          <w:b/>
          <w:i/>
        </w:rPr>
        <w:t>embodied</w:t>
      </w:r>
      <w:r>
        <w:rPr>
          <w:i/>
        </w:rPr>
        <w:t xml:space="preserve"> so as to be capable, with or without the aid of some other equipment, of being reproduced from the disc, tape or other device; and</w:t>
      </w:r>
    </w:p>
    <w:p>
      <w:pPr>
        <w:pStyle w:val="Normal"/>
        <w:ind w:hanging="720" w:start="2137" w:end="0"/>
        <w:rPr/>
      </w:pPr>
      <w:r>
        <w:rPr>
          <w:i/>
        </w:rPr>
        <w:t>(b)</w:t>
        <w:tab/>
        <w:t xml:space="preserve">a film, tape or other device in which visual images are </w:t>
      </w:r>
      <w:r>
        <w:rPr>
          <w:b/>
          <w:i/>
        </w:rPr>
        <w:t>embodied</w:t>
      </w:r>
      <w:r>
        <w:rPr>
          <w:i/>
        </w:rPr>
        <w:t xml:space="preserve"> so as to be capable, with or without the aid of some other equipment, of being reproduced from the film, tape or other device"</w:t>
      </w:r>
    </w:p>
    <w:p>
      <w:pPr>
        <w:pStyle w:val="BodyText2"/>
        <w:rPr/>
      </w:pPr>
      <w:r>
        <w:rPr/>
        <w:t>In our view, because the information is flowing through the Pooling Point, as opposed to being embodied in the Pooling Point, the information will not constitute data as defined in the PDPO.  Accordingly, the PDPO will not apply to the Pooling Point Developer.</w:t>
      </w:r>
    </w:p>
    <w:p>
      <w:pPr>
        <w:pStyle w:val="BodyText"/>
        <w:ind w:hanging="794" w:start="1418" w:end="0"/>
        <w:rPr/>
      </w:pPr>
      <w:r>
        <w:rPr>
          <w:rFonts w:eastAsia="'宋体"/>
          <w:lang w:eastAsia="zh-CN"/>
        </w:rPr>
        <w:t>(g)</w:t>
        <w:tab/>
      </w:r>
      <w:r>
        <w:rPr>
          <w:b/>
          <w:i/>
        </w:rPr>
        <w:t>Would the Pooling Point Developer need to be  incorporated in, or have a branch in, or otherwise be established or have a presence in Hong Kong in order to establish and/or own and/or operate and/or administer the Pooling Point in Hong Kong? If so, please specify what type of entity(ies) the Pooling Point Developer would be required to establish in Hong Kong.</w:t>
      </w:r>
    </w:p>
    <w:p>
      <w:pPr>
        <w:pStyle w:val="BodyText2"/>
        <w:rPr/>
      </w:pPr>
      <w:r>
        <w:rPr/>
        <w:t>As mentioned above in Section 3A(b), in order to establish and/or own and/or operate and/or administer the Pooling Point in Hong Kong, the Pooling Point Developer would require a telecommunications licence - we think a PNETS licence.  One of the TA's licensing criteria is that the applicant is registered under the Companies Ordinance.  This means that the applicant must either be registered as an oversea company (if it is not incorporated in Hong Kong), or incorporated as a company in Hong Kong.</w:t>
      </w:r>
    </w:p>
    <w:p>
      <w:pPr>
        <w:pStyle w:val="BodyText"/>
        <w:ind w:hanging="794" w:start="1418" w:end="0"/>
        <w:rPr/>
      </w:pPr>
      <w:r>
        <w:rPr>
          <w:rFonts w:eastAsia="'宋体"/>
          <w:lang w:eastAsia="zh-CN"/>
        </w:rPr>
        <w:t>(h)</w:t>
        <w:tab/>
      </w:r>
      <w:r>
        <w:rPr>
          <w:b/>
          <w:i/>
        </w:rPr>
        <w:t>In the event that the Pooling Point Developer did establish a type of entity(ies) in Hong Kong (either voluntarily or pursuant to any requirement as you may mention in your answer to Section 3A(g)), in that regard would any of your answers to the questions set out in this Section 3A(a) to (f), inclusive, above change in any respect and, if so, how?</w:t>
      </w:r>
    </w:p>
    <w:p>
      <w:pPr>
        <w:pStyle w:val="BodyText2"/>
        <w:rPr/>
      </w:pPr>
      <w:r>
        <w:rPr/>
        <w:t>None of our answers in Section 3A(a) to (f) would change.</w:t>
      </w:r>
    </w:p>
    <w:p>
      <w:pPr>
        <w:pStyle w:val="Heading2"/>
        <w:keepNext w:val="true"/>
        <w:ind w:hanging="0" w:start="0"/>
        <w:rPr/>
      </w:pPr>
      <w:bookmarkStart w:id="28" w:name="__RefHeading___Toc470323636"/>
      <w:bookmarkEnd w:id="28"/>
      <w:r>
        <w:rPr/>
        <w:t>Section 3B: Connection of a telecommunications network to the Pooling Point</w:t>
      </w:r>
    </w:p>
    <w:p>
      <w:pPr>
        <w:pStyle w:val="BodyText"/>
        <w:keepNext w:val="true"/>
        <w:rPr/>
      </w:pPr>
      <w:r>
        <w:rPr/>
        <w:t>ECI have advised that a Pooling Point would physically have connected to it various telecommunication networks, equipment, facilities or circuits (each a "</w:t>
      </w:r>
      <w:r>
        <w:rPr>
          <w:b/>
        </w:rPr>
        <w:t>Network</w:t>
      </w:r>
      <w:r>
        <w:rPr/>
        <w:t>"), each owned, leased or operated by various third parties (each such third party termed herein a "</w:t>
      </w:r>
      <w:r>
        <w:rPr>
          <w:b/>
        </w:rPr>
        <w:t>Network Operator</w:t>
      </w:r>
      <w:r>
        <w:rPr/>
        <w:t>").  ECI has asked that we make each of the following assumptions for the purposes of Section 3B(a) to (f).</w:t>
      </w:r>
    </w:p>
    <w:p>
      <w:pPr>
        <w:pStyle w:val="BodyText2"/>
        <w:numPr>
          <w:ilvl w:val="0"/>
          <w:numId w:val="13"/>
        </w:numPr>
        <w:tabs>
          <w:tab w:val="clear" w:pos="720"/>
          <w:tab w:val="left" w:pos="1440" w:leader="none"/>
        </w:tabs>
        <w:ind w:hanging="720" w:start="1440" w:end="0"/>
        <w:rPr/>
      </w:pPr>
      <w:r>
        <w:rPr/>
        <w:t xml:space="preserve">the Network Operator is neither incorporated in, nor has a branch or other establishment or presence in Hong Kong; and </w:t>
      </w:r>
    </w:p>
    <w:p>
      <w:pPr>
        <w:pStyle w:val="BodyText2"/>
        <w:numPr>
          <w:ilvl w:val="0"/>
          <w:numId w:val="13"/>
        </w:numPr>
        <w:tabs>
          <w:tab w:val="clear" w:pos="720"/>
          <w:tab w:val="left" w:pos="1440" w:leader="none"/>
        </w:tabs>
        <w:ind w:hanging="720" w:start="1440" w:end="0"/>
        <w:rPr/>
      </w:pPr>
      <w:r>
        <w:rPr/>
        <w:t>the Network Operator is incorporated in, or has a branch or other establishment in Hong Kong; and</w:t>
      </w:r>
    </w:p>
    <w:p>
      <w:pPr>
        <w:pStyle w:val="BodyText2"/>
        <w:numPr>
          <w:ilvl w:val="0"/>
          <w:numId w:val="13"/>
        </w:numPr>
        <w:tabs>
          <w:tab w:val="clear" w:pos="720"/>
          <w:tab w:val="left" w:pos="1440" w:leader="none"/>
        </w:tabs>
        <w:ind w:hanging="720" w:start="1440" w:end="0"/>
        <w:rPr/>
      </w:pPr>
      <w:r>
        <w:rPr/>
        <w:t>that the Pooling Point is located at a particular address in a city or town in Hong Kong.</w:t>
      </w:r>
    </w:p>
    <w:p>
      <w:pPr>
        <w:pStyle w:val="BodyText"/>
        <w:ind w:hanging="794" w:start="1418" w:end="0"/>
        <w:rPr/>
      </w:pPr>
      <w:r>
        <w:rPr>
          <w:rFonts w:eastAsia="'宋体"/>
          <w:lang w:eastAsia="zh-CN"/>
        </w:rPr>
        <w:t>(a)</w:t>
      </w:r>
      <w:r>
        <w:rPr/>
        <w:t>(i)</w:t>
        <w:tab/>
      </w:r>
      <w:r>
        <w:rPr>
          <w:b/>
          <w:i/>
        </w:rPr>
        <w:t>How would be the connection of a Network to a Pooling Point in Hong Kong fall to be examined or categorised under the telecoms regulatory regime in Hong Kong?</w:t>
      </w:r>
    </w:p>
    <w:p>
      <w:pPr>
        <w:pStyle w:val="BodyText2"/>
        <w:rPr>
          <w:b/>
          <w:i/>
          <w:i/>
        </w:rPr>
      </w:pPr>
      <w:r>
        <w:rPr/>
        <w:t xml:space="preserve">The categorisation of connection of a Network to a Pooling Point in Hong Kong under the telecoms regulatory regime in Hong Kong would vary depending on the nature of the connection and the relevant Network.  For example, if the Network is in fact a telecommunications system or service in its own right, the connection to the Pooling Point may be categorised as the interconnection of one means of telecommunication with another, which would be regulated under section 36A of the Telecommunication Ordinance, which confers upon the TA the power to regulate the terms and conditions of interconnection in Hong Kong.  On the other hand if, for example, the Network is in fact simply telecommunication equipment, the connection to the Pooling Point might be regarded </w:t>
      </w:r>
      <w:r>
        <w:rPr>
          <w:rFonts w:eastAsia="'宋体"/>
          <w:lang w:eastAsia="zh-CN"/>
        </w:rPr>
        <w:t xml:space="preserve">simply </w:t>
      </w:r>
      <w:r>
        <w:rPr/>
        <w:t xml:space="preserve">as the connection of telecommunications equipment </w:t>
      </w:r>
      <w:r>
        <w:rPr>
          <w:rFonts w:eastAsia="'宋体"/>
          <w:lang w:eastAsia="zh-CN"/>
        </w:rPr>
        <w:t xml:space="preserve">to the Pooling Point </w:t>
      </w:r>
      <w:r>
        <w:rPr/>
        <w:t xml:space="preserve">which </w:t>
      </w:r>
      <w:r>
        <w:rPr>
          <w:rFonts w:eastAsia="'宋体"/>
          <w:lang w:eastAsia="zh-CN"/>
        </w:rPr>
        <w:t xml:space="preserve">may </w:t>
      </w:r>
      <w:r>
        <w:rPr/>
        <w:t xml:space="preserve">be subject to meeting technical requirements </w:t>
      </w:r>
      <w:r>
        <w:rPr>
          <w:rFonts w:eastAsia="'宋体"/>
          <w:lang w:eastAsia="zh-CN"/>
        </w:rPr>
        <w:t>for equipment</w:t>
      </w:r>
      <w:r>
        <w:rPr/>
        <w:t xml:space="preserve">, but not to interconnection regulation. </w:t>
      </w:r>
    </w:p>
    <w:p>
      <w:pPr>
        <w:pStyle w:val="BodyText"/>
        <w:ind w:hanging="794" w:start="1418" w:end="0"/>
        <w:rPr/>
      </w:pPr>
      <w:r>
        <w:rPr>
          <w:rFonts w:eastAsia="'宋体"/>
          <w:lang w:eastAsia="zh-CN"/>
        </w:rPr>
        <w:t>(a)</w:t>
      </w:r>
      <w:r>
        <w:rPr/>
        <w:t>(ii)</w:t>
        <w:tab/>
      </w:r>
      <w:r>
        <w:rPr>
          <w:b/>
          <w:i/>
        </w:rPr>
        <w:t>What forms of telecommunications licences would be required, if and, and how would these be obtained, in respect of the connection of a Network by a Network Operator to a Pooling Point in Hong Kong and would these need to be obtained by either the Network Operator concerned and/or the Pooling Point Developer?</w:t>
      </w:r>
    </w:p>
    <w:p>
      <w:pPr>
        <w:pStyle w:val="BodyText"/>
        <w:ind w:hanging="794" w:start="1418" w:end="0"/>
        <w:rPr/>
      </w:pPr>
      <w:r>
        <w:rPr>
          <w:b/>
          <w:i/>
        </w:rPr>
        <w:tab/>
      </w:r>
      <w:r>
        <w:rPr/>
        <w:t>Please see paragraph (a)(iii) below.</w:t>
      </w:r>
    </w:p>
    <w:p>
      <w:pPr>
        <w:pStyle w:val="BodyText"/>
        <w:keepNext w:val="true"/>
        <w:ind w:hanging="794" w:start="1418" w:end="0"/>
        <w:rPr/>
      </w:pPr>
      <w:r>
        <w:rPr>
          <w:rFonts w:eastAsia="'宋体"/>
          <w:lang w:eastAsia="zh-CN"/>
        </w:rPr>
        <w:t>(a)</w:t>
      </w:r>
      <w:r>
        <w:rPr/>
        <w:t>(iii)</w:t>
        <w:tab/>
      </w:r>
      <w:r>
        <w:rPr>
          <w:b/>
          <w:i/>
        </w:rPr>
        <w:t>Which type of licence would be applicable, if any, e.g., individual licence, class licence or exemption?</w:t>
      </w:r>
    </w:p>
    <w:p>
      <w:pPr>
        <w:pStyle w:val="BodyText2"/>
        <w:keepNext w:val="true"/>
        <w:rPr/>
      </w:pPr>
      <w:r>
        <w:rPr/>
        <w:t xml:space="preserve">If the Network constitutes a means of telecommunications for the purposes of the Telecommunication Ordinance, then the Network Operator would be required to be licensed under the Telecommunication Ordinance, by virtue of establishing or maintaining a means of telecommunication in Hong Kong.  It follows that if the Network does not constitute a means of telecommunications, a licence will not be required.  The form of licence (if required) would depend on the nature of the Network and the services provided by the Network Operator (please see Section 1A of this Report).  </w:t>
      </w:r>
    </w:p>
    <w:p>
      <w:pPr>
        <w:pStyle w:val="BodyText2"/>
        <w:rPr/>
      </w:pPr>
      <w:r>
        <w:rPr/>
        <w:t>If a telecommunication licence is required, the Network Operator would need to be registered under the Companies Ordinance as an oversea company (if it was not incorporated in Hong Kong) or a company incorporated in Hong Kong.</w:t>
      </w:r>
    </w:p>
    <w:p>
      <w:pPr>
        <w:pStyle w:val="BodyText2"/>
        <w:rPr/>
      </w:pPr>
      <w:r>
        <w:rPr/>
        <w:t>The physical connection of the Network to the Pooling Point in Hong Kong would not be the subject of a separate licence.  We would expect that the licence of each of the Pooling Point Developer and the Network Operator to permit the connection and the associated services.</w:t>
      </w:r>
    </w:p>
    <w:p>
      <w:pPr>
        <w:pStyle w:val="BodyText"/>
        <w:ind w:hanging="794" w:start="1418" w:end="0"/>
        <w:rPr/>
      </w:pPr>
      <w:r>
        <w:rPr>
          <w:rFonts w:eastAsia="'宋体"/>
          <w:lang w:eastAsia="zh-CN"/>
        </w:rPr>
        <w:t>(b)</w:t>
        <w:tab/>
      </w:r>
      <w:r>
        <w:rPr>
          <w:b/>
          <w:i/>
        </w:rPr>
        <w:t>Which other elements of the telecoms regulatory regime in Hong Kong would effect the connection of a Network by a Network Operator to a Pooling Point in Hong Kong? For example, are there provisions relating to the publication of prices, limitation on prices, access control (third party access), interconnection/interoperability or technical interfacing which would affect such connection</w:t>
      </w:r>
      <w:r>
        <w:rPr/>
        <w:t xml:space="preserve"> </w:t>
      </w:r>
      <w:r>
        <w:rPr>
          <w:b/>
          <w:i/>
        </w:rPr>
        <w:t>of a Network by a Network Operator to a Pooling Point in Hong Kong?</w:t>
      </w:r>
    </w:p>
    <w:p>
      <w:pPr>
        <w:pStyle w:val="BodyText"/>
        <w:ind w:hanging="794" w:start="1418" w:end="0"/>
        <w:rPr/>
      </w:pPr>
      <w:r>
        <w:rPr/>
        <w:tab/>
        <w:t>As described in Section 1A(b) above, telecommunication equipment may be required to meet relevant technical specifications.</w:t>
        <w:tab/>
      </w:r>
    </w:p>
    <w:p>
      <w:pPr>
        <w:pStyle w:val="BodyText"/>
        <w:ind w:hanging="794" w:start="1418" w:end="0"/>
        <w:rPr/>
      </w:pPr>
      <w:r>
        <w:rPr/>
        <w:tab/>
        <w:t>We would expect the issues mentioned in Section 3B(b) above to be specific obligations of the conditions set out in the Network Operator's and/or the Pooling Point Developer's telecommunications licences.  Please see above Section 3A(d)(iii) for a summary of potential PNETS licence conditions.  With the exception of any special conditions imposed by the TA under such licences, there are no other general telecommunications regulatory requirements in Hong Kong which would affect the connection of a Network by a Network Operator to a Pooling Point in Hong Kong.</w:t>
      </w:r>
    </w:p>
    <w:p>
      <w:pPr>
        <w:pStyle w:val="BodyText"/>
        <w:ind w:hanging="794" w:start="1418" w:end="0"/>
        <w:rPr/>
      </w:pPr>
      <w:r>
        <w:rPr>
          <w:rFonts w:eastAsia="'宋体"/>
          <w:lang w:eastAsia="zh-CN"/>
        </w:rPr>
        <w:t>(c)</w:t>
      </w:r>
      <w:r>
        <w:rPr/>
        <w:t>(i)</w:t>
        <w:tab/>
      </w:r>
      <w:r>
        <w:rPr>
          <w:b/>
          <w:i/>
        </w:rPr>
        <w:t>If different licences are necessary for those who operate Networks as opposed to those who merely provide services over those Networks in Hong Kong, into which such category or categories would a Network Operator and/or Pooling Point Developer fall in respect of the connection of a Network to a Pooling Point?</w:t>
      </w:r>
    </w:p>
    <w:p>
      <w:pPr>
        <w:pStyle w:val="Normal"/>
        <w:ind w:hanging="1418" w:start="1418" w:end="0"/>
        <w:rPr/>
      </w:pPr>
      <w:r>
        <w:rPr/>
        <w:tab/>
        <w:t>As mentioned above in Section 1A(c)(i), although the regulatory regime in Hong Kong does, for certain purposes, distinguish between the provision of facilities and the provision of services, this distinction is not particularly relevant to your question since licensees who operate facilities in practice will also be authorized to provide services relevant to those facilities and within the scope of the particular licence.</w:t>
      </w:r>
    </w:p>
    <w:p>
      <w:pPr>
        <w:pStyle w:val="Normal"/>
        <w:ind w:start="1418" w:end="0"/>
        <w:rPr/>
      </w:pPr>
      <w:r>
        <w:rPr/>
        <w:t>In Section 3B(a)(iii) above, we noted that the physical connection of a Network to a Pooling Point would not be the subject of a separate licence; rather, we would expect that the licence of each of the Pooling Point Developer and the Network Operator (assuming the Network Operator requires a telecommunications licence) to permit the connection and the associated services.  We have dealt with the licensing of the Pooling Point Developer in our responses in Section 3A and of the Network Operator in Section 3B(a) and (b).</w:t>
      </w:r>
    </w:p>
    <w:p>
      <w:pPr>
        <w:pStyle w:val="BodyText"/>
        <w:ind w:hanging="794" w:start="1418" w:end="0"/>
        <w:rPr/>
      </w:pPr>
      <w:r>
        <w:rPr>
          <w:rFonts w:eastAsia="'宋体"/>
          <w:lang w:eastAsia="zh-CN"/>
        </w:rPr>
        <w:t>(c)</w:t>
      </w:r>
      <w:r>
        <w:rPr/>
        <w:t>(ii)</w:t>
        <w:tab/>
      </w:r>
      <w:r>
        <w:rPr>
          <w:b/>
          <w:i/>
        </w:rPr>
        <w:t>Is the above position in Section 3B(c)(i) altered, and if so, how, if the ownership of the Network and the operation of it are not done by one and the same entity?</w:t>
      </w:r>
    </w:p>
    <w:p>
      <w:pPr>
        <w:pStyle w:val="BodyText"/>
        <w:ind w:hanging="794" w:start="1418" w:end="0"/>
        <w:rPr/>
      </w:pPr>
      <w:r>
        <w:rPr/>
        <w:tab/>
        <w:t>If the ownership and operation of the Network are not done by one and the same entity, it may be necessary for each relevant entity to be licensed (assuming that the Network constitutes a means of telecommunication).  The Telecommunication Ordinance requires a person who establishes or maintains any means of telecommunication in Hong Kong to be licensed.  While a passive owner may not be "maintaining" the means of telecommunication, the owner may be regarded as having "established" a means of telecommunication.  In practice, we think it is unlikely that the TA would require a passive owner of a means of telecommunication to be licensed if there were another entity which operated (i.e. "maintained") the means of telecommunication and which was properly licensed.  However, this would need to be clarified with OFTA.</w:t>
      </w:r>
    </w:p>
    <w:p>
      <w:pPr>
        <w:pStyle w:val="BodyText"/>
        <w:ind w:hanging="794" w:start="1418" w:end="0"/>
        <w:rPr/>
      </w:pPr>
      <w:r>
        <w:rPr>
          <w:rFonts w:eastAsia="'宋体"/>
          <w:lang w:eastAsia="zh-CN"/>
        </w:rPr>
        <w:t>(d)</w:t>
        <w:tab/>
      </w:r>
      <w:r>
        <w:rPr>
          <w:b/>
          <w:i/>
        </w:rPr>
        <w:t>Would any other form of licences, permits, consents or other governmental approvals be required in Hong Kong in order for a Network Operator to establish and/or own and/or operate a Network in Hong Kong? If so, please describe.</w:t>
      </w:r>
    </w:p>
    <w:p>
      <w:pPr>
        <w:pStyle w:val="BodyText2"/>
        <w:rPr/>
      </w:pPr>
      <w:r>
        <w:rPr/>
        <w:t>There are numerous licences, permits, consents and approvals that Network Operators would require (in addition to their telecommunications licence), depending on the nature as the Network.  For example, if construction of network infrastructure were required, additional licences, permits, consents an approvals would include, but not be limited to:</w:t>
      </w:r>
    </w:p>
    <w:p>
      <w:pPr>
        <w:pStyle w:val="BodyText2"/>
        <w:numPr>
          <w:ilvl w:val="0"/>
          <w:numId w:val="30"/>
        </w:numPr>
        <w:ind w:hanging="720" w:start="2137" w:end="0"/>
        <w:rPr/>
      </w:pPr>
      <w:r>
        <w:rPr/>
        <w:t>A "block licence" from the Lands Department giving the legal right to lay cable ducts, install cables and to operate, maintain and relay the same on Government land throughout Hong Kong;</w:t>
      </w:r>
    </w:p>
    <w:p>
      <w:pPr>
        <w:pStyle w:val="BodyText2"/>
        <w:numPr>
          <w:ilvl w:val="0"/>
          <w:numId w:val="30"/>
        </w:numPr>
        <w:ind w:hanging="720" w:start="2137" w:end="0"/>
        <w:rPr/>
      </w:pPr>
      <w:r>
        <w:rPr/>
        <w:t>Planning permission from the Town Planning Board;</w:t>
      </w:r>
    </w:p>
    <w:p>
      <w:pPr>
        <w:pStyle w:val="BodyText2"/>
        <w:numPr>
          <w:ilvl w:val="0"/>
          <w:numId w:val="30"/>
        </w:numPr>
        <w:ind w:hanging="720" w:start="2137" w:end="0"/>
        <w:rPr/>
      </w:pPr>
      <w:r>
        <w:rPr/>
        <w:t>As the construction of telecommunication infrastructure is likely to be regarded as "building works" within the meanings of the Buildings Ordinance, certain permits/approvals such as approval of plans, permission to commence works and an occupation permit (for new building) would be required from the Buildings Department;</w:t>
      </w:r>
    </w:p>
    <w:p>
      <w:pPr>
        <w:pStyle w:val="BodyText2"/>
        <w:numPr>
          <w:ilvl w:val="0"/>
          <w:numId w:val="30"/>
        </w:numPr>
        <w:ind w:hanging="720" w:start="2137" w:end="0"/>
        <w:rPr/>
      </w:pPr>
      <w:r>
        <w:rPr/>
        <w:t xml:space="preserve">An excavation permit from the relevant local authority (District Land Office or Highways Department, as the circumstances require); </w:t>
      </w:r>
    </w:p>
    <w:p>
      <w:pPr>
        <w:pStyle w:val="BodyText2"/>
        <w:numPr>
          <w:ilvl w:val="0"/>
          <w:numId w:val="30"/>
        </w:numPr>
        <w:ind w:hanging="720" w:start="2137" w:end="0"/>
        <w:rPr/>
      </w:pPr>
      <w:r>
        <w:rPr/>
        <w:t xml:space="preserve">Grant of rights of way by relevant private land owners (e.g. by means of a licence); </w:t>
      </w:r>
    </w:p>
    <w:p>
      <w:pPr>
        <w:pStyle w:val="BodyText2"/>
        <w:numPr>
          <w:ilvl w:val="0"/>
          <w:numId w:val="30"/>
        </w:numPr>
        <w:ind w:hanging="720" w:start="2137" w:end="0"/>
        <w:rPr/>
      </w:pPr>
      <w:r>
        <w:rPr/>
        <w:t>Where network infrastructure crosses railway lines, consent from the Mass Transit Railway Corporation (for underground) and Kowloon-Canton Railway Corporation (for train) as well as permits from the Lands Department would be required;</w:t>
      </w:r>
    </w:p>
    <w:p>
      <w:pPr>
        <w:pStyle w:val="BodyText2"/>
        <w:numPr>
          <w:ilvl w:val="0"/>
          <w:numId w:val="30"/>
        </w:numPr>
        <w:ind w:hanging="720" w:start="2137" w:end="0"/>
        <w:rPr/>
      </w:pPr>
      <w:r>
        <w:rPr/>
        <w:t>Modification of Government leases</w:t>
      </w:r>
      <w:r>
        <w:rPr>
          <w:rStyle w:val="FootnoteCharacters"/>
          <w:rStyle w:val="FootnoteReference"/>
        </w:rPr>
        <w:footnoteReference w:id="12"/>
      </w:r>
      <w:r>
        <w:rPr/>
        <w:t xml:space="preserve"> if the relevant Government leases do not permit the construction of the network infrastructure;</w:t>
      </w:r>
    </w:p>
    <w:p>
      <w:pPr>
        <w:pStyle w:val="BodyText2"/>
        <w:numPr>
          <w:ilvl w:val="0"/>
          <w:numId w:val="30"/>
        </w:numPr>
        <w:ind w:hanging="720" w:start="2137" w:end="0"/>
        <w:rPr/>
      </w:pPr>
      <w:r>
        <w:rPr/>
        <w:t>If the infrastructure is to be constructed or installed within any "closed area" (i.e., any area of restricted access for the protection of national security or public safety), then consent in writing from the relevant authority should be obtained (e.g. from the Chief Commander of the People's Liberation Army or his delegate, the Commissioner of Police or such other person as specified by the Chief Executive in the relevant order); and</w:t>
      </w:r>
    </w:p>
    <w:p>
      <w:pPr>
        <w:pStyle w:val="BodyText2"/>
        <w:numPr>
          <w:ilvl w:val="0"/>
          <w:numId w:val="30"/>
        </w:numPr>
        <w:ind w:hanging="720" w:start="2137" w:end="0"/>
        <w:rPr/>
      </w:pPr>
      <w:r>
        <w:rPr/>
        <w:t xml:space="preserve">Permits from other government departments may be required for constructing infrastructure within areas such as a country park or other natural conservation area. </w:t>
      </w:r>
    </w:p>
    <w:p>
      <w:pPr>
        <w:pStyle w:val="BodyText"/>
        <w:numPr>
          <w:ilvl w:val="0"/>
          <w:numId w:val="12"/>
        </w:numPr>
        <w:rPr>
          <w:b/>
          <w:i/>
          <w:i/>
        </w:rPr>
      </w:pPr>
      <w:r>
        <w:rPr>
          <w:b/>
          <w:i/>
        </w:rPr>
        <w:t>Would any other form of licences, permits, consents or other governmental approvals be required in Hong Kong in order for a Network Operator to connect a Network owned or operated by it to a Pooling Point located in Hong Kong? If so, please describe.</w:t>
      </w:r>
    </w:p>
    <w:p>
      <w:pPr>
        <w:pStyle w:val="BodyText"/>
        <w:ind w:start="1419" w:end="0"/>
        <w:rPr/>
      </w:pPr>
      <w:r>
        <w:rPr/>
        <w:t>Other than as set out in this Report there are no other licences, permits, consents or other governmental approvals required in order for a Network Operator to connect its Network to a Pooling Point in Hong Kong.</w:t>
      </w:r>
    </w:p>
    <w:p>
      <w:pPr>
        <w:pStyle w:val="BodyText"/>
        <w:numPr>
          <w:ilvl w:val="0"/>
          <w:numId w:val="12"/>
        </w:numPr>
        <w:rPr>
          <w:b/>
          <w:i/>
          <w:i/>
        </w:rPr>
      </w:pPr>
      <w:r>
        <w:rPr>
          <w:b/>
          <w:i/>
        </w:rPr>
        <w:t>For each of the respective situations set out in paragraphs (a) to (e) of this Section 3(B), would a Network Operator and/or a Pooling Point Developer be subject to the rules and regulations of any regulatory body in Hong Kong?  If so, please describe.</w:t>
      </w:r>
    </w:p>
    <w:p>
      <w:pPr>
        <w:pStyle w:val="BodyText"/>
        <w:ind w:start="1419" w:end="0"/>
        <w:rPr/>
      </w:pPr>
      <w:r>
        <w:rPr/>
        <w:t>Yes, the TA via his executive arm, OFTA.  Please see the overview in Section 1A for further details.</w:t>
      </w:r>
    </w:p>
    <w:p>
      <w:pPr>
        <w:pStyle w:val="BodyText"/>
        <w:ind w:hanging="794" w:start="1418" w:end="0"/>
        <w:rPr/>
      </w:pPr>
      <w:r>
        <w:rPr>
          <w:rFonts w:eastAsia="'宋体"/>
          <w:lang w:eastAsia="zh-CN"/>
        </w:rPr>
        <w:t>(g)</w:t>
        <w:tab/>
      </w:r>
      <w:r>
        <w:rPr>
          <w:b/>
          <w:i/>
        </w:rPr>
        <w:t>Would a Network Operator need to be incorporated in, form a branch in, or otherwise be established or have a presence in Hong Kong in order for a Network Operator to establish, own or operate a Network in Hong Kong or for it to connect a Network owned or operated by it to a Pooling Point located in Hong Kong?  If so,</w:t>
      </w:r>
    </w:p>
    <w:p>
      <w:pPr>
        <w:pStyle w:val="BodyText"/>
        <w:rPr/>
      </w:pPr>
      <w:r>
        <w:rPr>
          <w:rFonts w:eastAsia="'宋体"/>
          <w:lang w:eastAsia="zh-CN"/>
        </w:rPr>
        <w:t>(g)</w:t>
      </w:r>
      <w:r>
        <w:rPr/>
        <w:t>(i)</w:t>
        <w:tab/>
      </w:r>
      <w:r>
        <w:rPr>
          <w:b/>
          <w:i/>
        </w:rPr>
        <w:t>Please describe the type of entity concerned; and</w:t>
      </w:r>
    </w:p>
    <w:p>
      <w:pPr>
        <w:pStyle w:val="BodyText"/>
        <w:ind w:hanging="794" w:start="1418" w:end="0"/>
        <w:rPr/>
      </w:pPr>
      <w:r>
        <w:rPr/>
        <w:tab/>
        <w:t>As mentioned in Section 3B(a)(iii), if the Network Operator requires a telecommunication licence, it would need to be registered under the Companies Ordinance, either by being a company incorporated in Hong Kong, or by registering as an oversea company (if it was not incorporated in Hong Kong).</w:t>
      </w:r>
    </w:p>
    <w:p>
      <w:pPr>
        <w:pStyle w:val="BodyText"/>
        <w:ind w:hanging="794" w:start="1418" w:end="0"/>
        <w:rPr/>
      </w:pPr>
      <w:r>
        <w:rPr>
          <w:rFonts w:eastAsia="'宋体"/>
          <w:lang w:eastAsia="zh-CN"/>
        </w:rPr>
        <w:t>(g)</w:t>
      </w:r>
      <w:r>
        <w:rPr/>
        <w:t>(ii)</w:t>
        <w:tab/>
      </w:r>
      <w:r>
        <w:rPr>
          <w:b/>
          <w:i/>
        </w:rPr>
        <w:t xml:space="preserve">Please state whether any of your answers to the questions set out in paragraph 3B(a) to (f), inclusive, would change, and if so, how, in the event that a Network Operator established such entity in Hong Kong. </w:t>
      </w:r>
    </w:p>
    <w:p>
      <w:pPr>
        <w:pStyle w:val="BodyText"/>
        <w:ind w:hanging="794" w:start="1418" w:end="0"/>
        <w:rPr/>
      </w:pPr>
      <w:r>
        <w:rPr>
          <w:b/>
          <w:i/>
        </w:rPr>
        <w:tab/>
      </w:r>
      <w:r>
        <w:rPr/>
        <w:t>None of our answers in Section 3B(a) to (f) would change.</w:t>
      </w:r>
    </w:p>
    <w:p>
      <w:pPr>
        <w:pStyle w:val="Heading2"/>
        <w:ind w:hanging="0" w:start="0"/>
        <w:rPr/>
      </w:pPr>
      <w:bookmarkStart w:id="29" w:name="__RefHeading___Toc470323637"/>
      <w:bookmarkEnd w:id="29"/>
      <w:r>
        <w:rPr/>
        <w:t>Section 3C: Taxation</w:t>
      </w:r>
    </w:p>
    <w:p>
      <w:pPr>
        <w:pStyle w:val="BodyText"/>
        <w:ind w:hanging="794" w:start="1418" w:end="0"/>
        <w:rPr/>
      </w:pPr>
      <w:r>
        <w:rPr>
          <w:rFonts w:eastAsia="'宋体"/>
          <w:lang w:eastAsia="zh-CN"/>
        </w:rPr>
        <w:t>(a)</w:t>
        <w:tab/>
      </w:r>
      <w:r>
        <w:rPr>
          <w:b/>
          <w:i/>
        </w:rPr>
        <w:t>If your answer to Section 3A(g) above is no, nevertheless, would a Pooling Point Developer be deemed to have a branch or establishment in Hong Kong so as to bring such Pooling Point Developer within the scope of taxation in Hong Kong, by virtue of its establishment, ownership, operation or administration of a Pooling Point in Hong Kong?</w:t>
      </w:r>
    </w:p>
    <w:p>
      <w:pPr>
        <w:pStyle w:val="BodyText2"/>
        <w:rPr/>
      </w:pPr>
      <w:r>
        <w:rPr>
          <w:rFonts w:eastAsia="MS Song"/>
          <w:lang w:eastAsia="zh-CN"/>
        </w:rPr>
        <w:t xml:space="preserve">Since the Pooling Point Developer </w:t>
      </w:r>
      <w:r>
        <w:rPr>
          <w:rFonts w:eastAsia="MS Song"/>
          <w:lang w:eastAsia="zh-CN"/>
        </w:rPr>
        <w:t xml:space="preserve">must </w:t>
      </w:r>
      <w:r>
        <w:rPr>
          <w:rFonts w:eastAsia="MS Song"/>
          <w:lang w:eastAsia="zh-CN"/>
        </w:rPr>
        <w:t>either set up a branch or incorporate in Hong Kong</w:t>
      </w:r>
      <w:r>
        <w:rPr>
          <w:rFonts w:eastAsia="MS Song"/>
          <w:lang w:eastAsia="zh-CN"/>
        </w:rPr>
        <w:t>,</w:t>
      </w:r>
      <w:r>
        <w:rPr>
          <w:rFonts w:eastAsia="MS Song"/>
          <w:lang w:eastAsia="zh-CN"/>
        </w:rPr>
        <w:t xml:space="preserve"> </w:t>
      </w:r>
      <w:r>
        <w:rPr>
          <w:rFonts w:eastAsia="MS Song"/>
          <w:lang w:eastAsia="zh-CN"/>
        </w:rPr>
        <w:t xml:space="preserve">it is more likely that it will be </w:t>
      </w:r>
      <w:r>
        <w:rPr>
          <w:lang w:eastAsia="en-US"/>
        </w:rPr>
        <w:t xml:space="preserve">regarded as carrying on a business in Hong Kong and therefore </w:t>
      </w:r>
      <w:r>
        <w:rPr>
          <w:rFonts w:eastAsia="MS Song"/>
          <w:lang w:eastAsia="zh-CN"/>
        </w:rPr>
        <w:t xml:space="preserve">its profits derived from Hong Kong will </w:t>
      </w:r>
      <w:r>
        <w:rPr>
          <w:lang w:eastAsia="en-US"/>
        </w:rPr>
        <w:t>be subject to Hong Kong profits tax.</w:t>
      </w:r>
    </w:p>
    <w:p>
      <w:pPr>
        <w:pStyle w:val="BodyText"/>
        <w:ind w:hanging="794" w:start="1418" w:end="0"/>
        <w:rPr>
          <w:b/>
          <w:i/>
          <w:i/>
          <w:lang w:eastAsia="en-US"/>
        </w:rPr>
      </w:pPr>
      <w:r>
        <w:rPr>
          <w:rFonts w:eastAsia="'宋体"/>
          <w:lang w:eastAsia="zh-CN"/>
        </w:rPr>
        <w:t>(b)</w:t>
        <w:tab/>
      </w:r>
      <w:r>
        <w:rPr>
          <w:b/>
          <w:i/>
        </w:rPr>
        <w:t>If a Pooling Point Developer is incorporated in, or has a branch or other establishment in Hong Kong, or is deemed to be incorporated in or to have a branch or other establishment in Hong Kong, would it be subject to any taxes, duties or levies in Hong Kong in respect of the interconnection facilities between Networks provided by the Pooling Point Developer through the Pooling Point?  You may assume that the Pooling Point Developer will charge fees to parties for the provision of such interconnection facilities.</w:t>
      </w:r>
    </w:p>
    <w:p>
      <w:pPr>
        <w:pStyle w:val="BodyText2"/>
        <w:rPr>
          <w:lang w:eastAsia="en-US"/>
        </w:rPr>
      </w:pPr>
      <w:r>
        <w:rPr>
          <w:lang w:eastAsia="en-US"/>
        </w:rPr>
        <w:t xml:space="preserve">Assuming that the fees charged are sourced in Hong Kong, the risk that such fees are subject to profits tax in Hong Kong will increase, since the Pooling Point Developer is more likely to be regarded as carrying on a business in Hong Kong. </w:t>
      </w:r>
    </w:p>
    <w:p>
      <w:pPr>
        <w:pStyle w:val="BodyText"/>
        <w:ind w:hanging="794" w:start="1418" w:end="0"/>
        <w:rPr/>
      </w:pPr>
      <w:r>
        <w:rPr>
          <w:rFonts w:eastAsia="'宋体"/>
          <w:lang w:eastAsia="zh-CN"/>
        </w:rPr>
        <w:t>(c)</w:t>
        <w:tab/>
      </w:r>
      <w:r>
        <w:rPr>
          <w:b/>
          <w:i/>
        </w:rPr>
        <w:t>If a Pooling Point Developer is not incorporated in, and does not have a branch or other establishment in Hong Kong, nor is deemed to be incorporated in, or to have a branch or other establishment in Hong Kong, would it be subject to any taxes, duties or levies in Hong Kong payable in respect of the interconnection facilities between Networks provided by the Pooling Point Developer through the Pooling Point?  You may assume that the Pooling Point Developer will charge fees to parties for the provision of such interconnection facilities.</w:t>
      </w:r>
    </w:p>
    <w:p>
      <w:pPr>
        <w:pStyle w:val="BodyText2"/>
        <w:rPr/>
      </w:pPr>
      <w:r>
        <w:rPr/>
        <w:t>Not applicable, as the Pooling Point Developer must either set up a branch or incorporate in Hong Kong.</w:t>
      </w:r>
    </w:p>
    <w:p>
      <w:pPr>
        <w:pStyle w:val="BodyText"/>
        <w:ind w:hanging="794" w:start="1418" w:end="0"/>
        <w:rPr/>
      </w:pPr>
      <w:r>
        <w:rPr>
          <w:rFonts w:eastAsia="'宋体"/>
          <w:lang w:eastAsia="zh-CN"/>
        </w:rPr>
        <w:t>(d)</w:t>
        <w:tab/>
      </w:r>
      <w:r>
        <w:rPr>
          <w:b/>
          <w:i/>
        </w:rPr>
        <w:t>If the answer to Section 3B(g) above is no, nevertheless, would a Network Operator be deemed to have a branch or establishment in Hong Kong either by virtue of establishing, owning or operating a Network in Hong Kong or by virtue of connecting a Network to a Pooling Point in Hong Kong, so as to bring such Network Operator within the scope of taxation in Hong Kong?</w:t>
      </w:r>
    </w:p>
    <w:p>
      <w:pPr>
        <w:pStyle w:val="BodyText2"/>
        <w:rPr/>
      </w:pPr>
      <w:r>
        <w:rPr>
          <w:rFonts w:eastAsia="MS Song"/>
          <w:lang w:eastAsia="zh-CN"/>
        </w:rPr>
        <w:t xml:space="preserve">Since the Network Operator </w:t>
      </w:r>
      <w:r>
        <w:rPr>
          <w:rFonts w:eastAsia="MS Song"/>
          <w:lang w:eastAsia="zh-CN"/>
        </w:rPr>
        <w:t xml:space="preserve">must </w:t>
      </w:r>
      <w:r>
        <w:rPr>
          <w:rFonts w:eastAsia="MS Song"/>
          <w:lang w:eastAsia="zh-CN"/>
        </w:rPr>
        <w:t>either set up a branch or incorporate in Hong Kong</w:t>
      </w:r>
      <w:r>
        <w:rPr>
          <w:rFonts w:eastAsia="MS Song"/>
          <w:lang w:eastAsia="zh-CN"/>
        </w:rPr>
        <w:t>,</w:t>
      </w:r>
      <w:r>
        <w:rPr>
          <w:rFonts w:eastAsia="MS Song"/>
          <w:lang w:eastAsia="zh-CN"/>
        </w:rPr>
        <w:t xml:space="preserve"> </w:t>
      </w:r>
      <w:r>
        <w:rPr>
          <w:rFonts w:eastAsia="MS Song"/>
          <w:lang w:eastAsia="zh-CN"/>
        </w:rPr>
        <w:t xml:space="preserve">it is more likely that it will be </w:t>
      </w:r>
      <w:r>
        <w:rPr>
          <w:lang w:eastAsia="en-US"/>
        </w:rPr>
        <w:t xml:space="preserve">regarded as carrying on a business in Hong Kong and therefore </w:t>
      </w:r>
      <w:r>
        <w:rPr>
          <w:rFonts w:eastAsia="MS Song"/>
          <w:lang w:eastAsia="zh-CN"/>
        </w:rPr>
        <w:t xml:space="preserve">its profits derived from Hong Kong will </w:t>
      </w:r>
      <w:r>
        <w:rPr>
          <w:lang w:eastAsia="en-US"/>
        </w:rPr>
        <w:t>be subject to Hong Kong profits tax.</w:t>
      </w:r>
    </w:p>
    <w:p>
      <w:pPr>
        <w:pStyle w:val="BodyText"/>
        <w:ind w:hanging="794" w:start="1418" w:end="0"/>
        <w:rPr/>
      </w:pPr>
      <w:r>
        <w:rPr>
          <w:rFonts w:eastAsia="'宋体"/>
          <w:lang w:eastAsia="zh-CN"/>
        </w:rPr>
        <w:t>(e)</w:t>
        <w:tab/>
      </w:r>
      <w:r>
        <w:rPr>
          <w:b/>
          <w:i/>
        </w:rPr>
        <w:t>If a Network Operator is incorporated in or has a branch or other establishment in Hong Kong, or is deemed to be incorporated in or to have a branch or other establishment in Hong Kong, would it be subject to any taxes, duties or levies payable in Hong Kong in respect of connection of a Network owned or operated by it to a Pooling Point in Hong Kong?</w:t>
      </w:r>
    </w:p>
    <w:p>
      <w:pPr>
        <w:pStyle w:val="BodyText2"/>
        <w:rPr>
          <w:lang w:eastAsia="en-US"/>
        </w:rPr>
      </w:pPr>
      <w:r>
        <w:rPr>
          <w:lang w:eastAsia="en-US"/>
        </w:rPr>
        <w:t>Assuming that the Network Operator charges a fee in relation to the connection of the Network to a Pooling Point in Hong Kong and assuming that the fee is regarded as a profit sourced in Hong Kong, the chance that such fee is chargeable to profits tax is higher since the Network Operator is more likely to be regarded as carrying on a business in Hong Kong.</w:t>
      </w:r>
    </w:p>
    <w:p>
      <w:pPr>
        <w:pStyle w:val="BodyText"/>
        <w:ind w:hanging="794" w:start="1418" w:end="0"/>
        <w:rPr/>
      </w:pPr>
      <w:r>
        <w:rPr>
          <w:rFonts w:eastAsia="'宋体"/>
          <w:lang w:eastAsia="zh-CN"/>
        </w:rPr>
        <w:t>(f)</w:t>
        <w:tab/>
      </w:r>
      <w:r>
        <w:rPr>
          <w:b/>
          <w:i/>
        </w:rPr>
        <w:t xml:space="preserve">If a Network Operator is not incorporated in, and does not have a branch or other establishment in Hong Kong, nor is deemed to be incorporated in, or to have a branch or other establishment in Hong Kong, would it be subject to any taxes, duties or levies payable in Hong Kong in respect of the connection of a Network owned or operated by it to a Pooling Point in Hong Kong? </w:t>
      </w:r>
    </w:p>
    <w:p>
      <w:pPr>
        <w:sectPr>
          <w:headerReference w:type="default" r:id="rId16"/>
          <w:headerReference w:type="first" r:id="rId17"/>
          <w:footerReference w:type="default" r:id="rId18"/>
          <w:footerReference w:type="first" r:id="rId19"/>
          <w:footnotePr>
            <w:numFmt w:val="decimal"/>
          </w:footnotePr>
          <w:type w:val="nextPage"/>
          <w:pgSz w:w="11906" w:h="16838"/>
          <w:pgMar w:left="1701" w:right="1701" w:gutter="0" w:header="720" w:top="1440" w:footer="567" w:bottom="1134"/>
          <w:pgNumType w:start="59" w:fmt="decimal"/>
          <w:formProt w:val="false"/>
          <w:textDirection w:val="lrTb"/>
          <w:docGrid w:type="default" w:linePitch="360" w:charSpace="0"/>
        </w:sectPr>
        <w:pStyle w:val="BodyText2"/>
        <w:rPr/>
      </w:pPr>
      <w:r>
        <w:rPr/>
        <w:t>Not applicable, as the Network Operator must either set up a branch or incorporate in Hong Kong.</w:t>
      </w:r>
    </w:p>
    <w:p>
      <w:pPr>
        <w:pStyle w:val="Heading1"/>
        <w:ind w:hanging="0" w:start="0"/>
        <w:rPr/>
      </w:pPr>
      <w:bookmarkStart w:id="30" w:name="__RefHeading___Toc470323638"/>
      <w:r>
        <w:rPr/>
        <w:t>SECTION 4: TRANSACTIONS OVER A SEGMENT BETWEEN POOLING POINTS, EITHER OR BOTH OF WHICH MAY BE LOCATED IN HONG KONG</w:t>
      </w:r>
      <w:bookmarkEnd w:id="30"/>
      <w:r>
        <w:rPr/>
        <w:t xml:space="preserve"> </w:t>
      </w:r>
    </w:p>
    <w:p>
      <w:pPr>
        <w:pStyle w:val="BodyText"/>
        <w:rPr/>
      </w:pPr>
      <w:r>
        <w:rPr/>
        <w:t>ECI has asked us to assume for the purposes of this section, that the Segment which is the subject of a Transaction is between either:</w:t>
      </w:r>
    </w:p>
    <w:p>
      <w:pPr>
        <w:pStyle w:val="ListAlpha2"/>
        <w:numPr>
          <w:ilvl w:val="0"/>
          <w:numId w:val="44"/>
        </w:numPr>
        <w:tabs>
          <w:tab w:val="left" w:pos="50" w:leader="none"/>
          <w:tab w:val="left" w:pos="1344" w:leader="none"/>
        </w:tabs>
        <w:ind w:hanging="720" w:start="1344" w:end="0"/>
        <w:rPr/>
      </w:pPr>
      <w:r>
        <w:rPr/>
        <w:t xml:space="preserve">a Pooling Point located outside of Hong Kong (e.g., in New York City) and a Pooling Point located in Hong Kong; or </w:t>
      </w:r>
    </w:p>
    <w:p>
      <w:pPr>
        <w:pStyle w:val="ListAlpha2"/>
        <w:numPr>
          <w:ilvl w:val="0"/>
          <w:numId w:val="44"/>
        </w:numPr>
        <w:tabs>
          <w:tab w:val="left" w:pos="50" w:leader="none"/>
          <w:tab w:val="left" w:pos="1344" w:leader="none"/>
        </w:tabs>
        <w:ind w:hanging="720" w:start="1344" w:end="0"/>
        <w:rPr/>
      </w:pPr>
      <w:r>
        <w:rPr/>
        <w:t xml:space="preserve">Pooling Points, each of which is located in Hong Kong; and </w:t>
      </w:r>
    </w:p>
    <w:p>
      <w:pPr>
        <w:pStyle w:val="ListAlpha2"/>
        <w:numPr>
          <w:ilvl w:val="0"/>
          <w:numId w:val="44"/>
        </w:numPr>
        <w:tabs>
          <w:tab w:val="left" w:pos="50" w:leader="none"/>
          <w:tab w:val="left" w:pos="1344" w:leader="none"/>
        </w:tabs>
        <w:ind w:hanging="720" w:start="1344" w:end="0"/>
        <w:rPr/>
      </w:pPr>
      <w:r>
        <w:rPr/>
        <w:t>that one of two scenarios exists:</w:t>
      </w:r>
    </w:p>
    <w:p>
      <w:pPr>
        <w:pStyle w:val="squarebullet"/>
        <w:numPr>
          <w:ilvl w:val="0"/>
          <w:numId w:val="33"/>
        </w:numPr>
        <w:tabs>
          <w:tab w:val="clear" w:pos="720"/>
          <w:tab w:val="left" w:pos="1704" w:leader="none"/>
        </w:tabs>
        <w:ind w:hanging="360" w:start="1704" w:end="0"/>
        <w:rPr/>
      </w:pPr>
      <w:r>
        <w:rPr/>
        <w:t xml:space="preserve">in the first instance, that neither of the buyer and seller in respect of such Transaction is incorporated in, or has a branch or other establishment in Hong Kong, nor is deemed to have a branch or other establishment or presence in Hong Kong; and </w:t>
      </w:r>
    </w:p>
    <w:p>
      <w:pPr>
        <w:pStyle w:val="squarebullet"/>
        <w:numPr>
          <w:ilvl w:val="0"/>
          <w:numId w:val="33"/>
        </w:numPr>
        <w:tabs>
          <w:tab w:val="clear" w:pos="720"/>
          <w:tab w:val="left" w:pos="1704" w:leader="none"/>
        </w:tabs>
        <w:ind w:hanging="360" w:start="1704" w:end="0"/>
        <w:rPr/>
      </w:pPr>
      <w:r>
        <w:rPr/>
        <w:t>secondly, that either or both of the buyer and seller in respect of such Transaction is incorporated in, or has a branch or other establishment in Hong Kong.</w:t>
      </w:r>
    </w:p>
    <w:p>
      <w:pPr>
        <w:pStyle w:val="BodyText"/>
        <w:ind w:hanging="794" w:start="1418" w:end="0"/>
        <w:rPr/>
      </w:pPr>
      <w:r>
        <w:rPr>
          <w:rFonts w:eastAsia="'宋体"/>
          <w:lang w:eastAsia="zh-CN"/>
        </w:rPr>
        <w:t>(a)</w:t>
        <w:tab/>
      </w:r>
      <w:r>
        <w:rPr>
          <w:b/>
          <w:i/>
        </w:rPr>
        <w:t>In respect of each of the various permutations set out in the above assumptions, would  your answers to any of the questions set out in Sections 1 and 2 of this Memorandum change in any respect and, if so, how? Please describe.</w:t>
      </w:r>
    </w:p>
    <w:p>
      <w:pPr>
        <w:pStyle w:val="Normal"/>
        <w:ind w:start="1418" w:end="0"/>
        <w:rPr/>
      </w:pPr>
      <w:r>
        <w:rPr/>
        <w:t>While our answers to the questions set out in Sections 1 and 2 do not expressly deal with the permutations set out in the above assumptions, we believe that our responses to the questions in Sections 1 and 2 and the issues raised are also of application to the scenarios described in the above assumptions.  Therefore, other than the comments set out below, our answers to the questions set out in Sections 1 and 2 would not change.</w:t>
      </w:r>
    </w:p>
    <w:p>
      <w:pPr>
        <w:pStyle w:val="Normal"/>
        <w:ind w:start="1418" w:end="0"/>
        <w:rPr>
          <w:b/>
          <w:i/>
          <w:i/>
        </w:rPr>
      </w:pPr>
      <w:r>
        <w:rPr>
          <w:b/>
          <w:i/>
        </w:rPr>
        <w:t>Application of Local Contracts-Related Legislation</w:t>
      </w:r>
    </w:p>
    <w:p>
      <w:pPr>
        <w:pStyle w:val="Normal"/>
        <w:ind w:start="1418" w:end="0"/>
        <w:rPr/>
      </w:pPr>
      <w:r>
        <w:rPr/>
        <w:t>The above permutations may have an impact upon whether the Transaction would be deemed to be an international supply contract under the terms of the CECO.  However, as we described in Section 1C(a)(ii), paragraph (iii) above, this would depend largely upon whether Bandwidth would be deemed to be "goods" and upon whether the trading of Bandwidth would fall out side of the definition of "international supply contract" in the event that there is no physical delivery of Bandwidth.  In any case, we have considered the Transaction in light of all of the legislation which could apply regardless of whether such Transaction would fall within or outside of any relevant exemptions (such as that for international supply contracts under the CECO).  Our answers to the questions would not therefore change substantially in view of the above permutations.</w:t>
      </w:r>
    </w:p>
    <w:p>
      <w:pPr>
        <w:pStyle w:val="BodyText2"/>
        <w:rPr>
          <w:b/>
          <w:i/>
          <w:i/>
        </w:rPr>
      </w:pPr>
      <w:r>
        <w:rPr>
          <w:b/>
          <w:i/>
        </w:rPr>
        <w:t>Taxation</w:t>
      </w:r>
    </w:p>
    <w:p>
      <w:pPr>
        <w:pStyle w:val="BodyText2"/>
        <w:rPr/>
      </w:pPr>
      <w:r>
        <w:rPr/>
        <w:t>Assuming that the Inland Revenue adopts the view that the sale and purchase of Bandwidth is a provision of services, there should not be any difference in our answer to Question H of Section 1 under any of the permutations set out in the above assumptions.</w:t>
      </w:r>
    </w:p>
    <w:p>
      <w:pPr>
        <w:pStyle w:val="Normal"/>
        <w:ind w:start="1418" w:end="0"/>
        <w:rPr/>
      </w:pPr>
      <w:r>
        <w:rPr/>
        <w:t>Where the purchase and sale of Bandwidth is regarded as a purchase and sale of rental rights and when one or both of the pooling points are located inside Hong Kong, this may bring the Segment onshore in Hong Kong.  As a result, income derived from the Transactions may be regarded as having a source in Hong Kong.  Under these circumstances the exposure to Hong Kong profits tax will rise significantly in relation to scenarios (ii), (iv) and (v) referred to in Section 1H.  Technically, the Seller in scenario (iii) and ECI in scenario (vi) referred to in Section 1H may be exposed to Hong Kong profits tax.  However due to the lack of a withholding requirement in the Hong Kong tax legislation under the circumstances, the collection of taxes may be difficult to enforce.  The advice given in relation to scenario (i) remains.</w:t>
      </w:r>
    </w:p>
    <w:p>
      <w:pPr>
        <w:pStyle w:val="BodyText"/>
        <w:ind w:hanging="794" w:start="1418" w:end="0"/>
        <w:rPr/>
      </w:pPr>
      <w:r>
        <w:rPr>
          <w:rFonts w:eastAsia="CG Times"/>
          <w:lang w:eastAsia="zh-CN"/>
        </w:rPr>
        <w:t xml:space="preserve"> </w:t>
      </w:r>
      <w:r>
        <w:rPr>
          <w:rFonts w:eastAsia="'宋体"/>
          <w:lang w:eastAsia="zh-CN"/>
        </w:rPr>
        <w:t>(b)</w:t>
        <w:tab/>
      </w:r>
      <w:r>
        <w:rPr>
          <w:b/>
          <w:i/>
        </w:rPr>
        <w:t>Does the telecoms licensing regime in Hong Kong distinguish, in any respect, between domestic operations and operations involving other territories and, if so, how?</w:t>
      </w:r>
    </w:p>
    <w:p>
      <w:pPr>
        <w:pStyle w:val="BodyText2"/>
        <w:rPr/>
      </w:pPr>
      <w:r>
        <w:rPr/>
        <w:t>The telecommunications licensing regime in Hong Kong applies (relevantly) to the establishment or maintenance of any means of telecommunication</w:t>
      </w:r>
      <w:r>
        <w:rPr>
          <w:i/>
        </w:rPr>
        <w:t xml:space="preserve"> in Hong Kong</w:t>
      </w:r>
      <w:r>
        <w:rPr/>
        <w:t>.  As mentioned in Section 1A overview, the regulatory regime covers external telecommunications (communication with places outside Hong Kong), but from the perspective of the Hong Kong end.</w:t>
      </w:r>
    </w:p>
    <w:p>
      <w:pPr>
        <w:pStyle w:val="RightTab"/>
        <w:ind w:start="624" w:end="0"/>
        <w:rPr/>
      </w:pPr>
      <w:r>
        <w:rPr/>
      </w:r>
    </w:p>
    <w:p>
      <w:pPr>
        <w:pStyle w:val="Normal"/>
        <w:spacing w:before="0" w:after="0"/>
        <w:rPr>
          <w:b/>
        </w:rPr>
      </w:pPr>
      <w:r>
        <w:rPr>
          <w:b/>
        </w:rPr>
        <w:t>Clifford Chance</w:t>
      </w:r>
    </w:p>
    <w:p>
      <w:pPr>
        <w:sectPr>
          <w:headerReference w:type="default" r:id="rId20"/>
          <w:headerReference w:type="first" r:id="rId21"/>
          <w:footerReference w:type="default" r:id="rId22"/>
          <w:footerReference w:type="first" r:id="rId23"/>
          <w:footnotePr>
            <w:numFmt w:val="decimal"/>
          </w:footnotePr>
          <w:type w:val="nextPage"/>
          <w:pgSz w:w="11906" w:h="16838"/>
          <w:pgMar w:left="1701" w:right="1701" w:gutter="0" w:header="720" w:top="1440" w:footer="567" w:bottom="1134"/>
          <w:pgNumType w:start="74" w:fmt="decimal"/>
          <w:formProt w:val="false"/>
          <w:textDirection w:val="lrTb"/>
          <w:docGrid w:type="default" w:linePitch="360" w:charSpace="0"/>
        </w:sectPr>
        <w:pStyle w:val="Normal"/>
        <w:rPr>
          <w:b/>
        </w:rPr>
      </w:pPr>
      <w:r>
        <w:rPr>
          <w:b/>
        </w:rPr>
        <w:t xml:space="preserve">20 December 1999 </w:t>
      </w:r>
    </w:p>
    <w:p>
      <w:pPr>
        <w:pStyle w:val="Heading1"/>
        <w:numPr>
          <w:ilvl w:val="0"/>
          <w:numId w:val="0"/>
        </w:numPr>
        <w:ind w:hanging="0" w:start="0"/>
        <w:jc w:val="center"/>
        <w:rPr>
          <w:sz w:val="22"/>
        </w:rPr>
      </w:pPr>
      <w:bookmarkStart w:id="31" w:name="__RefHeading___Toc470323639"/>
      <w:bookmarkEnd w:id="31"/>
      <w:r>
        <w:rPr>
          <w:sz w:val="22"/>
        </w:rPr>
        <w:t>ANNEX</w:t>
      </w:r>
    </w:p>
    <w:p>
      <w:pPr>
        <w:pStyle w:val="Normal"/>
        <w:jc w:val="center"/>
        <w:rPr>
          <w:b/>
          <w:u w:val="single"/>
          <w:lang w:val="en-US"/>
        </w:rPr>
      </w:pPr>
      <w:r>
        <w:rPr>
          <w:b/>
          <w:u w:val="single"/>
          <w:lang w:val="en-US"/>
        </w:rPr>
        <w:t>ENRON COMMUNICATIONS, INC.</w:t>
      </w:r>
    </w:p>
    <w:p>
      <w:pPr>
        <w:pStyle w:val="Normal"/>
        <w:jc w:val="center"/>
        <w:rPr>
          <w:b/>
          <w:u w:val="single"/>
          <w:lang w:val="en-US"/>
        </w:rPr>
      </w:pPr>
      <w:r>
        <w:rPr>
          <w:b/>
          <w:u w:val="single"/>
          <w:lang w:val="en-US"/>
        </w:rPr>
        <w:t>SURVEY OF THE LAWS OF HONG KONG REGARDING TRADING OF BANDWIDTH AND ESTABLISHMENT OF BANDWIDTH POOLING POINTS</w:t>
      </w:r>
    </w:p>
    <w:p>
      <w:pPr>
        <w:pStyle w:val="Normal"/>
        <w:rPr>
          <w:lang w:val="en-US"/>
        </w:rPr>
      </w:pPr>
      <w:r>
        <w:rPr>
          <w:lang w:val="en-US"/>
        </w:rPr>
        <w:t>Enron Communications, Inc. (“ECI”) requests you to provide them with an estimate of your fees and charges and basis therefor that would be incurred in providing them with answers responding to the questions set forth below.</w:t>
      </w:r>
    </w:p>
    <w:p>
      <w:pPr>
        <w:pStyle w:val="Normal"/>
        <w:rPr>
          <w:b/>
          <w:u w:val="single"/>
          <w:lang w:val="en-US"/>
        </w:rPr>
      </w:pPr>
      <w:r>
        <w:rPr>
          <w:b/>
          <w:u w:val="single"/>
          <w:lang w:val="en-US"/>
        </w:rPr>
        <w:t>Glossary of terms used in this Memorandum</w:t>
      </w:r>
    </w:p>
    <w:p>
      <w:pPr>
        <w:pStyle w:val="Normal"/>
        <w:rPr>
          <w:lang w:val="en-US"/>
        </w:rPr>
      </w:pPr>
      <w:r>
        <w:rPr>
          <w:lang w:val="en-US"/>
        </w:rPr>
        <w:t xml:space="preserve">In this questionnaire, the following words bear the following meanings: </w:t>
      </w:r>
    </w:p>
    <w:p>
      <w:pPr>
        <w:pStyle w:val="Normal"/>
        <w:rPr>
          <w:lang w:val="en-US"/>
        </w:rPr>
      </w:pPr>
      <w:r>
        <w:rPr>
          <w:lang w:val="en-US"/>
        </w:rPr>
        <w:t>“</w:t>
      </w:r>
      <w:r>
        <w:rPr>
          <w:lang w:val="en-US"/>
        </w:rPr>
        <w:t>Bandwidth” means the capacity, measured in Mbps (million bits per second), of an electronically continuous path (e.g., by way of fiber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pPr>
      <w:r>
        <w:rPr/>
        <w:t>“</w:t>
      </w:r>
      <w:r>
        <w:rPr/>
        <w:t>Pooling Point” means a type of telecommunications equipment (and all hardware and software ancillary thereto) either owned and/or operated and/or administered by an entity or entities (which collectively, for ease of reference in this Memorandum, is termed a “Pooling Point Developer”),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lang w:val="en-US"/>
        </w:rPr>
      </w:pPr>
      <w:r>
        <w:rPr>
          <w:lang w:val="en-US"/>
        </w:rPr>
        <w:t>“</w:t>
      </w:r>
      <w:r>
        <w:rPr>
          <w:lang w:val="en-US"/>
        </w:rPr>
        <w:t>Segment” means the electronically continuous path between two geographical reference points (e.g., between two specific addresses one in e.g., New York City and are in London, respectively).</w:t>
      </w:r>
    </w:p>
    <w:p>
      <w:pPr>
        <w:pStyle w:val="Normal"/>
        <w:rPr>
          <w:b/>
        </w:rPr>
      </w:pPr>
      <w:r>
        <w:rPr>
          <w:b/>
        </w:rPr>
        <w:t>Background to ECI and to this Memorandum</w:t>
      </w:r>
    </w:p>
    <w:p>
      <w:pPr>
        <w:pStyle w:val="Normal"/>
        <w:rPr>
          <w:lang w:val="en-US"/>
        </w:rPr>
      </w:pPr>
      <w:r>
        <w:rPr>
          <w:lang w:val="en-US"/>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lang w:val="en-US"/>
        </w:rPr>
      </w:pPr>
      <w:r>
        <w:rPr>
          <w:lang w:val="en-US"/>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lang w:val="en-US"/>
        </w:rPr>
      </w:pPr>
      <w:r>
        <w:rPr>
          <w:lang w:val="en-US"/>
        </w:rPr>
        <w:t>ECI wishes to take your advice concerning transactions into which it wishes to enter for the purchase or sale of Bandwidth respectively from or to entities which have a presence in Hong Kong (see Sections 1, 2 and 4 of this Memorandum below); it also wishes to take your advice concerning the establishment of a physical Bandwidth Pooling Point(s) in Hong Kong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rPr>
          <w:b/>
          <w:lang w:val="en-US"/>
        </w:rPr>
      </w:pPr>
      <w:r>
        <w:rPr>
          <w:b/>
          <w:lang w:val="en-US"/>
        </w:rPr>
        <w:t>Objective of this questionnaire</w:t>
      </w:r>
    </w:p>
    <w:p>
      <w:pPr>
        <w:pStyle w:val="Normal"/>
        <w:rPr>
          <w:lang w:val="en-US"/>
        </w:rPr>
      </w:pPr>
      <w:r>
        <w:rPr>
          <w:lang w:val="en-US"/>
        </w:rPr>
        <w:t>To obtain advice on:</w:t>
      </w:r>
    </w:p>
    <w:p>
      <w:pPr>
        <w:pStyle w:val="Normal"/>
        <w:numPr>
          <w:ilvl w:val="0"/>
          <w:numId w:val="51"/>
        </w:numPr>
        <w:rPr>
          <w:lang w:val="en-US"/>
        </w:rPr>
      </w:pPr>
      <w:r>
        <w:rPr>
          <w:lang w:val="en-US"/>
        </w:rPr>
        <w:t>The telecommunications (“telecoms”) regulatory regime in Hong Kong so far as relevant to the implementation of the Proposal in Hong Kong;</w:t>
      </w:r>
    </w:p>
    <w:p>
      <w:pPr>
        <w:pStyle w:val="Normal"/>
        <w:numPr>
          <w:ilvl w:val="0"/>
          <w:numId w:val="51"/>
        </w:numPr>
        <w:rPr>
          <w:lang w:val="en-US"/>
        </w:rPr>
      </w:pPr>
      <w:r>
        <w:rPr>
          <w:lang w:val="en-US"/>
        </w:rPr>
        <w:t>The possible impact of competition law in Hong Kong generally on relevant aspects of the Proposal;</w:t>
      </w:r>
    </w:p>
    <w:p>
      <w:pPr>
        <w:pStyle w:val="Normal"/>
        <w:numPr>
          <w:ilvl w:val="0"/>
          <w:numId w:val="51"/>
        </w:numPr>
        <w:rPr>
          <w:lang w:val="en-US"/>
        </w:rPr>
      </w:pPr>
      <w:r>
        <w:rPr>
          <w:lang w:val="en-US"/>
        </w:rPr>
        <w:t xml:space="preserve">Other legal/regulatory provisions of which local counsel is aware which may impinge on the implementation of the Proposal (N.B. </w:t>
      </w:r>
      <w:r>
        <w:rPr>
          <w:u w:val="single"/>
          <w:lang w:val="en-US"/>
        </w:rPr>
        <w:t xml:space="preserve">not </w:t>
      </w:r>
      <w:r>
        <w:rPr>
          <w:lang w:val="en-US"/>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Hong Kong).</w:t>
      </w:r>
      <w:r>
        <w:br w:type="page"/>
      </w:r>
    </w:p>
    <w:p>
      <w:pPr>
        <w:pStyle w:val="Normal"/>
        <w:keepNext w:val="true"/>
        <w:jc w:val="center"/>
        <w:rPr>
          <w:b/>
        </w:rPr>
      </w:pPr>
      <w:r>
        <w:rPr>
          <w:b/>
        </w:rPr>
        <w:t>SECTION 1. - BANDWIDTH TRADING TRANSACTIONS</w:t>
      </w:r>
    </w:p>
    <w:p>
      <w:pPr>
        <w:pStyle w:val="Normal"/>
        <w:keepNext w:val="true"/>
        <w:rPr>
          <w:lang w:val="en-US"/>
        </w:rPr>
      </w:pPr>
      <w:r>
        <w:rPr>
          <w:i/>
          <w:lang w:val="en-US"/>
        </w:rPr>
        <w:t>Introduction and explanation of a Bandwidth trading transaction</w:t>
      </w:r>
    </w:p>
    <w:p>
      <w:pPr>
        <w:pStyle w:val="Normal"/>
        <w:rPr>
          <w:lang w:val="en-US"/>
        </w:rPr>
      </w:pPr>
      <w:r>
        <w:rPr>
          <w:lang w:val="en-US"/>
        </w:rPr>
        <w:t>ECI is intending to enter, as principal, into transactions with third parties in Hong Kong (each a “Local Counterparty”) whereby ECI would either:</w:t>
      </w:r>
    </w:p>
    <w:p>
      <w:pPr>
        <w:pStyle w:val="Normal"/>
        <w:ind w:hanging="709" w:start="709" w:end="0"/>
        <w:rPr/>
      </w:pPr>
      <w:r>
        <w:rPr/>
        <w:t>(a)</w:t>
        <w:tab/>
        <w:t xml:space="preserve">buy from the Local Counterparty an amount or amounts of Bandwidth over a Segment for a particular duration of time for </w:t>
      </w:r>
      <w:r>
        <w:rPr>
          <w:i/>
        </w:rPr>
        <w:t xml:space="preserve">physical </w:t>
      </w:r>
      <w:r>
        <w:rPr/>
        <w:t>delivery by the Local Counterparty to ECI in return for monetary consideration payable by ECI to the Local Counterparty; or</w:t>
      </w:r>
    </w:p>
    <w:p>
      <w:pPr>
        <w:pStyle w:val="Normal"/>
        <w:ind w:hanging="709" w:start="709" w:end="0"/>
        <w:rPr/>
      </w:pPr>
      <w:r>
        <w:rPr/>
        <w:t>(b)</w:t>
        <w:tab/>
        <w:t xml:space="preserve">sell to the Local Counterparty an amount or amounts of Bandwidth over a Segment for a particular duration of time for </w:t>
      </w:r>
      <w:r>
        <w:rPr>
          <w:i/>
        </w:rPr>
        <w:t xml:space="preserve">physical </w:t>
      </w:r>
      <w:r>
        <w:rPr/>
        <w:t>delivery by ECI to the Local Counterparty in return for monetary consideration payable by the Local Counterparty to ECI.</w:t>
      </w:r>
    </w:p>
    <w:p>
      <w:pPr>
        <w:pStyle w:val="Normal"/>
        <w:rPr>
          <w:lang w:val="en-US"/>
        </w:rPr>
      </w:pPr>
      <w:r>
        <w:rPr>
          <w:lang w:val="en-US"/>
        </w:rPr>
        <w:t xml:space="preserve">Each type of transaction referred to in (a) and (b) above is herein referred to as “Transactions”.  </w:t>
      </w:r>
    </w:p>
    <w:p>
      <w:pPr>
        <w:pStyle w:val="Normal"/>
        <w:rPr/>
      </w:pPr>
      <w:r>
        <w:rPr/>
        <w:t xml:space="preserve">In addition, it is intended that each Transaction would be entered into by means of a telephone call (or by way of exchange of electronic messages, e.g., via the internet) between the </w:t>
      </w:r>
      <w:r>
        <w:rPr>
          <w:lang w:val="en-US"/>
        </w:rPr>
        <w:t xml:space="preserve">Local Counterparty </w:t>
      </w:r>
      <w:r>
        <w:rPr/>
        <w:t xml:space="preserve">and an ECI trader based, probably, in Houston, Texas, such call (or the exchange of electronic messages) being initiated either by a representative of the </w:t>
      </w:r>
      <w:r>
        <w:rPr>
          <w:lang w:val="en-US"/>
        </w:rPr>
        <w:t>Local Counterparty</w:t>
      </w:r>
      <w:r>
        <w:rPr/>
        <w:t xml:space="preserve"> or by the ECI trader.  The parties intend and desire that each Transaction would be contractually binding from the moment agreed to in the telephone call (or upon the exchange of the electronic messages).  </w:t>
      </w:r>
    </w:p>
    <w:p>
      <w:pPr>
        <w:pStyle w:val="Normal"/>
        <w:rPr>
          <w:i/>
          <w:i/>
        </w:rPr>
      </w:pPr>
      <w:r>
        <w:rPr>
          <w:i/>
        </w:rPr>
        <w:t>Documenting the Transactions</w:t>
      </w:r>
    </w:p>
    <w:p>
      <w:pPr>
        <w:pStyle w:val="Normal"/>
        <w:rPr/>
      </w:pPr>
      <w:r>
        <w:rPr/>
        <w:t>Each Transaction would be documented in one or other of the following ways:</w:t>
      </w:r>
    </w:p>
    <w:p>
      <w:pPr>
        <w:pStyle w:val="Normal"/>
        <w:ind w:hanging="709" w:start="709" w:end="0"/>
        <w:rPr/>
      </w:pPr>
      <w:r>
        <w:rPr/>
        <w:t>(1)</w:t>
        <w:tab/>
        <w:t xml:space="preserve">before ECI and a </w:t>
      </w:r>
      <w:r>
        <w:rPr>
          <w:lang w:val="en-US"/>
        </w:rPr>
        <w:t>Local Counterparty</w:t>
      </w:r>
      <w:r>
        <w:rPr/>
        <w:t xml:space="preserve"> enters into any Transaction, both ECI and the </w:t>
      </w:r>
      <w:r>
        <w:rPr>
          <w:lang w:val="en-US"/>
        </w:rPr>
        <w:t>Local Counterparty</w:t>
      </w:r>
      <w:r>
        <w:rPr/>
        <w:t xml:space="preserve"> shall have entered into a Master Agreement substantially in the format of the draft copy thereof attached to this Memorandum as Annex A (the “Master Agreement”)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w:t>
      </w:r>
      <w:r>
        <w:rPr>
          <w:lang w:val="en-US"/>
        </w:rPr>
        <w:t>Local Counterparty</w:t>
      </w:r>
      <w:r>
        <w:rPr/>
        <w:t xml:space="preserve"> substantially in the form of the confirmation which is annexed to the Master Agreement as Exhibit A; or</w:t>
      </w:r>
    </w:p>
    <w:p>
      <w:pPr>
        <w:pStyle w:val="Normal"/>
        <w:ind w:hanging="709" w:start="709" w:end="0"/>
        <w:rPr/>
      </w:pPr>
      <w:r>
        <w:rPr/>
        <w:t>(2)</w:t>
        <w:tab/>
        <w:t xml:space="preserve">where ECI and a </w:t>
      </w:r>
      <w:r>
        <w:rPr>
          <w:lang w:val="en-US"/>
        </w:rPr>
        <w:t>Local Counterparty</w:t>
      </w:r>
      <w:r>
        <w:rPr/>
        <w:t xml:space="preserve"> have not already entered into a Master Agreement, after ECI and a </w:t>
      </w:r>
      <w:r>
        <w:rPr>
          <w:lang w:val="en-US"/>
        </w:rPr>
        <w:t>Local Counterparty</w:t>
      </w:r>
      <w:r>
        <w:rPr/>
        <w:t xml:space="preserve"> has entered into a Transaction orally over the telephone (or by exchange of electronic messages), ECI will send to the </w:t>
      </w:r>
      <w:r>
        <w:rPr>
          <w:lang w:val="en-US"/>
        </w:rPr>
        <w:t>Local Counterparty</w:t>
      </w:r>
      <w:r>
        <w:rPr/>
        <w:t xml:space="preserve"> a confirmation to which will be attached General Terms and Conditions substantially in the form of the draft attached to this Memorandum as Annex B (“GTCs”) with a view to such GTCs governing the Transaction.  In this scenario, you may assume that the </w:t>
      </w:r>
      <w:r>
        <w:rPr>
          <w:lang w:val="en-US"/>
        </w:rPr>
        <w:t>Local Counterparty</w:t>
      </w:r>
      <w:r>
        <w:rPr/>
        <w:t xml:space="preserve">, prior to entering into any Transactions with ECI,  has already seen and agreed to the GTCs. </w:t>
      </w:r>
    </w:p>
    <w:p>
      <w:pPr>
        <w:pStyle w:val="Normal"/>
        <w:ind w:hanging="709" w:start="709" w:end="0"/>
        <w:rPr/>
      </w:pPr>
      <w:r>
        <w:rPr>
          <w:i/>
        </w:rPr>
        <w:t>Assumptions</w:t>
      </w:r>
      <w:r>
        <w:rPr/>
        <w:t xml:space="preserve"> </w:t>
      </w:r>
    </w:p>
    <w:p>
      <w:pPr>
        <w:pStyle w:val="Normal"/>
        <w:rPr>
          <w:lang w:val="en-US"/>
        </w:rPr>
      </w:pPr>
      <w:r>
        <w:rPr>
          <w:lang w:val="en-US"/>
        </w:rPr>
        <w:t xml:space="preserve">You should assume for these purposes that: </w:t>
      </w:r>
    </w:p>
    <w:p>
      <w:pPr>
        <w:pStyle w:val="Normal"/>
        <w:ind w:hanging="709" w:start="709" w:end="0"/>
        <w:rPr/>
      </w:pPr>
      <w:r>
        <w:rPr/>
        <w:tab/>
        <w:t>(I)</w:t>
        <w:tab/>
        <w:t>each Local Counterparty is either incorporated, or has a branch or other</w:t>
        <w:tab/>
        <w:tab/>
        <w:tab/>
        <w:t xml:space="preserve">presence, in </w:t>
      </w:r>
      <w:r>
        <w:rPr>
          <w:lang w:val="en-US"/>
        </w:rPr>
        <w:t>Hong Kong</w:t>
      </w:r>
      <w:r>
        <w:rPr/>
        <w:t>;</w:t>
      </w:r>
    </w:p>
    <w:p>
      <w:pPr>
        <w:pStyle w:val="Normal"/>
        <w:ind w:hanging="709" w:start="1418" w:end="0"/>
        <w:rPr/>
      </w:pPr>
      <w:r>
        <w:rPr/>
        <w:t>(II)</w:t>
        <w:tab/>
        <w:t xml:space="preserve">ECI is not incorporated in </w:t>
      </w:r>
      <w:r>
        <w:rPr>
          <w:lang w:val="en-US"/>
        </w:rPr>
        <w:t>Hong Kong</w:t>
      </w:r>
      <w:r>
        <w:rPr/>
        <w:t xml:space="preserve"> and does not have a branch or other presence in </w:t>
      </w:r>
      <w:r>
        <w:rPr>
          <w:lang w:val="en-US"/>
        </w:rPr>
        <w:t>Hong Kong</w:t>
      </w:r>
      <w:r>
        <w:rPr/>
        <w:t>;</w:t>
      </w:r>
    </w:p>
    <w:p>
      <w:pPr>
        <w:pStyle w:val="Normal"/>
        <w:ind w:hanging="709" w:start="1418" w:end="0"/>
        <w:rPr/>
      </w:pPr>
      <w:r>
        <w:rPr/>
        <w:t>(III)</w:t>
        <w:tab/>
        <w:t>either or both of ECI or a Local Counterparty may or may not be owners or operators of any telecommunications networks, equipment, facilities or circuits located in Hong Kong or elsewhere;</w:t>
      </w:r>
    </w:p>
    <w:p>
      <w:pPr>
        <w:pStyle w:val="Normal"/>
        <w:ind w:hanging="698" w:start="1418" w:end="0"/>
        <w:rPr/>
      </w:pPr>
      <w:r>
        <w:rPr/>
        <w:t>(IV)</w:t>
        <w:tab/>
        <w:t xml:space="preserve">occasionally representatives of ECI may visit potential or actual Local Counterparties in </w:t>
      </w:r>
      <w:r>
        <w:rPr>
          <w:lang w:val="en-US"/>
        </w:rPr>
        <w:t>Hong Kong</w:t>
      </w:r>
      <w:r>
        <w:rPr/>
        <w:t xml:space="preserve"> with a view to marketing the concept of the Transactions to such Local Counterparties and with a view to soliciting such Local Counterparties to enter into the Transactions;</w:t>
      </w:r>
    </w:p>
    <w:p>
      <w:pPr>
        <w:pStyle w:val="Normal"/>
        <w:ind w:hanging="709" w:start="1418" w:end="0"/>
        <w:rPr/>
      </w:pPr>
      <w:r>
        <w:rPr/>
        <w:t>(V)</w:t>
        <w:tab/>
        <w:t xml:space="preserve">the Transactions are in respect of a Segment which is between specific addresses each of which is located </w:t>
      </w:r>
      <w:r>
        <w:rPr>
          <w:i/>
        </w:rPr>
        <w:t>outside</w:t>
      </w:r>
      <w:r>
        <w:rPr/>
        <w:t xml:space="preserve"> of </w:t>
      </w:r>
      <w:r>
        <w:rPr>
          <w:lang w:val="en-US"/>
        </w:rPr>
        <w:t>Hong Kong</w:t>
      </w:r>
      <w:r>
        <w:rPr/>
        <w:t>, for example between specific addresses in each of London and New York City; and</w:t>
      </w:r>
    </w:p>
    <w:p>
      <w:pPr>
        <w:pStyle w:val="Normal"/>
        <w:ind w:hanging="709" w:start="1418" w:end="0"/>
        <w:rPr/>
      </w:pPr>
      <w:r>
        <w:rPr/>
        <w:t>(VI)</w:t>
        <w:tab/>
      </w:r>
      <w:r>
        <w:rPr>
          <w:lang w:val="en-US"/>
        </w:rPr>
        <w:t xml:space="preserve">the Local Counterparties may be corporations or partnerships, utilities, municipalities, government-owned entities or financial institutions, but they will </w:t>
      </w:r>
      <w:r>
        <w:rPr>
          <w:b/>
          <w:lang w:val="en-US"/>
        </w:rPr>
        <w:t>not</w:t>
      </w:r>
      <w:r>
        <w:rPr>
          <w:lang w:val="en-US"/>
        </w:rPr>
        <w:t xml:space="preserve"> be individuals.</w:t>
      </w:r>
    </w:p>
    <w:p>
      <w:pPr>
        <w:pStyle w:val="Normal"/>
        <w:rPr>
          <w:u w:val="single"/>
          <w:lang w:val="en-US"/>
        </w:rPr>
      </w:pPr>
      <w:r>
        <w:rPr>
          <w:b/>
          <w:lang w:val="en-US"/>
        </w:rPr>
        <w:t>Please note that the Local Counterparties</w:t>
      </w:r>
      <w:r>
        <w:rPr>
          <w:b/>
          <w:i/>
          <w:lang w:val="en-US"/>
        </w:rPr>
        <w:t xml:space="preserve"> </w:t>
      </w:r>
      <w:r>
        <w:rPr>
          <w:b/>
          <w:i/>
          <w:u w:val="single"/>
          <w:lang w:val="en-US"/>
        </w:rPr>
        <w:t>may or may not</w:t>
      </w:r>
      <w:r>
        <w:rPr>
          <w:b/>
          <w:lang w:val="en-US"/>
        </w:rPr>
        <w:t xml:space="preserve"> be providers of telecommunications services or owners of telecommunications facilities as ECI wishes to determine whether entities other than telecommunications entities can trade Bandwidth.</w:t>
      </w:r>
    </w:p>
    <w:p>
      <w:pPr>
        <w:pStyle w:val="Normal"/>
        <w:keepNext w:val="true"/>
        <w:ind w:hanging="709" w:start="709" w:end="26"/>
        <w:rPr>
          <w:b/>
        </w:rPr>
      </w:pPr>
      <w:r>
        <w:rPr>
          <w:i/>
        </w:rPr>
        <w:t>Questions</w:t>
      </w:r>
    </w:p>
    <w:p>
      <w:pPr>
        <w:pStyle w:val="Normal"/>
        <w:keepNext w:val="true"/>
        <w:ind w:hanging="709" w:start="709" w:end="26"/>
        <w:rPr/>
      </w:pPr>
      <w:r>
        <w:rPr>
          <w:b/>
        </w:rPr>
        <w:t>A.</w:t>
        <w:tab/>
      </w:r>
      <w:r>
        <w:rPr/>
        <w:t xml:space="preserve"> </w:t>
      </w:r>
      <w:r>
        <w:rPr>
          <w:b/>
          <w:u w:val="single"/>
        </w:rPr>
        <w:t>Licensing and Organization</w:t>
      </w:r>
    </w:p>
    <w:p>
      <w:pPr>
        <w:pStyle w:val="Normal"/>
        <w:ind w:hanging="1418" w:start="1418" w:end="0"/>
        <w:rPr/>
      </w:pPr>
      <w:r>
        <w:rPr/>
        <w:t>(a)</w:t>
        <w:tab/>
        <w:t>(i)</w:t>
        <w:tab/>
        <w:t xml:space="preserve">How would the Transactions fall to be examined or categorized under the telecoms regulatory regime in </w:t>
      </w:r>
      <w:r>
        <w:rPr>
          <w:lang w:val="en-US"/>
        </w:rPr>
        <w:t>Hong Kong</w:t>
      </w:r>
      <w:r>
        <w:rPr/>
        <w:t xml:space="preserve"> and what would be the impact of such categorization?</w:t>
      </w:r>
    </w:p>
    <w:p>
      <w:pPr>
        <w:pStyle w:val="Normal"/>
        <w:ind w:hanging="1418" w:start="1418" w:end="0"/>
        <w:rPr/>
      </w:pPr>
      <w:r>
        <w:rPr/>
        <w:tab/>
        <w:t>(ii)</w:t>
        <w:tab/>
        <w:t>What forms of telecommunications licences would be required, if any, by either or both of ECI and Local Counterparty in respect of the Transactions and how would these be obtained?</w:t>
      </w:r>
    </w:p>
    <w:p>
      <w:pPr>
        <w:pStyle w:val="Normal"/>
        <w:ind w:hanging="1418" w:start="1418" w:end="0"/>
        <w:rPr/>
      </w:pPr>
      <w:r>
        <w:rPr/>
        <w:tab/>
        <w:t>(iii)</w:t>
        <w:tab/>
        <w:t>Which type of licence would the Transactions operate under e.g. individual licence, class licence or exemption?</w:t>
      </w:r>
    </w:p>
    <w:p>
      <w:pPr>
        <w:pStyle w:val="Normal"/>
        <w:ind w:hanging="709" w:start="709" w:end="0"/>
        <w:rPr/>
      </w:pPr>
      <w:r>
        <w:rPr/>
        <w:t>(b)</w:t>
        <w:tab/>
        <w:t xml:space="preserve">Which other elements of the telecoms regulatory regime in </w:t>
      </w:r>
      <w:r>
        <w:rPr>
          <w:lang w:val="en-US"/>
        </w:rPr>
        <w:t>Hong Kong</w:t>
      </w:r>
      <w:r>
        <w:rPr/>
        <w:t xml:space="preserve">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ind w:hanging="1418" w:start="1418" w:end="0"/>
        <w:rPr/>
      </w:pPr>
      <w:r>
        <w:rPr/>
        <w:t>(c)</w:t>
        <w:tab/>
        <w:t>(i)</w:t>
        <w:tab/>
        <w:t xml:space="preserve">Are different licences necessary in </w:t>
      </w:r>
      <w:r>
        <w:rPr>
          <w:lang w:val="en-US"/>
        </w:rPr>
        <w:t>Hong Kong</w:t>
      </w:r>
      <w:r>
        <w:rPr/>
        <w:t xml:space="preserve"> for those who operate networks as opposed to those who merely provide services over those networks and which category(ies) would ECI, on the one hand, and the Local Counterparties, on the other hand, as parties to the Transactions fall into?</w:t>
      </w:r>
    </w:p>
    <w:p>
      <w:pPr>
        <w:pStyle w:val="Normal"/>
        <w:ind w:hanging="1418" w:start="1418" w:end="0"/>
        <w:rPr/>
      </w:pPr>
      <w:r>
        <w:rPr/>
        <w:tab/>
        <w:t>(ii)</w:t>
        <w:tab/>
        <w:t xml:space="preserve">Does the status of the parties to the Transaction affect the terms of trade between them as a result of the telecoms regulatory regime in </w:t>
      </w:r>
      <w:r>
        <w:rPr>
          <w:lang w:val="en-US"/>
        </w:rPr>
        <w:t>Hong Kong</w:t>
      </w:r>
      <w:r>
        <w:rPr/>
        <w:t>?</w:t>
      </w:r>
    </w:p>
    <w:p>
      <w:pPr>
        <w:pStyle w:val="Normal"/>
        <w:ind w:hanging="1418" w:start="1418" w:end="0"/>
        <w:rPr/>
      </w:pPr>
      <w:r>
        <w:rPr/>
        <w:tab/>
        <w:t>(iii)</w:t>
        <w:tab/>
        <w:t>Is either of the above two positions (Section 1A.(c)(i) and (c)(ii)) altered if the ownership of the facility and the operation of it are not done by one and the same entity?</w:t>
      </w:r>
    </w:p>
    <w:p>
      <w:pPr>
        <w:pStyle w:val="Normal"/>
        <w:ind w:hanging="1418" w:start="1418" w:end="0"/>
        <w:rPr/>
      </w:pPr>
      <w:r>
        <w:rPr/>
        <w:t>(d)</w:t>
        <w:tab/>
        <w:t>(i)</w:t>
        <w:tab/>
        <w:t xml:space="preserve">To the extent not already covered by the questions in Section 1A. paragraphs (a) to (c) above, are any other licences, permits, consents or other governmental approvals required in </w:t>
      </w:r>
      <w:r>
        <w:rPr>
          <w:lang w:val="en-US"/>
        </w:rPr>
        <w:t>Hong Kong</w:t>
      </w:r>
      <w:r>
        <w:rPr/>
        <w:t xml:space="preserve"> (and, if so, by whom) in order for ECI to enter into the Transactions with the Local Counterparties? </w:t>
      </w:r>
    </w:p>
    <w:p>
      <w:pPr>
        <w:pStyle w:val="Normal"/>
        <w:ind w:hanging="708" w:start="1417" w:end="0"/>
        <w:rPr/>
      </w:pPr>
      <w:r>
        <w:rPr/>
        <w:t>(ii)</w:t>
        <w:tab/>
        <w:t xml:space="preserve">To the extent not already covered by the questions in Section 1A. paragraphs (a) to (c) above, would ECI (or any of its personnel) need to be licensed (1) to visit </w:t>
      </w:r>
      <w:r>
        <w:rPr>
          <w:lang w:val="en-US"/>
        </w:rPr>
        <w:t>Hong Kong</w:t>
      </w:r>
      <w:r>
        <w:rPr/>
        <w:t xml:space="preserve"> to market Transactions to </w:t>
      </w:r>
      <w:r>
        <w:rPr>
          <w:lang w:val="en-US"/>
        </w:rPr>
        <w:t>Local Counterparties</w:t>
      </w:r>
      <w:r>
        <w:rPr/>
        <w:t xml:space="preserve"> and/or (2) for ECI to buy or sell Bandwidth from or to Local Counterparties, under local law in </w:t>
      </w:r>
      <w:r>
        <w:rPr>
          <w:lang w:val="en-US"/>
        </w:rPr>
        <w:t>Hong Kong</w:t>
      </w:r>
      <w:r>
        <w:rPr/>
        <w:t xml:space="preserve">?  </w:t>
      </w:r>
    </w:p>
    <w:p>
      <w:pPr>
        <w:pStyle w:val="Normal"/>
        <w:ind w:hanging="708" w:start="1417" w:end="0"/>
        <w:rPr/>
      </w:pPr>
      <w:r>
        <w:rPr/>
        <w:t>(iii)</w:t>
        <w:tab/>
        <w:t xml:space="preserve">To the extent not already covered by the questions in Section 1A. Paragraphs (a) to (c) above, would Local Counterparty (or any of its personnel) need to be licensed in </w:t>
      </w:r>
      <w:r>
        <w:rPr>
          <w:lang w:val="en-US"/>
        </w:rPr>
        <w:t>Hong Kong</w:t>
      </w:r>
      <w:r>
        <w:rPr/>
        <w:t xml:space="preserve"> to buy or sell Bandwidth from or to ECI and/or other counterparties?</w:t>
      </w:r>
    </w:p>
    <w:p>
      <w:pPr>
        <w:pStyle w:val="Normal"/>
        <w:ind w:start="709" w:end="0"/>
        <w:rPr/>
      </w:pPr>
      <w:r>
        <w:rPr/>
        <w:t xml:space="preserve">If so, briefly describe the procedure and approximately how long it would take to obtain any such licenses, permits, consents or approvals.  </w:t>
      </w:r>
    </w:p>
    <w:p>
      <w:pPr>
        <w:pStyle w:val="Normal"/>
        <w:ind w:hanging="1418" w:start="1418" w:end="0"/>
        <w:rPr/>
      </w:pPr>
      <w:r>
        <w:rPr/>
        <w:t>(e)</w:t>
        <w:tab/>
        <w:t>(i)</w:t>
        <w:tab/>
        <w:t xml:space="preserve">To the extent not already covered by the questions in Section 1A., paragraphs (a) to (c) above, under local law in </w:t>
      </w:r>
      <w:r>
        <w:rPr>
          <w:lang w:val="en-US"/>
        </w:rPr>
        <w:t>Hong Kong,</w:t>
      </w:r>
      <w:r>
        <w:rPr/>
        <w:t xml:space="preserve"> would ECI, or the Local Counterparty, be under any obligation to provide periodic reports or information to any regulatory or governmental or other body if they engaged in the Transactions, or a Local Counterparty?  </w:t>
      </w:r>
    </w:p>
    <w:p>
      <w:pPr>
        <w:pStyle w:val="Normal"/>
        <w:ind w:hanging="709" w:start="1418" w:end="0"/>
        <w:rPr/>
      </w:pPr>
      <w:r>
        <w:rPr/>
        <w:t>(ii)</w:t>
        <w:tab/>
        <w:t xml:space="preserve">To the extent not already covered by the questions in Section 1A., paragraphs (a) to (c) above, would ECI or the Local Counterparty be subject to any form of governmental regulation in </w:t>
      </w:r>
      <w:r>
        <w:rPr>
          <w:lang w:val="en-US"/>
        </w:rPr>
        <w:t>Hong Kong</w:t>
      </w:r>
      <w:r>
        <w:rPr/>
        <w:t xml:space="preserve"> in respect of Transactions between them and, if so, what?</w:t>
      </w:r>
    </w:p>
    <w:p>
      <w:pPr>
        <w:pStyle w:val="Normal"/>
        <w:keepNext w:val="true"/>
        <w:ind w:hanging="1418" w:start="1418" w:end="26"/>
        <w:rPr/>
      </w:pPr>
      <w:r>
        <w:rPr/>
        <w:t>(f)</w:t>
        <w:tab/>
        <w:t>(i)</w:t>
        <w:tab/>
        <w:t xml:space="preserve">Would the trading of Bandwidth by way of the Transactions be construed as a financial or securities market or exchange in </w:t>
      </w:r>
      <w:r>
        <w:rPr>
          <w:lang w:val="en-US"/>
        </w:rPr>
        <w:t>Hong Kong</w:t>
      </w:r>
      <w:r>
        <w:rPr/>
        <w:t xml:space="preserve"> and, if so, why?</w:t>
      </w:r>
    </w:p>
    <w:p>
      <w:pPr>
        <w:pStyle w:val="Normal"/>
        <w:ind w:hanging="709" w:start="1418" w:end="0"/>
        <w:rPr/>
      </w:pPr>
      <w:r>
        <w:rPr/>
        <w:t>(ii)</w:t>
        <w:tab/>
        <w:t xml:space="preserve">If it would be so construed, which market supervisory body, if any,  in </w:t>
      </w:r>
      <w:r>
        <w:rPr>
          <w:lang w:val="en-US"/>
        </w:rPr>
        <w:t>Hong Kong</w:t>
      </w:r>
      <w:r>
        <w:rPr/>
        <w:t xml:space="preserve"> would regulate the Bandwidth market and which rules would apply?</w:t>
      </w:r>
    </w:p>
    <w:p>
      <w:pPr>
        <w:pStyle w:val="Normal"/>
        <w:keepNext w:val="true"/>
        <w:ind w:hanging="709" w:start="709" w:end="26"/>
        <w:rPr/>
      </w:pPr>
      <w:r>
        <w:rPr>
          <w:b/>
        </w:rPr>
        <w:t>B.</w:t>
        <w:tab/>
      </w:r>
      <w:r>
        <w:rPr>
          <w:b/>
          <w:u w:val="single"/>
        </w:rPr>
        <w:t>Capacity and Authority</w:t>
      </w:r>
    </w:p>
    <w:p>
      <w:pPr>
        <w:pStyle w:val="Normal"/>
        <w:ind w:hanging="709" w:start="709" w:end="26"/>
        <w:rPr/>
      </w:pPr>
      <w:r>
        <w:rPr/>
        <w:t>(a)</w:t>
        <w:tab/>
        <w:t xml:space="preserve">Under local law in </w:t>
      </w:r>
      <w:r>
        <w:rPr>
          <w:lang w:val="en-US"/>
        </w:rPr>
        <w:t>Hong Kong,</w:t>
      </w:r>
      <w:r>
        <w:rPr/>
        <w:t xml:space="preserve"> do any entities as Local Counterparties, for example (but not limited to) municipalities or utilities, have any legal restrictions placed on their ability to enter into the Transactions?  If so, please briefly describe.</w:t>
      </w:r>
    </w:p>
    <w:p>
      <w:pPr>
        <w:pStyle w:val="Normal"/>
        <w:ind w:hanging="709" w:start="709" w:end="0"/>
        <w:rPr/>
      </w:pPr>
      <w:r>
        <w:rPr/>
        <w:t>(b)</w:t>
        <w:tab/>
        <w:t>Is it necessary that the organisational documents of the Local Counterparty empower it to enter into the Transactions and/or the governing Master Agreement or GTCs?</w:t>
      </w:r>
    </w:p>
    <w:p>
      <w:pPr>
        <w:pStyle w:val="Normal"/>
        <w:ind w:hanging="709" w:start="709" w:end="26"/>
        <w:rPr/>
      </w:pPr>
      <w:r>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ind w:hanging="1418" w:start="1418" w:end="0"/>
        <w:rPr/>
      </w:pPr>
      <w:r>
        <w:rPr/>
        <w:t>(d)</w:t>
        <w:tab/>
        <w:t>(i)</w:t>
        <w:tab/>
        <w:t xml:space="preserve">Pursuant to the requirements of local law in </w:t>
      </w:r>
      <w:r>
        <w:rPr>
          <w:lang w:val="en-US"/>
        </w:rPr>
        <w:t>Hong Kong,</w:t>
      </w:r>
      <w:r>
        <w:rPr/>
        <w:t xml:space="preserve"> would ECI need to enter into the Transactions with </w:t>
      </w:r>
      <w:r>
        <w:rPr>
          <w:lang w:val="en-US"/>
        </w:rPr>
        <w:t>Local Counterparties</w:t>
      </w:r>
      <w:r>
        <w:rPr/>
        <w:t xml:space="preserve"> through an ECI-affiliated entity that is incorporated or otherwise organised in, or through a branch in, </w:t>
      </w:r>
      <w:r>
        <w:rPr>
          <w:lang w:val="en-US"/>
        </w:rPr>
        <w:t>Hong Kong</w:t>
      </w:r>
      <w:r>
        <w:rPr/>
        <w:t xml:space="preserve">? </w:t>
      </w:r>
    </w:p>
    <w:p>
      <w:pPr>
        <w:pStyle w:val="Normal"/>
        <w:ind w:hanging="709" w:start="1418" w:end="0"/>
        <w:rPr/>
      </w:pPr>
      <w:r>
        <w:rPr/>
        <w:t>(ii)</w:t>
        <w:tab/>
        <w:t xml:space="preserve">If it would be so required under local law in </w:t>
      </w:r>
      <w:r>
        <w:rPr>
          <w:lang w:val="en-US"/>
        </w:rPr>
        <w:t>Hong Kong</w:t>
      </w:r>
      <w:r>
        <w:rPr/>
        <w:t xml:space="preserve">, please specify what type of entity ECI would be required to establish in </w:t>
      </w:r>
      <w:r>
        <w:rPr>
          <w:lang w:val="en-US"/>
        </w:rPr>
        <w:t>Hong Kong</w:t>
      </w:r>
      <w:r>
        <w:rPr/>
        <w:t xml:space="preserve">.  </w:t>
      </w:r>
    </w:p>
    <w:p>
      <w:pPr>
        <w:pStyle w:val="Normal"/>
        <w:ind w:hanging="1418" w:start="1418" w:end="26"/>
        <w:rPr/>
      </w:pPr>
      <w:r>
        <w:rPr/>
        <w:tab/>
        <w:t>(iii)</w:t>
        <w:tab/>
        <w:t xml:space="preserve">If ECI established such an entity in </w:t>
      </w:r>
      <w:r>
        <w:rPr>
          <w:lang w:val="en-US"/>
        </w:rPr>
        <w:t>Hong Kong</w:t>
      </w:r>
      <w:r>
        <w:rPr/>
        <w:t xml:space="preserve">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keepNext w:val="true"/>
        <w:ind w:hanging="709" w:start="709" w:end="26"/>
        <w:rPr>
          <w:b/>
        </w:rPr>
      </w:pPr>
      <w:r>
        <w:rPr>
          <w:b/>
        </w:rPr>
        <w:t>C.</w:t>
        <w:tab/>
      </w:r>
      <w:r>
        <w:rPr>
          <w:b/>
          <w:u w:val="single"/>
        </w:rPr>
        <w:t>General Contractual Terms and Formalities</w:t>
      </w:r>
    </w:p>
    <w:p>
      <w:pPr>
        <w:pStyle w:val="Normal"/>
        <w:rPr>
          <w:i/>
          <w:i/>
        </w:rPr>
      </w:pPr>
      <w:r>
        <w:rPr>
          <w:i/>
        </w:rPr>
        <w:t>Questions</w:t>
      </w:r>
    </w:p>
    <w:p>
      <w:pPr>
        <w:pStyle w:val="Normal"/>
        <w:ind w:hanging="709" w:start="709" w:end="0"/>
        <w:rPr/>
      </w:pPr>
      <w:r>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pPr>
      <w:r>
        <w:rPr/>
        <w:tab/>
        <w:t xml:space="preserve">Accordingly: </w:t>
      </w:r>
    </w:p>
    <w:p>
      <w:pPr>
        <w:pStyle w:val="Normal"/>
        <w:ind w:hanging="709" w:start="1418" w:end="0"/>
        <w:rPr/>
      </w:pPr>
      <w:r>
        <w:rPr/>
        <w:t>(i)</w:t>
        <w:tab/>
        <w:t xml:space="preserve">Does local law in </w:t>
      </w:r>
      <w:r>
        <w:rPr>
          <w:lang w:val="en-US"/>
        </w:rPr>
        <w:t>Hong Kong</w:t>
      </w:r>
      <w:r>
        <w:rPr/>
        <w:t xml:space="preserve"> contemplate some form of an economic re-opener?  If so, please briefly describe.</w:t>
      </w:r>
    </w:p>
    <w:p>
      <w:pPr>
        <w:pStyle w:val="Normal"/>
        <w:ind w:hanging="709" w:start="1418" w:end="0"/>
        <w:rPr/>
      </w:pPr>
      <w:r>
        <w:rPr/>
        <w:t>(ii)</w:t>
        <w:tab/>
        <w:t xml:space="preserve">Bearing in mind that substantially all of ECI’s in-house lawyers are qualified in U.S. or English law, are you aware of any other provisions of local law in </w:t>
      </w:r>
      <w:r>
        <w:rPr>
          <w:lang w:val="en-US"/>
        </w:rPr>
        <w:t>Hong Kong</w:t>
      </w:r>
      <w:r>
        <w:rPr/>
        <w:t xml:space="preserve"> that, in your experience, are ones which would not be anticipated by a U.S. or English lawyer and which may be relevant to the Transactions with Local Counterparties in </w:t>
      </w:r>
      <w:r>
        <w:rPr>
          <w:lang w:val="en-US"/>
        </w:rPr>
        <w:t>Hong Kong</w:t>
      </w:r>
      <w:r>
        <w:rPr/>
        <w:t>?</w:t>
      </w:r>
    </w:p>
    <w:p>
      <w:pPr>
        <w:pStyle w:val="Normal"/>
        <w:ind w:hanging="1418" w:start="1418" w:end="0"/>
        <w:rPr/>
      </w:pPr>
      <w:r>
        <w:rPr/>
        <w:t>(b)</w:t>
        <w:tab/>
        <w:t>(i)</w:t>
        <w:tab/>
        <w:t xml:space="preserve">Is it a correct statement of local law in </w:t>
      </w:r>
      <w:r>
        <w:rPr>
          <w:lang w:val="en-US"/>
        </w:rPr>
        <w:t>Hong Kong</w:t>
      </w:r>
      <w:r>
        <w:rPr/>
        <w:t xml:space="preserv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731" w:start="1440" w:end="0"/>
        <w:rPr/>
      </w:pPr>
      <w:r>
        <w:rPr/>
        <w:t>(ii)</w:t>
        <w:tab/>
        <w:t xml:space="preserve">In respect of Transactions entered into by way of exchange of electronic messages, do any special laws or regulations exist in </w:t>
      </w:r>
      <w:r>
        <w:rPr>
          <w:lang w:val="en-US"/>
        </w:rPr>
        <w:t>Hong Kong</w:t>
      </w:r>
      <w:r>
        <w:rPr/>
        <w:t xml:space="preserve"> which would prevent or in any way impact upon marketing or trading of any of the Transactions through the internet?</w:t>
      </w:r>
    </w:p>
    <w:p>
      <w:pPr>
        <w:pStyle w:val="Normal"/>
        <w:ind w:hanging="731" w:start="1440" w:end="0"/>
        <w:rPr/>
      </w:pPr>
      <w:r>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731" w:start="1440" w:end="0"/>
        <w:rPr/>
      </w:pPr>
      <w:r>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709" w:start="709" w:end="0"/>
        <w:rPr/>
      </w:pPr>
      <w:r>
        <w:rPr/>
        <w:t>(c)</w:t>
        <w:tab/>
        <w:t xml:space="preserve">ECI’s practice is to record the telephone lines of its traders.  Does that give rise to any issues under local law in </w:t>
      </w:r>
      <w:r>
        <w:rPr>
          <w:lang w:val="en-US"/>
        </w:rPr>
        <w:t>Hong Kong</w:t>
      </w:r>
      <w:r>
        <w:rPr/>
        <w:t xml:space="preserve">?  </w:t>
      </w:r>
    </w:p>
    <w:p>
      <w:pPr>
        <w:pStyle w:val="Normal"/>
        <w:spacing w:before="240" w:after="200"/>
        <w:ind w:hanging="1418" w:start="1418" w:end="26"/>
        <w:rPr/>
      </w:pPr>
      <w:r>
        <w:rPr/>
        <w:t>(d)</w:t>
        <w:tab/>
        <w:t>(i)</w:t>
        <w:tab/>
        <w:t xml:space="preserve">Would any data protection laws in </w:t>
      </w:r>
      <w:r>
        <w:rPr>
          <w:lang w:val="en-US"/>
        </w:rPr>
        <w:t>Hong Kong</w:t>
      </w:r>
      <w:r>
        <w:rPr/>
        <w:t xml:space="preserve"> apply to the Transactions where ECI or the Local Counterparty have data about each other or their customers; or</w:t>
      </w:r>
    </w:p>
    <w:p>
      <w:pPr>
        <w:pStyle w:val="Normal"/>
        <w:ind w:hanging="799" w:start="1418" w:end="26"/>
        <w:rPr/>
      </w:pPr>
      <w:r>
        <w:rPr/>
        <w:t>(ii)</w:t>
        <w:tab/>
        <w:t xml:space="preserve">would either ECI or the Local Counterparty have responsibility in </w:t>
      </w:r>
      <w:r>
        <w:rPr>
          <w:lang w:val="en-US"/>
        </w:rPr>
        <w:t>Hong Kong</w:t>
      </w:r>
      <w:r>
        <w:rPr/>
        <w:t xml:space="preserve"> for the protection of the data which passes through a telecommunications network, equipment, facilities or circuits as a result of a Transaction.</w:t>
      </w:r>
    </w:p>
    <w:p>
      <w:pPr>
        <w:pStyle w:val="Normal"/>
        <w:ind w:hanging="709" w:start="709" w:end="26"/>
        <w:rPr/>
      </w:pPr>
      <w:r>
        <w:rPr/>
        <w:t>(e)</w:t>
        <w:tab/>
        <w:t xml:space="preserve">Does the law of </w:t>
      </w:r>
      <w:r>
        <w:rPr>
          <w:lang w:val="en-US"/>
        </w:rPr>
        <w:t>Hong Kong</w:t>
      </w:r>
      <w:r>
        <w:rPr/>
        <w:t xml:space="preserve"> prescribe any implied terms or conditions that would impact a Transaction?  If so, please outline only the key terms or conditions.</w:t>
      </w:r>
    </w:p>
    <w:p>
      <w:pPr>
        <w:pStyle w:val="Normal"/>
        <w:ind w:hanging="1418" w:start="1418" w:end="26"/>
        <w:rPr/>
      </w:pPr>
      <w:r>
        <w:rPr/>
        <w:t>(f)</w:t>
        <w:tab/>
        <w:t>(i)</w:t>
        <w:tab/>
        <w:t xml:space="preserve">Would it be necessary to register, or make notification of, any Transaction entered into with a Local Counterparty (or the Master Agreement or GTCs to which it would be subject) with/to any governmental or other authority or regulatory body in </w:t>
      </w:r>
      <w:r>
        <w:rPr>
          <w:lang w:val="en-US"/>
        </w:rPr>
        <w:t>Hong Kong</w:t>
      </w:r>
      <w:r>
        <w:rPr/>
        <w:t xml:space="preserve">?  </w:t>
      </w:r>
    </w:p>
    <w:p>
      <w:pPr>
        <w:pStyle w:val="Normal"/>
        <w:ind w:hanging="709" w:start="1418" w:end="26"/>
        <w:rPr/>
      </w:pPr>
      <w:r>
        <w:rPr/>
        <w:t>(ii)</w:t>
        <w:tab/>
        <w:t xml:space="preserve">If it would be necessary, whose duty would this be, i.e., the buyer’s or the seller’s under a Transaction?  </w:t>
      </w:r>
    </w:p>
    <w:p>
      <w:pPr>
        <w:pStyle w:val="Normal"/>
        <w:ind w:hanging="709" w:start="1418" w:end="26"/>
        <w:rPr/>
      </w:pPr>
      <w:r>
        <w:rPr/>
        <w:t>(iii)</w:t>
        <w:tab/>
        <w:t>What would be the consequences of so failing to register or make notification of the Transaction (e.g., would the Transaction be void or voidable or would it have some other consequence)?</w:t>
      </w:r>
    </w:p>
    <w:p>
      <w:pPr>
        <w:pStyle w:val="Normal"/>
        <w:ind w:hanging="709" w:start="709" w:end="26"/>
        <w:rPr/>
      </w:pPr>
      <w:r>
        <w:rPr/>
        <w:t>(g)</w:t>
        <w:tab/>
        <w:t xml:space="preserve">If suit were brought in </w:t>
      </w:r>
      <w:r>
        <w:rPr>
          <w:lang w:val="en-US"/>
        </w:rPr>
        <w:t>Hong Kong</w:t>
      </w:r>
      <w:r>
        <w:rPr/>
        <w:t xml:space="preserve"> to enforce the terms of the Master Agreement or GTCs relating to a Transaction and the Court in </w:t>
      </w:r>
      <w:r>
        <w:rPr>
          <w:lang w:val="en-US"/>
        </w:rPr>
        <w:t>Hong Kong</w:t>
      </w:r>
      <w:r>
        <w:rPr/>
        <w:t xml:space="preserve"> applied </w:t>
      </w:r>
      <w:r>
        <w:rPr>
          <w:lang w:val="en-US"/>
        </w:rPr>
        <w:t>Hong Kong</w:t>
      </w:r>
      <w:r>
        <w:rPr/>
        <w:t xml:space="preserve"> law (either because the court did not enforce the choice of foreign law – as to which see Section 1 D below - or because the parties elected for Hong Kong law in place of foreign law to govern the Transaction), what are the requirements for contract formation under local law, e.g., offer, acceptance, in writing, witnessed, notarised, under seal, document stamps?</w:t>
      </w:r>
    </w:p>
    <w:p>
      <w:pPr>
        <w:pStyle w:val="Normal"/>
        <w:keepNext w:val="true"/>
        <w:ind w:hanging="709" w:start="709" w:end="26"/>
        <w:rPr/>
      </w:pPr>
      <w:r>
        <w:rPr>
          <w:b/>
        </w:rPr>
        <w:t>D.</w:t>
        <w:tab/>
      </w:r>
      <w:r>
        <w:rPr>
          <w:b/>
          <w:u w:val="single"/>
        </w:rPr>
        <w:t>Jurisdiction and Enforcement</w:t>
      </w:r>
    </w:p>
    <w:p>
      <w:pPr>
        <w:pStyle w:val="Normal"/>
        <w:rPr>
          <w:i/>
          <w:i/>
        </w:rPr>
      </w:pPr>
      <w:r>
        <w:rPr>
          <w:i/>
        </w:rPr>
        <w:t>Assumptions</w:t>
      </w:r>
    </w:p>
    <w:p>
      <w:pPr>
        <w:pStyle w:val="Normal"/>
        <w:rPr/>
      </w:pPr>
      <w:r>
        <w:rPr/>
        <w:t>Assuming:</w:t>
      </w:r>
    </w:p>
    <w:p>
      <w:pPr>
        <w:pStyle w:val="Normal"/>
        <w:rPr/>
      </w:pPr>
      <w:r>
        <w:rPr/>
        <w:t xml:space="preserve">(I) </w:t>
        <w:tab/>
        <w:t xml:space="preserve">disputes relating to Transactions between ECI and a Local Counterparty </w:t>
        <w:tab/>
        <w:t xml:space="preserve">were referred </w:t>
        <w:tab/>
        <w:t>to either:</w:t>
      </w:r>
    </w:p>
    <w:p>
      <w:pPr>
        <w:pStyle w:val="Normal"/>
        <w:rPr/>
      </w:pPr>
      <w:r>
        <w:rPr/>
        <w:tab/>
        <w:t>(a)</w:t>
        <w:tab/>
        <w:t xml:space="preserve">arbitration governed by the U.S. Federal Arbitration Act (“FAA”) and </w:t>
        <w:tab/>
        <w:tab/>
        <w:tab/>
        <w:tab/>
        <w:t xml:space="preserve">conducted in accordance with the American Arbitration Association </w:t>
        <w:tab/>
        <w:tab/>
        <w:tab/>
        <w:tab/>
        <w:t xml:space="preserve">Commercial Arbitration Rules (“AAA”) in New York City; or, alternatively, </w:t>
      </w:r>
    </w:p>
    <w:p>
      <w:pPr>
        <w:pStyle w:val="Normal"/>
        <w:rPr/>
      </w:pPr>
      <w:r>
        <w:rPr/>
        <w:tab/>
        <w:t xml:space="preserve">(b) </w:t>
        <w:tab/>
        <w:t xml:space="preserve">international arbitration under the Rules of the International Chamber of </w:t>
        <w:tab/>
        <w:tab/>
        <w:tab/>
        <w:t xml:space="preserve">Commerce (“ICC Rules”) or of the London Chamber of International </w:t>
        <w:tab/>
        <w:tab/>
        <w:tab/>
        <w:tab/>
        <w:t>Arbitration (“LCIA”), in either case in London; and</w:t>
      </w:r>
    </w:p>
    <w:p>
      <w:pPr>
        <w:pStyle w:val="Normal"/>
        <w:ind w:hanging="709" w:start="709" w:end="0"/>
        <w:rPr/>
      </w:pPr>
      <w:r>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pPr>
      <w:r>
        <w:rPr/>
        <w:t>(III)</w:t>
        <w:tab/>
        <w:t>in all cases, however, that either form of arbitration under Section 1D(I) above will be conducted in the English language; then</w:t>
      </w:r>
    </w:p>
    <w:p>
      <w:pPr>
        <w:pStyle w:val="Normal"/>
        <w:rPr/>
      </w:pPr>
      <w:r>
        <w:rPr/>
        <w:t xml:space="preserve">please would you answer the following questions.  </w:t>
      </w:r>
    </w:p>
    <w:p>
      <w:pPr>
        <w:pStyle w:val="Normal"/>
        <w:rPr>
          <w:i/>
          <w:i/>
        </w:rPr>
      </w:pPr>
      <w:r>
        <w:rPr>
          <w:i/>
        </w:rPr>
        <w:t>Questions</w:t>
      </w:r>
    </w:p>
    <w:p>
      <w:pPr>
        <w:pStyle w:val="Normal"/>
        <w:rPr/>
      </w:pPr>
      <w:r>
        <w:rPr/>
        <w:t>(a)</w:t>
        <w:tab/>
        <w:t xml:space="preserve">Would any Local Counterparty (public or private) be granted immunity from suit, </w:t>
        <w:tab/>
        <w:t xml:space="preserve">attachment of assets or execution of judgements, either in the form of sovereign </w:t>
        <w:tab/>
        <w:t>immunity or otherwise?</w:t>
      </w:r>
    </w:p>
    <w:p>
      <w:pPr>
        <w:pStyle w:val="Normal"/>
        <w:ind w:hanging="709" w:start="709" w:end="0"/>
        <w:rPr/>
      </w:pPr>
      <w:r>
        <w:rPr/>
        <w:t>(b)</w:t>
        <w:tab/>
        <w:t>Please confirm that the agreement of a Local Counterparty to submit to the substantive law of the State of New York or the Laws of England and further to submit to either:</w:t>
      </w:r>
    </w:p>
    <w:p>
      <w:pPr>
        <w:pStyle w:val="Normal"/>
        <w:ind w:hanging="709" w:start="1418" w:end="0"/>
        <w:rPr/>
      </w:pPr>
      <w:r>
        <w:rPr/>
        <w:t xml:space="preserve">(i) </w:t>
        <w:tab/>
        <w:t xml:space="preserve">AAA arbitration under the FAA to be held in New York City; or </w:t>
      </w:r>
    </w:p>
    <w:p>
      <w:pPr>
        <w:pStyle w:val="Normal"/>
        <w:ind w:hanging="709" w:start="1418" w:end="0"/>
        <w:rPr/>
      </w:pPr>
      <w:r>
        <w:rPr/>
        <w:t xml:space="preserve">(ii) </w:t>
        <w:tab/>
        <w:t xml:space="preserve">arbitration under either the ICC or LCIA Rules to be held in London, </w:t>
      </w:r>
    </w:p>
    <w:p>
      <w:pPr>
        <w:pStyle w:val="Normal"/>
        <w:ind w:start="709" w:end="0"/>
        <w:rPr/>
      </w:pPr>
      <w:r>
        <w:rPr/>
        <w:t xml:space="preserve">would be legally valid, binding and enforceable under the laws of </w:t>
      </w:r>
      <w:r>
        <w:rPr>
          <w:lang w:val="en-US"/>
        </w:rPr>
        <w:t>Hong Kong</w:t>
      </w:r>
      <w:r>
        <w:rPr/>
        <w:t xml:space="preserve">. </w:t>
      </w:r>
    </w:p>
    <w:p>
      <w:pPr>
        <w:pStyle w:val="Normal"/>
        <w:ind w:hanging="1417" w:start="1417" w:end="0"/>
        <w:rPr/>
      </w:pPr>
      <w:r>
        <w:rPr/>
        <w:t>(c)</w:t>
        <w:tab/>
        <w:t>(i)</w:t>
        <w:tab/>
        <w:t xml:space="preserve">Would a Court in </w:t>
      </w:r>
      <w:r>
        <w:rPr>
          <w:lang w:val="en-US"/>
        </w:rPr>
        <w:t>Hong Kong</w:t>
      </w:r>
      <w:r>
        <w:rPr/>
        <w:t xml:space="preserve"> enforce a judgment rendered by either (1) arbitrators in New York governed by the FAA and pursuant to the AAA Rules or (2) arbitrators in London pursuant to either the ICC or LCIA Rules?  </w:t>
      </w:r>
    </w:p>
    <w:p>
      <w:pPr>
        <w:pStyle w:val="Normal"/>
        <w:ind w:hanging="708" w:start="1417" w:end="0"/>
        <w:rPr/>
      </w:pPr>
      <w:r>
        <w:rPr/>
        <w:t>(ii)</w:t>
        <w:tab/>
        <w:t xml:space="preserve">Is there any possibility of the national or local courts of </w:t>
      </w:r>
      <w:r>
        <w:rPr>
          <w:lang w:val="en-US"/>
        </w:rPr>
        <w:t>Hong Kong</w:t>
      </w:r>
      <w:r>
        <w:rPr/>
        <w:t xml:space="preserve"> challenging or otherwise intervening in relation to any award made by any such arbitral tribunal?  </w:t>
      </w:r>
    </w:p>
    <w:p>
      <w:pPr>
        <w:pStyle w:val="Normal"/>
        <w:ind w:hanging="708" w:start="1417" w:end="0"/>
        <w:rPr/>
      </w:pPr>
      <w:r>
        <w:rPr/>
        <w:t>(iii)</w:t>
        <w:tab/>
        <w:t xml:space="preserve">Would a party have any right to appeal to the courts in </w:t>
      </w:r>
      <w:r>
        <w:rPr>
          <w:lang w:val="en-US"/>
        </w:rPr>
        <w:t>Hong Kong</w:t>
      </w:r>
      <w:r>
        <w:rPr/>
        <w:t xml:space="preserve"> in respect of an award made by either such body, or could it challenge the validity of the award? </w:t>
      </w:r>
    </w:p>
    <w:p>
      <w:pPr>
        <w:pStyle w:val="Normal"/>
        <w:ind w:hanging="709" w:start="709" w:end="0"/>
        <w:rPr/>
      </w:pPr>
      <w:r>
        <w:rPr/>
        <w:t>(d)</w:t>
        <w:tab/>
        <w:t xml:space="preserve">If an award of arbitrators pursuant to either form and location of arbitration as referred to in Section 1D(I) above is enforceable in the courts of </w:t>
      </w:r>
      <w:r>
        <w:rPr>
          <w:lang w:val="en-US"/>
        </w:rPr>
        <w:t>Hong Kong,</w:t>
      </w:r>
      <w:r>
        <w:rPr/>
        <w:t xml:space="preserve"> would ECI experience any significant delays in such courts in seeking enforcement of such award?</w:t>
      </w:r>
    </w:p>
    <w:p>
      <w:pPr>
        <w:pStyle w:val="Normal"/>
        <w:keepNext w:val="true"/>
        <w:ind w:hanging="709" w:start="709" w:end="26"/>
        <w:rPr/>
      </w:pPr>
      <w:r>
        <w:rPr>
          <w:b/>
        </w:rPr>
        <w:t>E.</w:t>
        <w:tab/>
      </w:r>
      <w:r>
        <w:rPr>
          <w:b/>
          <w:u w:val="single"/>
        </w:rPr>
        <w:t>Events of Default, Insolvency and Early Termination</w:t>
      </w:r>
    </w:p>
    <w:p>
      <w:pPr>
        <w:pStyle w:val="Normal"/>
        <w:ind w:hanging="709" w:start="709" w:end="26"/>
        <w:rPr/>
      </w:pPr>
      <w:r>
        <w:rPr/>
        <w:t>(a)</w:t>
        <w:tab/>
        <w:t xml:space="preserve">Assuming that no Bankruptcy Proceeding (as such term is defined in the Master Agreement / GTCs) or similar event occurred to a Local Counterparty, if Hong Kong law were the governing law of a Transaction(s) (rather than New York or English Law) with that Local Counterparty, would a court in </w:t>
      </w:r>
      <w:r>
        <w:rPr>
          <w:lang w:val="en-US"/>
        </w:rPr>
        <w:t>Hong Kong</w:t>
      </w:r>
      <w:r>
        <w:rPr/>
        <w:t xml:space="preserve"> enforce the Early Termination provisions of Section [6] of the Master Agreement or GTCs (including, but not limited to, the set-off provisions thereof) against a Local Counterparty?</w:t>
      </w:r>
    </w:p>
    <w:p>
      <w:pPr>
        <w:pStyle w:val="Normal"/>
        <w:ind w:hanging="709" w:start="709" w:end="26"/>
        <w:rPr/>
      </w:pPr>
      <w:r>
        <w:rPr/>
        <w:t>(b)</w:t>
        <w:tab/>
        <w:t xml:space="preserve">If the Master Agreement / GTCs (and their underlying Transactions) could be so terminated, would a court in </w:t>
      </w:r>
      <w:r>
        <w:rPr>
          <w:lang w:val="en-US"/>
        </w:rPr>
        <w:t>Hong Kong</w:t>
      </w:r>
      <w:r>
        <w:rPr/>
        <w:t xml:space="preserve">, applying </w:t>
      </w:r>
      <w:r>
        <w:rPr>
          <w:lang w:val="en-US"/>
        </w:rPr>
        <w:t>Hong Kong</w:t>
      </w:r>
      <w:r>
        <w:rPr/>
        <w:t xml:space="preserve">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pPr>
      <w:r>
        <w:rPr/>
        <w:t>(c)</w:t>
        <w:tab/>
        <w:t xml:space="preserve">Would a court in </w:t>
      </w:r>
      <w:r>
        <w:rPr>
          <w:lang w:val="en-US"/>
        </w:rPr>
        <w:t>Hong Kong,</w:t>
      </w:r>
      <w:r>
        <w:rPr/>
        <w:t xml:space="preserve"> applying </w:t>
      </w:r>
      <w:r>
        <w:rPr>
          <w:lang w:val="en-US"/>
        </w:rPr>
        <w:t>Hong Kong</w:t>
      </w:r>
      <w:r>
        <w:rPr/>
        <w:t xml:space="preserve">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pPr>
      <w:r>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pPr>
      <w:r>
        <w:rPr/>
        <w:t>(e)</w:t>
        <w:tab/>
        <w:t>On the assumption that the Local Counterparty entering into Transactions with ECI was either:</w:t>
      </w:r>
    </w:p>
    <w:p>
      <w:pPr>
        <w:pStyle w:val="Normal"/>
        <w:ind w:start="709" w:end="0"/>
        <w:rPr/>
      </w:pPr>
      <w:r>
        <w:rPr/>
        <w:t>(I)</w:t>
        <w:tab/>
        <w:t xml:space="preserve">incorporated in </w:t>
      </w:r>
      <w:r>
        <w:rPr>
          <w:lang w:val="en-US"/>
        </w:rPr>
        <w:t>Hong Kong</w:t>
      </w:r>
      <w:r>
        <w:rPr/>
        <w:t xml:space="preserve"> but had a branch or other form of presence </w:t>
        <w:tab/>
        <w:t xml:space="preserve">outside of </w:t>
      </w:r>
      <w:r>
        <w:rPr>
          <w:lang w:val="en-US"/>
        </w:rPr>
        <w:t>Hong Kong</w:t>
      </w:r>
      <w:r>
        <w:rPr/>
        <w:t xml:space="preserve"> in another jurisdiction; or </w:t>
      </w:r>
    </w:p>
    <w:p>
      <w:pPr>
        <w:pStyle w:val="Normal"/>
        <w:ind w:start="709" w:end="0"/>
        <w:rPr/>
      </w:pPr>
      <w:r>
        <w:rPr/>
        <w:t>(II)</w:t>
        <w:tab/>
        <w:t xml:space="preserve">was incorporated outside of </w:t>
      </w:r>
      <w:r>
        <w:rPr>
          <w:lang w:val="en-US"/>
        </w:rPr>
        <w:t>Hong Kong</w:t>
      </w:r>
      <w:r>
        <w:rPr/>
        <w:t xml:space="preserve"> but had a branch or other form of </w:t>
        <w:tab/>
        <w:t xml:space="preserve">presence in </w:t>
      </w:r>
      <w:r>
        <w:rPr>
          <w:lang w:val="en-US"/>
        </w:rPr>
        <w:t>Hong Kong</w:t>
      </w:r>
      <w:r>
        <w:rPr/>
        <w:t xml:space="preserve">, </w:t>
      </w:r>
    </w:p>
    <w:p>
      <w:pPr>
        <w:pStyle w:val="Normal"/>
        <w:ind w:start="709" w:end="0"/>
        <w:rPr/>
      </w:pPr>
      <w:r>
        <w:rPr/>
        <w:t xml:space="preserve">and the Local Counterparty became subject to a Bankruptcy Proceeding, then, in either case (I) or (II), and in the event that an insolvency official was appointed both to the Local Counterparty in </w:t>
      </w:r>
      <w:r>
        <w:rPr>
          <w:lang w:val="en-US"/>
        </w:rPr>
        <w:t>Hong Kong</w:t>
      </w:r>
      <w:r>
        <w:rPr/>
        <w:t xml:space="preserve"> and to its presence in the jurisdiction outside of </w:t>
      </w:r>
      <w:r>
        <w:rPr>
          <w:lang w:val="en-US"/>
        </w:rPr>
        <w:t>Hong Kong</w:t>
      </w:r>
      <w:r>
        <w:rPr/>
        <w:t>:</w:t>
      </w:r>
    </w:p>
    <w:p>
      <w:pPr>
        <w:pStyle w:val="Normal"/>
        <w:ind w:hanging="709" w:start="1418" w:end="0"/>
        <w:rPr/>
      </w:pPr>
      <w:r>
        <w:rPr/>
        <w:t>(i)</w:t>
        <w:tab/>
        <w:t>Would your answers to any of Section 1E(c) to (d), inclusive, above change in any manner?</w:t>
      </w:r>
    </w:p>
    <w:p>
      <w:pPr>
        <w:pStyle w:val="Normal"/>
        <w:ind w:hanging="709" w:start="1418" w:end="0"/>
        <w:rPr/>
      </w:pPr>
      <w:r>
        <w:rPr/>
        <w:t>(ii)</w:t>
        <w:tab/>
        <w:t xml:space="preserve">Does </w:t>
      </w:r>
      <w:r>
        <w:rPr>
          <w:lang w:val="en-US"/>
        </w:rPr>
        <w:t>Hong Kong</w:t>
      </w:r>
      <w:r>
        <w:rPr/>
        <w:t xml:space="preserve"> have any bankruptcy treaties with any other countries and what is the effect of  such treaties?</w:t>
      </w:r>
    </w:p>
    <w:p>
      <w:pPr>
        <w:pStyle w:val="Normal"/>
        <w:ind w:hanging="709" w:start="1418" w:end="0"/>
        <w:rPr/>
      </w:pPr>
      <w:r>
        <w:rPr/>
        <w:t>(iii)</w:t>
        <w:tab/>
        <w:t xml:space="preserve">Would the insolvency of the Local Counterparty in </w:t>
      </w:r>
      <w:r>
        <w:rPr>
          <w:lang w:val="en-US"/>
        </w:rPr>
        <w:t>Hong Kong</w:t>
      </w:r>
      <w:r>
        <w:rPr/>
        <w:t xml:space="preserve"> proceed without deference to, or being impacted in any manner by, any insolvency proceedings in any jurisdiction outside of </w:t>
      </w:r>
      <w:r>
        <w:rPr>
          <w:lang w:val="en-US"/>
        </w:rPr>
        <w:t>Hong Kong</w:t>
      </w:r>
      <w:r>
        <w:rPr/>
        <w:t xml:space="preserve"> where the Local Counterparty also had a presence?</w:t>
      </w:r>
    </w:p>
    <w:p>
      <w:pPr>
        <w:pStyle w:val="Normal"/>
        <w:rPr/>
      </w:pPr>
      <w:r>
        <w:rPr>
          <w:b/>
        </w:rPr>
        <w:t>F.</w:t>
      </w:r>
      <w:r>
        <w:rPr/>
        <w:tab/>
      </w:r>
      <w:r>
        <w:rPr>
          <w:b/>
          <w:u w:val="single"/>
        </w:rPr>
        <w:t>Liquidated Damages provisions</w:t>
      </w:r>
    </w:p>
    <w:p>
      <w:pPr>
        <w:pStyle w:val="Normal"/>
        <w:ind w:start="720" w:end="0"/>
        <w:rPr/>
      </w:pPr>
      <w:r>
        <w:rPr/>
        <w:t xml:space="preserve">If suit were brought in </w:t>
      </w:r>
      <w:r>
        <w:rPr>
          <w:lang w:val="en-US"/>
        </w:rPr>
        <w:t>Hong Kong</w:t>
      </w:r>
      <w:r>
        <w:rPr/>
        <w:t xml:space="preserve"> by ECI to enforce the Liquidated Damages provisions of Section 3.5 of the Master Agreement / GTCs against the Local Counterparty, and the court in </w:t>
      </w:r>
      <w:r>
        <w:rPr>
          <w:lang w:val="en-US"/>
        </w:rPr>
        <w:t>Hong Kong</w:t>
      </w:r>
      <w:r>
        <w:rPr/>
        <w:t xml:space="preserve"> applied the laws of </w:t>
      </w:r>
      <w:r>
        <w:rPr>
          <w:lang w:val="en-US"/>
        </w:rPr>
        <w:t>Hong Kong</w:t>
      </w:r>
      <w:r>
        <w:rPr/>
        <w:t xml:space="preserve"> (either because the court did not enforce the choice of foreign law or because the parties elected for the laws of </w:t>
      </w:r>
      <w:r>
        <w:rPr>
          <w:lang w:val="en-US"/>
        </w:rPr>
        <w:t>Hong Kong</w:t>
      </w:r>
      <w:r>
        <w:rPr/>
        <w:t xml:space="preserve"> to govern the Transactions) would those Liquidated Damages provisions be enforceable in all respects against the Local Counterparty?  Or would the court in </w:t>
      </w:r>
      <w:r>
        <w:rPr>
          <w:lang w:val="en-US"/>
        </w:rPr>
        <w:t>Hong Kong</w:t>
      </w:r>
      <w:r>
        <w:rPr/>
        <w:t xml:space="preserve"> view such provisions as being unenforceable for being, for example, a penalty? </w:t>
      </w:r>
    </w:p>
    <w:p>
      <w:pPr>
        <w:pStyle w:val="Normal"/>
        <w:keepNext w:val="true"/>
        <w:rPr/>
      </w:pPr>
      <w:r>
        <w:rPr>
          <w:b/>
        </w:rPr>
        <w:t>G.</w:t>
        <w:tab/>
      </w:r>
      <w:r>
        <w:rPr>
          <w:b/>
          <w:u w:val="single"/>
        </w:rPr>
        <w:t>Foreign Exchange Controls and Usury</w:t>
      </w:r>
    </w:p>
    <w:p>
      <w:pPr>
        <w:pStyle w:val="Normal"/>
        <w:ind w:hanging="709" w:start="709" w:end="0"/>
        <w:rPr/>
      </w:pPr>
      <w:r>
        <w:rPr/>
        <w:t>(a)</w:t>
        <w:tab/>
        <w:t xml:space="preserve">Transactions may require that payments be made in non-local currencies (e.g. United States Dollars) and delivered into </w:t>
      </w:r>
      <w:r>
        <w:rPr>
          <w:lang w:val="en-US"/>
        </w:rPr>
        <w:t>Hong Kong</w:t>
      </w:r>
      <w:r>
        <w:rPr/>
        <w:t xml:space="preserve"> or a foreign jurisdiction.  To what extent are central bank approval or other foreign exchange controls in </w:t>
      </w:r>
      <w:r>
        <w:rPr>
          <w:lang w:val="en-US"/>
        </w:rPr>
        <w:t>Hong Kong</w:t>
      </w:r>
      <w:r>
        <w:rPr/>
        <w:t xml:space="preserve"> applicable to payments made by either ECI or Local Counterparty to the other in respect of the Transactions?</w:t>
      </w:r>
    </w:p>
    <w:p>
      <w:pPr>
        <w:pStyle w:val="Normal"/>
        <w:ind w:hanging="1418" w:start="1418" w:end="0"/>
        <w:rPr/>
      </w:pPr>
      <w:r>
        <w:rPr/>
        <w:t>(b)</w:t>
        <w:tab/>
        <w:t>(i)</w:t>
        <w:tab/>
        <w:t xml:space="preserve">Are there any usury laws in </w:t>
      </w:r>
      <w:r>
        <w:rPr>
          <w:lang w:val="en-US"/>
        </w:rPr>
        <w:t>Hong Kong</w:t>
      </w:r>
      <w:r>
        <w:rPr/>
        <w:t xml:space="preserve"> which may apply to the Transactions and, to the extent that usury laws apply, what are the rate restrictions?  </w:t>
      </w:r>
    </w:p>
    <w:p>
      <w:pPr>
        <w:pStyle w:val="Normal"/>
        <w:ind w:hanging="709" w:start="1418" w:end="0"/>
        <w:rPr/>
      </w:pPr>
      <w:r>
        <w:rPr/>
        <w:t>(ii)</w:t>
        <w:tab/>
        <w:t xml:space="preserve">Are there any available exemptions?  </w:t>
      </w:r>
    </w:p>
    <w:p>
      <w:pPr>
        <w:pStyle w:val="Normal"/>
        <w:ind w:hanging="709" w:start="1418" w:end="0"/>
        <w:rPr/>
      </w:pPr>
      <w:r>
        <w:rPr/>
        <w:t>(iii)</w:t>
        <w:tab/>
        <w:t>If no exemptions exist, what are the consequences as to enforceability and penalties?</w:t>
      </w:r>
    </w:p>
    <w:p>
      <w:pPr>
        <w:pStyle w:val="Normal"/>
        <w:keepNext w:val="true"/>
        <w:rPr/>
      </w:pPr>
      <w:r>
        <w:rPr>
          <w:b/>
        </w:rPr>
        <w:t>H.</w:t>
        <w:tab/>
      </w:r>
      <w:r>
        <w:rPr>
          <w:b/>
          <w:u w:val="single"/>
        </w:rPr>
        <w:t>Taxation</w:t>
      </w:r>
    </w:p>
    <w:p>
      <w:pPr>
        <w:pStyle w:val="Normal"/>
        <w:ind w:start="709" w:end="0"/>
        <w:rPr/>
      </w:pPr>
      <w:r>
        <w:rPr/>
        <w:t xml:space="preserve">In respect of a Transaction, are there any taxes, duties or levies in </w:t>
      </w:r>
      <w:r>
        <w:rPr>
          <w:lang w:val="en-US"/>
        </w:rPr>
        <w:t>Hong Kong</w:t>
      </w:r>
      <w:r>
        <w:rPr/>
        <w:t xml:space="preserve">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w:t>
      </w:r>
      <w:r>
        <w:rPr>
          <w:lang w:val="en-US"/>
        </w:rPr>
        <w:t>Hong Kong</w:t>
      </w:r>
      <w:r>
        <w:rPr/>
        <w:t xml:space="preserve"> or (b) is incorporated in, or has a branch or establishment in </w:t>
      </w:r>
      <w:r>
        <w:rPr>
          <w:lang w:val="en-US"/>
        </w:rPr>
        <w:t>Hong Kong</w:t>
      </w:r>
      <w:r>
        <w:rPr/>
        <w:t>.</w:t>
      </w:r>
    </w:p>
    <w:p>
      <w:pPr>
        <w:pStyle w:val="Normal"/>
        <w:keepNext w:val="true"/>
        <w:ind w:end="26"/>
        <w:rPr>
          <w:b/>
        </w:rPr>
      </w:pPr>
      <w:r>
        <w:rPr>
          <w:b/>
        </w:rPr>
        <w:t>I.</w:t>
        <w:tab/>
      </w:r>
      <w:r>
        <w:rPr>
          <w:b/>
          <w:u w:val="single"/>
        </w:rPr>
        <w:t>Miscellaneous</w:t>
      </w:r>
    </w:p>
    <w:p>
      <w:pPr>
        <w:pStyle w:val="Normal"/>
        <w:ind w:hanging="709" w:start="709" w:end="0"/>
        <w:rPr/>
      </w:pPr>
      <w:r>
        <w:rPr/>
        <w:t>(a)</w:t>
        <w:tab/>
        <w:t xml:space="preserve">Are there any restrictions under local law in </w:t>
      </w:r>
      <w:r>
        <w:rPr>
          <w:lang w:val="en-US"/>
        </w:rPr>
        <w:t>Hong Kong</w:t>
      </w:r>
      <w:r>
        <w:rPr/>
        <w:t xml:space="preserve"> that would apply to ECI’s marketing or solicitation efforts with respect to these Transactions?  If so, briefly describe.</w:t>
      </w:r>
    </w:p>
    <w:p>
      <w:pPr>
        <w:pStyle w:val="Normal"/>
        <w:ind w:hanging="709" w:start="709" w:end="0"/>
        <w:rPr/>
      </w:pPr>
      <w:r>
        <w:rPr/>
        <w:t>(b)</w:t>
        <w:tab/>
        <w:t xml:space="preserve">Would any consumer protection laws apply to the Transactions even though ECI will not be dealing with private individuals in </w:t>
      </w:r>
      <w:r>
        <w:rPr>
          <w:lang w:val="en-US"/>
        </w:rPr>
        <w:t>Hong Kong</w:t>
      </w:r>
      <w:r>
        <w:rPr/>
        <w:t>?</w:t>
      </w:r>
    </w:p>
    <w:p>
      <w:pPr>
        <w:pStyle w:val="Normal"/>
        <w:ind w:hanging="709" w:start="709" w:end="0"/>
        <w:rPr/>
      </w:pPr>
      <w:r>
        <w:rPr/>
        <w:t>(c)</w:t>
        <w:tab/>
        <w:t xml:space="preserve">Are there any other legal or regulatory issues under laws or regulations in </w:t>
      </w:r>
      <w:r>
        <w:rPr>
          <w:lang w:val="en-US"/>
        </w:rPr>
        <w:t>Hong Kong</w:t>
      </w:r>
      <w:r>
        <w:rPr/>
        <w:t xml:space="preserve"> relating to the Transactions and / or the Master Agreement and / or the GTCs of which ECI should be made aware?</w:t>
      </w:r>
      <w:r>
        <w:br w:type="page"/>
      </w:r>
    </w:p>
    <w:p>
      <w:pPr>
        <w:pStyle w:val="Normal"/>
        <w:ind w:hanging="709" w:start="709" w:end="0"/>
        <w:jc w:val="center"/>
        <w:rPr>
          <w:b/>
        </w:rPr>
      </w:pPr>
      <w:r>
        <w:rPr>
          <w:b/>
        </w:rPr>
        <w:t>SECTION 2. - TRADING BANDWIDTH WITHOUT ACTUAL PHYSICAL DELIVERY</w:t>
      </w:r>
    </w:p>
    <w:p>
      <w:pPr>
        <w:pStyle w:val="Normal"/>
        <w:keepNext w:val="true"/>
        <w:rPr>
          <w:i/>
          <w:i/>
        </w:rPr>
      </w:pPr>
      <w:r>
        <w:rPr>
          <w:i/>
        </w:rPr>
        <w:t xml:space="preserve">Introduction and explanation of closing-out Transactions before they go to physical delivery </w:t>
      </w:r>
    </w:p>
    <w:p>
      <w:pPr>
        <w:pStyle w:val="Normal"/>
        <w:rPr/>
      </w:pPr>
      <w:r>
        <w:rPr/>
        <w:t>Note:</w:t>
        <w:tab/>
        <w:t xml:space="preserve">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w:t>
      </w:r>
      <w:r>
        <w:rPr>
          <w:lang w:val="en-US"/>
        </w:rPr>
        <w:t>Hong Kong.</w:t>
      </w:r>
    </w:p>
    <w:p>
      <w:pPr>
        <w:pStyle w:val="Normal"/>
        <w:rPr/>
      </w:pPr>
      <w:r>
        <w:rPr/>
        <w:t xml:space="preserve">Paragraphs A to [I], inclusive, of Section 1 above deal with the situation where, in a Transaction, a seller of Bandwidth (e.g. either ECI or the Local Counterparty) sells Bandwidth to a buyer (e.g., either the Local Counterparty or ECI) for ultimate </w:t>
      </w:r>
      <w:r>
        <w:rPr>
          <w:i/>
        </w:rPr>
        <w:t>physical</w:t>
      </w:r>
      <w:r>
        <w:rPr/>
        <w:t xml:space="preserve"> delivery of such Bandwidth by that seller to that buyer.  It may also be the case however that that Transaction may not go to actual </w:t>
      </w:r>
      <w:r>
        <w:rPr>
          <w:i/>
        </w:rPr>
        <w:t>physical</w:t>
      </w:r>
      <w:r>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pPr>
      <w:r>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i/>
        </w:rPr>
        <w:t>directly</w:t>
      </w:r>
      <w:r>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pPr>
      <w:r>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pPr>
      <w:r>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pPr>
      <w:r>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pPr>
      <w:r>
        <w:rPr/>
        <w:t xml:space="preserve">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w:t>
      </w:r>
      <w:r>
        <w:rPr>
          <w:lang w:val="en-US"/>
        </w:rPr>
        <w:t>Hong Kong</w:t>
      </w:r>
      <w:r>
        <w:rPr/>
        <w:t xml:space="preserve">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rPr>
          <w:i/>
          <w:i/>
        </w:rPr>
      </w:pPr>
      <w:r>
        <w:rPr>
          <w:i/>
        </w:rPr>
        <w:t>Questions</w:t>
      </w:r>
    </w:p>
    <w:p>
      <w:pPr>
        <w:pStyle w:val="Normal"/>
        <w:rPr/>
      </w:pPr>
      <w:r>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b/>
        </w:rPr>
      </w:pPr>
      <w:r>
        <w:rPr>
          <w:b/>
        </w:rPr>
        <w:t>SECTION 3. – ESTABLISHMENT OF POOLING POINTS AND CONNECTION OF TELECOMMUNICATIONS NETWORKS TO POOLING POINTS</w:t>
      </w:r>
    </w:p>
    <w:p>
      <w:pPr>
        <w:pStyle w:val="Normal"/>
        <w:keepNext w:val="true"/>
        <w:rPr>
          <w:b/>
        </w:rPr>
      </w:pPr>
      <w:r>
        <w:rPr>
          <w:b/>
        </w:rPr>
        <w:t>A.</w:t>
        <w:tab/>
      </w:r>
      <w:r>
        <w:rPr>
          <w:b/>
          <w:u w:val="single"/>
        </w:rPr>
        <w:t xml:space="preserve">Establishment of Pooling Point in </w:t>
      </w:r>
      <w:r>
        <w:rPr>
          <w:b/>
          <w:u w:val="single"/>
          <w:lang w:val="en-US"/>
        </w:rPr>
        <w:t>Hong Kong</w:t>
      </w:r>
      <w:r>
        <w:rPr>
          <w:b/>
          <w:u w:val="single"/>
        </w:rPr>
        <w:t xml:space="preserve"> by a Pooling Point Operator.</w:t>
      </w:r>
    </w:p>
    <w:p>
      <w:pPr>
        <w:pStyle w:val="Normal"/>
        <w:rPr>
          <w:i/>
          <w:i/>
        </w:rPr>
      </w:pPr>
      <w:r>
        <w:rPr>
          <w:i/>
        </w:rPr>
        <w:t>Introduction</w:t>
      </w:r>
    </w:p>
    <w:p>
      <w:pPr>
        <w:pStyle w:val="Normal"/>
        <w:rPr/>
      </w:pPr>
      <w:r>
        <w:rPr/>
        <w:t xml:space="preserve">It is envisaged that at same stage a Pooling Point may be established at a specific location in </w:t>
      </w:r>
      <w:r>
        <w:rPr>
          <w:lang w:val="en-US"/>
        </w:rPr>
        <w:t>Hong Kong.</w:t>
      </w:r>
      <w:r>
        <w:rPr/>
        <w:t xml:space="preserve"> Such Pooling Point would be owned and / or operated and / or administered by an entity which is termed herein a Pooling Point Developer.  Please note that the Pooling Point Developer may be a corporation(s) or partnership(s) but it/they would be a private entity(ies) rather than being a governmental or municipal entity(ies). </w:t>
      </w:r>
    </w:p>
    <w:p>
      <w:pPr>
        <w:pStyle w:val="Normal"/>
        <w:keepNext w:val="true"/>
        <w:rPr>
          <w:i/>
          <w:i/>
        </w:rPr>
      </w:pPr>
      <w:r>
        <w:rPr>
          <w:i/>
        </w:rPr>
        <w:t>Assumption</w:t>
      </w:r>
    </w:p>
    <w:p>
      <w:pPr>
        <w:pStyle w:val="Normal"/>
        <w:rPr/>
      </w:pPr>
      <w:r>
        <w:rPr/>
        <w:t xml:space="preserve">Assume when answering questions (a) to (d), inclusive, in this Section 3(A), that the Pooling Point Developer would not be incorporated in, nor have any branch or other form of presence in, </w:t>
      </w:r>
      <w:r>
        <w:rPr>
          <w:lang w:val="en-US"/>
        </w:rPr>
        <w:t>Hong Kong</w:t>
      </w:r>
      <w:r>
        <w:rPr/>
        <w:t>.</w:t>
      </w:r>
    </w:p>
    <w:p>
      <w:pPr>
        <w:pStyle w:val="Normal"/>
        <w:rPr>
          <w:i/>
          <w:i/>
        </w:rPr>
      </w:pPr>
      <w:r>
        <w:rPr>
          <w:i/>
        </w:rPr>
        <w:t>Questions</w:t>
      </w:r>
    </w:p>
    <w:p>
      <w:pPr>
        <w:pStyle w:val="Normal"/>
        <w:ind w:hanging="709" w:start="709" w:end="0"/>
        <w:rPr/>
      </w:pPr>
      <w:r>
        <w:rPr/>
        <w:t>(a)</w:t>
        <w:tab/>
        <w:t xml:space="preserve">How would the establishment, ownership, operation or administration, of a Pooling Point fall to be examined and categorized under the telecoms regulatory regime in </w:t>
      </w:r>
      <w:r>
        <w:rPr>
          <w:lang w:val="en-US"/>
        </w:rPr>
        <w:t>Hong Kong?</w:t>
      </w:r>
    </w:p>
    <w:p>
      <w:pPr>
        <w:pStyle w:val="Normal"/>
        <w:ind w:hanging="709" w:start="709" w:end="0"/>
        <w:rPr/>
      </w:pPr>
      <w:r>
        <w:rPr/>
        <w:t>(b)</w:t>
        <w:tab/>
        <w:t xml:space="preserve">Would any licences, permits, consents or other governmental or regulatory approvals (for example, in the form of telecommunications) licences be required to be obtained in </w:t>
      </w:r>
      <w:r>
        <w:rPr>
          <w:lang w:val="en-US"/>
        </w:rPr>
        <w:t>Hong Kong</w:t>
      </w:r>
      <w:r>
        <w:rPr/>
        <w:t xml:space="preserve"> in order for the Pooling Point Developer to establish and/or own and/or operate and/or administer a Pooling Point in </w:t>
      </w:r>
      <w:r>
        <w:rPr>
          <w:lang w:val="en-US"/>
        </w:rPr>
        <w:t>Hong Kong</w:t>
      </w:r>
      <w:r>
        <w:rPr/>
        <w:t>?  If so, please describe:</w:t>
      </w:r>
    </w:p>
    <w:p>
      <w:pPr>
        <w:pStyle w:val="Normal"/>
        <w:ind w:hanging="709" w:start="1418" w:end="0"/>
        <w:rPr/>
      </w:pPr>
      <w:r>
        <w:rPr/>
        <w:t>(i)</w:t>
        <w:tab/>
        <w:t>which licences, permits, consents or other approvals are required, if any, and from whom they are required to be obtained for each of (a) the Pooling Point itself and (b) the Pooling Point Developer?; and</w:t>
      </w:r>
    </w:p>
    <w:p>
      <w:pPr>
        <w:pStyle w:val="Normal"/>
        <w:ind w:hanging="709" w:start="1418" w:end="0"/>
        <w:rPr/>
      </w:pPr>
      <w:r>
        <w:rPr/>
        <w:t>(ii)</w:t>
        <w:tab/>
        <w:t>if licences or permits would be required, which types of licences or permits would be applicable e.g., an individual licence, class licence or exemptions? and</w:t>
      </w:r>
    </w:p>
    <w:p>
      <w:pPr>
        <w:pStyle w:val="Normal"/>
        <w:ind w:hanging="709" w:start="1418" w:end="0"/>
        <w:rPr/>
      </w:pPr>
      <w:r>
        <w:rPr/>
        <w:t>(iii)</w:t>
        <w:tab/>
        <w:t>briefly describe the procedure and approximately how long it would take for the Pooling Point Developer to obtain any such licences, consents or approvals.</w:t>
      </w:r>
    </w:p>
    <w:p>
      <w:pPr>
        <w:pStyle w:val="Normal"/>
        <w:ind w:hanging="709" w:start="709" w:end="0"/>
        <w:rPr/>
      </w:pPr>
      <w:r>
        <w:rPr/>
        <w:t>(c)</w:t>
        <w:tab/>
        <w:t xml:space="preserve">Which other elements of the telecoms regulatory regime in </w:t>
      </w:r>
      <w:r>
        <w:rPr>
          <w:lang w:val="en-US"/>
        </w:rPr>
        <w:t>Hong Kong</w:t>
      </w:r>
      <w:r>
        <w:rPr/>
        <w:t xml:space="preserve"> would effect the establishment, ownership, operation or administration of a Pooling Point in </w:t>
      </w:r>
      <w:r>
        <w:rPr>
          <w:lang w:val="en-US"/>
        </w:rPr>
        <w:t>Hong Kong</w:t>
      </w:r>
      <w:r>
        <w:rPr/>
        <w:t xml:space="preserve">?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w:t>
      </w:r>
      <w:r>
        <w:rPr>
          <w:lang w:val="en-US"/>
        </w:rPr>
        <w:t>Hong Kong</w:t>
      </w:r>
      <w:r>
        <w:rPr/>
        <w:t>?</w:t>
      </w:r>
    </w:p>
    <w:p>
      <w:pPr>
        <w:pStyle w:val="Normal"/>
        <w:ind w:hanging="709" w:start="709" w:end="0"/>
        <w:rPr/>
      </w:pPr>
      <w:r>
        <w:rPr/>
        <w:t>(d)</w:t>
        <w:tab/>
        <w:t xml:space="preserve">Would the Pooling Point Developer be subject to the rules and regulations of any regulatory body in </w:t>
      </w:r>
      <w:r>
        <w:rPr>
          <w:lang w:val="en-US"/>
        </w:rPr>
        <w:t>Hong Kong</w:t>
      </w:r>
      <w:r>
        <w:rPr/>
        <w:t xml:space="preserve"> in respect of the establishment and /or ownership and/or operation and / or administration of the Pooling Point?  If so, please:</w:t>
      </w:r>
    </w:p>
    <w:p>
      <w:pPr>
        <w:pStyle w:val="Normal"/>
        <w:ind w:hanging="709" w:start="1418" w:end="0"/>
        <w:rPr/>
      </w:pPr>
      <w:r>
        <w:rPr/>
        <w:t>(i)</w:t>
        <w:tab/>
        <w:t xml:space="preserve">identify and describe the nature of the regulatory body concerned; </w:t>
      </w:r>
    </w:p>
    <w:p>
      <w:pPr>
        <w:pStyle w:val="Normal"/>
        <w:ind w:hanging="709" w:start="1418" w:end="0"/>
        <w:rPr/>
      </w:pPr>
      <w:r>
        <w:rPr/>
        <w:t>(ii)</w:t>
        <w:tab/>
        <w:t xml:space="preserve">briefly describe the structure and composition of the regulatory body, including its powers and duties as they would relate to the ownership and / or establishment and / or operation and / or administration of the Pooling Point and/or the Pooling Point Developer; and </w:t>
      </w:r>
    </w:p>
    <w:p>
      <w:pPr>
        <w:pStyle w:val="Normal"/>
        <w:ind w:hanging="709" w:start="1418" w:end="0"/>
        <w:rPr/>
      </w:pPr>
      <w:r>
        <w:rPr/>
        <w:t>(iii)</w:t>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Normal"/>
        <w:ind w:hanging="709" w:start="1418" w:end="0"/>
        <w:rPr/>
      </w:pPr>
      <w:r>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709" w:end="0"/>
        <w:rPr/>
      </w:pPr>
      <w:r>
        <w:rPr/>
        <w:t>(e)</w:t>
        <w:tab/>
        <w:t>A switching facility such as a Pooling Point is a highly attractive and effective interception point for law enforcement agencies wishing to ‘tap’ into calls (wiretapping).</w:t>
      </w:r>
    </w:p>
    <w:p>
      <w:pPr>
        <w:pStyle w:val="Normal"/>
        <w:ind w:hanging="1418" w:start="1418" w:end="0"/>
        <w:rPr/>
      </w:pPr>
      <w:r>
        <w:rPr/>
        <w:tab/>
        <w:t>(i)</w:t>
        <w:tab/>
        <w:t xml:space="preserve">If a law enforcement agency in </w:t>
      </w:r>
      <w:r>
        <w:rPr>
          <w:lang w:val="en-US"/>
        </w:rPr>
        <w:t>Hong Kong</w:t>
      </w:r>
      <w:r>
        <w:rPr/>
        <w:t xml:space="preserve"> was to make a properly constituted request to intercept telecoms traffic at a Pooling Point, would the Pooling Point Developer be required under the laws of </w:t>
      </w:r>
      <w:r>
        <w:rPr>
          <w:lang w:val="en-US"/>
        </w:rPr>
        <w:t>Hong Kong</w:t>
      </w:r>
      <w:r>
        <w:rPr/>
        <w:t xml:space="preserve"> to comply with such request?</w:t>
      </w:r>
    </w:p>
    <w:p>
      <w:pPr>
        <w:pStyle w:val="Normal"/>
        <w:ind w:hanging="709" w:start="1418" w:end="0"/>
        <w:rPr/>
      </w:pPr>
      <w:r>
        <w:rPr/>
        <w:t>(ii)</w:t>
        <w:tab/>
        <w:t>If the party to whom the request is made is required to allow the interception as requested by the law enforcement agencies, what is the penalty for non-compliance?</w:t>
      </w:r>
    </w:p>
    <w:p>
      <w:pPr>
        <w:pStyle w:val="Normal"/>
        <w:ind w:hanging="709" w:start="709" w:end="0"/>
        <w:rPr/>
      </w:pPr>
      <w:r>
        <w:rPr/>
        <w:t>(f)</w:t>
        <w:tab/>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709" w:start="709" w:end="0"/>
        <w:rPr/>
      </w:pPr>
      <w:r>
        <w:rPr/>
        <w:t>(g)</w:t>
        <w:tab/>
        <w:t xml:space="preserve">Would the Pooling Point Developer need to be incorporated in, or have a branch in, or otherwise be established or have a presence in </w:t>
      </w:r>
      <w:r>
        <w:rPr>
          <w:lang w:val="en-US"/>
        </w:rPr>
        <w:t>Hong Kong</w:t>
      </w:r>
      <w:r>
        <w:rPr/>
        <w:t xml:space="preserve"> in order to establish and / or own and / or operate and / or administer the Pooling Point in </w:t>
      </w:r>
      <w:r>
        <w:rPr>
          <w:lang w:val="en-US"/>
        </w:rPr>
        <w:t>Hong Kong</w:t>
      </w:r>
      <w:r>
        <w:rPr/>
        <w:t xml:space="preserve">?  If so, please specify what type of entity(ies) the Pooling Point Developer would be required to establish in </w:t>
      </w:r>
      <w:r>
        <w:rPr>
          <w:lang w:val="en-US"/>
        </w:rPr>
        <w:t>Hong Kong</w:t>
      </w:r>
      <w:r>
        <w:rPr/>
        <w:t>.</w:t>
      </w:r>
    </w:p>
    <w:p>
      <w:pPr>
        <w:pStyle w:val="Normal"/>
        <w:ind w:hanging="709" w:start="709" w:end="0"/>
        <w:rPr/>
      </w:pPr>
      <w:r>
        <w:rPr/>
        <w:t>(h)</w:t>
        <w:tab/>
        <w:t xml:space="preserve">In the event that the Pooling Point Developer did establish a type of entity(ies) in </w:t>
      </w:r>
      <w:r>
        <w:rPr>
          <w:lang w:val="en-US"/>
        </w:rPr>
        <w:t>Hong Kong</w:t>
      </w:r>
      <w:r>
        <w:rPr/>
        <w:t xml:space="preserve">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keepNext w:val="true"/>
        <w:rPr/>
      </w:pPr>
      <w:r>
        <w:rPr>
          <w:b/>
        </w:rPr>
        <w:t>B</w:t>
        <w:tab/>
      </w:r>
      <w:r>
        <w:rPr>
          <w:b/>
          <w:u w:val="single"/>
        </w:rPr>
        <w:t>Connection of a telecommunications network to the Pooling Point.</w:t>
      </w:r>
    </w:p>
    <w:p>
      <w:pPr>
        <w:pStyle w:val="Normal"/>
        <w:rPr>
          <w:i/>
          <w:i/>
        </w:rPr>
      </w:pPr>
      <w:r>
        <w:rPr>
          <w:i/>
        </w:rPr>
        <w:t>Introduction</w:t>
      </w:r>
    </w:p>
    <w:p>
      <w:pPr>
        <w:pStyle w:val="Normal"/>
        <w:rPr/>
      </w:pPr>
      <w:r>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i/>
          <w:i/>
        </w:rPr>
      </w:pPr>
      <w:r>
        <w:rPr>
          <w:i/>
        </w:rPr>
        <w:t>Assumptions</w:t>
      </w:r>
    </w:p>
    <w:p>
      <w:pPr>
        <w:pStyle w:val="Normal"/>
        <w:rPr/>
      </w:pPr>
      <w:r>
        <w:rPr/>
        <w:t>When answering questions (a) to (f), inclusive, in this Section 3(B), please answer each question assuming:</w:t>
      </w:r>
    </w:p>
    <w:p>
      <w:pPr>
        <w:pStyle w:val="Normal"/>
        <w:ind w:hanging="709" w:start="709" w:end="0"/>
        <w:rPr/>
      </w:pPr>
      <w:r>
        <w:rPr/>
        <w:t>(I)</w:t>
        <w:tab/>
        <w:t xml:space="preserve">the Network Operator is neither incorporated in, nor has a branch or other establishment or presence in </w:t>
      </w:r>
      <w:r>
        <w:rPr>
          <w:lang w:val="en-US"/>
        </w:rPr>
        <w:t>Hong Kong</w:t>
      </w:r>
      <w:r>
        <w:rPr/>
        <w:t xml:space="preserve">; and </w:t>
      </w:r>
    </w:p>
    <w:p>
      <w:pPr>
        <w:pStyle w:val="Normal"/>
        <w:ind w:hanging="709" w:start="709" w:end="0"/>
        <w:rPr/>
      </w:pPr>
      <w:r>
        <w:rPr/>
        <w:t>(II)</w:t>
        <w:tab/>
        <w:t xml:space="preserve">the Network Operator is incorporated in, or has a branch or other establishment in </w:t>
      </w:r>
      <w:r>
        <w:rPr>
          <w:lang w:val="en-US"/>
        </w:rPr>
        <w:t>Hong Kong</w:t>
      </w:r>
      <w:r>
        <w:rPr/>
        <w:t>; and</w:t>
      </w:r>
    </w:p>
    <w:p>
      <w:pPr>
        <w:pStyle w:val="Normal"/>
        <w:ind w:hanging="709" w:start="709" w:end="0"/>
        <w:rPr/>
      </w:pPr>
      <w:r>
        <w:rPr/>
        <w:t>(III)</w:t>
        <w:tab/>
        <w:t xml:space="preserve">that the Pooling Point is located at a particular address in a city or town in </w:t>
      </w:r>
      <w:r>
        <w:rPr>
          <w:lang w:val="en-US"/>
        </w:rPr>
        <w:t>Hong Kong</w:t>
      </w:r>
      <w:r>
        <w:rPr/>
        <w:t>.</w:t>
      </w:r>
    </w:p>
    <w:p>
      <w:pPr>
        <w:pStyle w:val="Normal"/>
        <w:rPr>
          <w:i/>
          <w:i/>
        </w:rPr>
      </w:pPr>
      <w:r>
        <w:rPr>
          <w:i/>
        </w:rPr>
        <w:t>Questions</w:t>
      </w:r>
    </w:p>
    <w:p>
      <w:pPr>
        <w:pStyle w:val="Normal"/>
        <w:ind w:hanging="1418" w:start="1418" w:end="0"/>
        <w:rPr/>
      </w:pPr>
      <w:r>
        <w:rPr/>
        <w:t>(a)</w:t>
        <w:tab/>
        <w:t>(i)</w:t>
        <w:tab/>
        <w:t xml:space="preserve">How would the connection of a Network to a Pooling Point in </w:t>
      </w:r>
      <w:r>
        <w:rPr>
          <w:lang w:val="en-US"/>
        </w:rPr>
        <w:t>Hong Kong</w:t>
      </w:r>
      <w:r>
        <w:rPr/>
        <w:t xml:space="preserve"> fall to be examined or categorized under the telecoms regulatory regime in </w:t>
      </w:r>
      <w:r>
        <w:rPr>
          <w:lang w:val="en-US"/>
        </w:rPr>
        <w:t>Hong Kong</w:t>
      </w:r>
      <w:r>
        <w:rPr/>
        <w:t>?</w:t>
      </w:r>
    </w:p>
    <w:p>
      <w:pPr>
        <w:pStyle w:val="Normal"/>
        <w:ind w:hanging="709" w:start="1418" w:end="0"/>
        <w:rPr/>
      </w:pPr>
      <w:r>
        <w:rPr/>
        <w:t>(ii)</w:t>
        <w:tab/>
        <w:t xml:space="preserve">What forms of telecommunications licences would be required, if any, and how would these be obtained, in respect of the connection of a Network by a Network Operator to a Pooling Point in </w:t>
      </w:r>
      <w:r>
        <w:rPr>
          <w:lang w:val="en-US"/>
        </w:rPr>
        <w:t>Hong Kong</w:t>
      </w:r>
      <w:r>
        <w:rPr/>
        <w:t xml:space="preserve"> and would these need to be obtained by either the Network Operator concerned and/or the Pooling Point Developer?</w:t>
      </w:r>
    </w:p>
    <w:p>
      <w:pPr>
        <w:pStyle w:val="Normal"/>
        <w:ind w:hanging="709" w:start="1418" w:end="0"/>
        <w:rPr/>
      </w:pPr>
      <w:r>
        <w:rPr/>
        <w:t>(iii)</w:t>
        <w:tab/>
        <w:t>Which type of licence would be applicable, if any, e.g., individual licence, class licence or exemption?</w:t>
      </w:r>
    </w:p>
    <w:p>
      <w:pPr>
        <w:pStyle w:val="Normal"/>
        <w:ind w:hanging="709" w:start="709" w:end="0"/>
        <w:rPr/>
      </w:pPr>
      <w:r>
        <w:rPr/>
        <w:t>(b)</w:t>
        <w:tab/>
        <w:t xml:space="preserve">Which other elements of the telecoms regulatory regime in </w:t>
      </w:r>
      <w:r>
        <w:rPr>
          <w:lang w:val="en-US"/>
        </w:rPr>
        <w:t>Hong Kong</w:t>
      </w:r>
      <w:r>
        <w:rPr/>
        <w:t xml:space="preserve"> would effect the connection of a Network by a Network Operator to a Pooling Point in </w:t>
      </w:r>
      <w:r>
        <w:rPr>
          <w:lang w:val="en-US"/>
        </w:rPr>
        <w:t>Hong Kong</w:t>
      </w:r>
      <w:r>
        <w:rPr/>
        <w:t xml:space="preserve">?  For example, are there provisions relating to the publication of prices, limitation on prices, access control (third party access), interconnection/interoperability or technical interfacing which would affect such connection of a Network by a Network Operator to a Pooling Point in </w:t>
      </w:r>
      <w:r>
        <w:rPr>
          <w:lang w:val="en-US"/>
        </w:rPr>
        <w:t>Hong Kong</w:t>
      </w:r>
      <w:r>
        <w:rPr/>
        <w:t>?</w:t>
      </w:r>
    </w:p>
    <w:p>
      <w:pPr>
        <w:pStyle w:val="Normal"/>
        <w:ind w:hanging="1440" w:start="1440" w:end="0"/>
        <w:rPr/>
      </w:pPr>
      <w:r>
        <w:rPr/>
        <w:t>(c)</w:t>
        <w:tab/>
        <w:t>(i)</w:t>
        <w:tab/>
        <w:t xml:space="preserve">If different licences are necessary for those who operate Networks as opposed to those who merely provide services over those Networks in </w:t>
      </w:r>
      <w:r>
        <w:rPr>
          <w:lang w:val="en-US"/>
        </w:rPr>
        <w:t>Hong Kong</w:t>
      </w:r>
      <w:r>
        <w:rPr/>
        <w:t>, into which such category or categories would a Network Operator and /or Pooling Point Developer fall in respect of the connection of a Network to a Pooling Point?</w:t>
      </w:r>
    </w:p>
    <w:p>
      <w:pPr>
        <w:pStyle w:val="Normal"/>
        <w:ind w:hanging="709" w:start="1418" w:end="0"/>
        <w:rPr/>
      </w:pPr>
      <w:r>
        <w:rPr/>
        <w:t>(ii)</w:t>
        <w:tab/>
        <w:t>Is the above position in Section 3B(c)(i) be altered, and if so how, if the ownership of the Network and the operation of it are not done by one and the same entity?</w:t>
      </w:r>
    </w:p>
    <w:p>
      <w:pPr>
        <w:pStyle w:val="Normal"/>
        <w:ind w:hanging="709" w:start="709" w:end="0"/>
        <w:rPr/>
      </w:pPr>
      <w:r>
        <w:rPr/>
        <w:t>(d)</w:t>
        <w:tab/>
        <w:t xml:space="preserve">Would any other form of licences, permits, consents or other governmental approvals be required in </w:t>
      </w:r>
      <w:r>
        <w:rPr>
          <w:lang w:val="en-US"/>
        </w:rPr>
        <w:t>Hong Kong</w:t>
      </w:r>
      <w:r>
        <w:rPr/>
        <w:t xml:space="preserve"> in order for a Network Operator to establish and/or own and/or operate a Network in </w:t>
      </w:r>
      <w:r>
        <w:rPr>
          <w:lang w:val="en-US"/>
        </w:rPr>
        <w:t>Hong Kong</w:t>
      </w:r>
      <w:r>
        <w:rPr/>
        <w:t>?  If so, please describe.</w:t>
      </w:r>
    </w:p>
    <w:p>
      <w:pPr>
        <w:pStyle w:val="Normal"/>
        <w:ind w:hanging="709" w:start="709" w:end="0"/>
        <w:rPr/>
      </w:pPr>
      <w:r>
        <w:rPr/>
        <w:t>(e)</w:t>
        <w:tab/>
        <w:t xml:space="preserve">Would any other form of licences, permits, consents or other governmental approvals be required in </w:t>
      </w:r>
      <w:r>
        <w:rPr>
          <w:lang w:val="en-US"/>
        </w:rPr>
        <w:t>Hong Kong</w:t>
      </w:r>
      <w:r>
        <w:rPr/>
        <w:t xml:space="preserve"> in order for a Network Operator to connect a Network owned or operated by it to a Pooling Point located in </w:t>
      </w:r>
      <w:r>
        <w:rPr>
          <w:lang w:val="en-US"/>
        </w:rPr>
        <w:t>Hong Kong</w:t>
      </w:r>
      <w:r>
        <w:rPr/>
        <w:t xml:space="preserve">?  If so, please describe. </w:t>
      </w:r>
    </w:p>
    <w:p>
      <w:pPr>
        <w:pStyle w:val="Normal"/>
        <w:ind w:hanging="709" w:start="709" w:end="0"/>
        <w:rPr/>
      </w:pPr>
      <w:r>
        <w:rPr/>
        <w:t>(f)</w:t>
        <w:tab/>
        <w:t xml:space="preserve">For each of the respective situations set out in questions (a) to (e) of this Section 3(B), would a Network Operator and/or a Pooling Point Developer be subject to the rules and regulations of any regulatory body in </w:t>
      </w:r>
      <w:r>
        <w:rPr>
          <w:lang w:val="en-US"/>
        </w:rPr>
        <w:t>Hong Kong</w:t>
      </w:r>
      <w:r>
        <w:rPr/>
        <w:t>?  If so, please describe.</w:t>
      </w:r>
    </w:p>
    <w:p>
      <w:pPr>
        <w:pStyle w:val="Normal"/>
        <w:ind w:hanging="709" w:start="709" w:end="0"/>
        <w:rPr/>
      </w:pPr>
      <w:r>
        <w:rPr/>
        <w:t>(g)</w:t>
        <w:tab/>
        <w:t xml:space="preserve">Would a Network Operator need to be incorporated in, form a branch in, or otherwise be established or have a presence in </w:t>
      </w:r>
      <w:r>
        <w:rPr>
          <w:lang w:val="en-US"/>
        </w:rPr>
        <w:t>Hong Kong</w:t>
      </w:r>
      <w:r>
        <w:rPr/>
        <w:t xml:space="preserve"> in order for a Network Operator to establish, own or operate a Network in </w:t>
      </w:r>
      <w:r>
        <w:rPr>
          <w:lang w:val="en-US"/>
        </w:rPr>
        <w:t>Hong Kong</w:t>
      </w:r>
      <w:r>
        <w:rPr/>
        <w:t xml:space="preserve"> or for it to connect a Network owned or operated by it to a Pooling Point located in </w:t>
      </w:r>
      <w:r>
        <w:rPr>
          <w:lang w:val="en-US"/>
        </w:rPr>
        <w:t>Hong Kong</w:t>
      </w:r>
      <w:r>
        <w:rPr/>
        <w:t xml:space="preserve">?  If so, (i) please describe the type of entity concerned and (ii) please state whether any of your answers to the questions set out in paragraphs 3B(a) to (f), inclusive, would change, and if so, how, in the event that a Network Operator established such entity in </w:t>
      </w:r>
      <w:r>
        <w:rPr>
          <w:lang w:val="en-US"/>
        </w:rPr>
        <w:t>Hong Kong</w:t>
      </w:r>
      <w:r>
        <w:rPr/>
        <w:t>.</w:t>
      </w:r>
    </w:p>
    <w:p>
      <w:pPr>
        <w:pStyle w:val="Normal"/>
        <w:keepNext w:val="true"/>
        <w:rPr/>
      </w:pPr>
      <w:r>
        <w:rPr>
          <w:b/>
        </w:rPr>
        <w:t>C.</w:t>
        <w:tab/>
      </w:r>
      <w:r>
        <w:rPr>
          <w:b/>
          <w:u w:val="single"/>
        </w:rPr>
        <w:t>Taxation</w:t>
      </w:r>
    </w:p>
    <w:p>
      <w:pPr>
        <w:pStyle w:val="Normal"/>
        <w:ind w:hanging="709" w:start="709" w:end="0"/>
        <w:rPr/>
      </w:pPr>
      <w:r>
        <w:rPr/>
        <w:t>(a)</w:t>
        <w:tab/>
        <w:t xml:space="preserve">If your answer to Section 3A(g) above is no, nevertheless, would a Pooling Point Developer be deemed to have a branch or establishment in </w:t>
      </w:r>
      <w:r>
        <w:rPr>
          <w:lang w:val="en-US"/>
        </w:rPr>
        <w:t>Hong Kong</w:t>
      </w:r>
      <w:r>
        <w:rPr/>
        <w:t xml:space="preserve"> so as to bring such Pooling Point Developer within the scope of taxation in </w:t>
      </w:r>
      <w:r>
        <w:rPr>
          <w:lang w:val="en-US"/>
        </w:rPr>
        <w:t>Hong Kong</w:t>
      </w:r>
      <w:r>
        <w:rPr/>
        <w:t xml:space="preserve">, by virtue of its establishment, ownership, operation or administration of a Pooling Point in </w:t>
      </w:r>
      <w:r>
        <w:rPr>
          <w:lang w:val="en-US"/>
        </w:rPr>
        <w:t>Hong Kong</w:t>
      </w:r>
      <w:r>
        <w:rPr/>
        <w:t>?</w:t>
      </w:r>
    </w:p>
    <w:p>
      <w:pPr>
        <w:pStyle w:val="Normal"/>
        <w:ind w:hanging="709" w:start="709" w:end="0"/>
        <w:rPr/>
      </w:pPr>
      <w:r>
        <w:rPr/>
        <w:t>(b)</w:t>
        <w:tab/>
        <w:t xml:space="preserve">If a Pooling Point Developer is incorporated in, or has a branch or other establishment in </w:t>
      </w:r>
      <w:r>
        <w:rPr>
          <w:lang w:val="en-US"/>
        </w:rPr>
        <w:t>Hong Kong</w:t>
      </w:r>
      <w:r>
        <w:rPr/>
        <w:t xml:space="preserve">, or is deemed to be incorporated in or to have a branch or other establishment in </w:t>
      </w:r>
      <w:r>
        <w:rPr>
          <w:lang w:val="en-US"/>
        </w:rPr>
        <w:t>Hong Kong</w:t>
      </w:r>
      <w:r>
        <w:rPr/>
        <w:t xml:space="preserve">, would it be subject to any taxes, duties or levies in </w:t>
      </w:r>
      <w:r>
        <w:rPr>
          <w:lang w:val="en-US"/>
        </w:rPr>
        <w:t>Hong Kong</w:t>
      </w:r>
      <w:r>
        <w:rPr/>
        <w:t xml:space="preserv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pPr>
      <w:r>
        <w:rPr/>
        <w:t>(c)</w:t>
        <w:tab/>
        <w:t xml:space="preserve">If a Pooling Point Developer is not incorporated in, and does not have a branch or other establishment in </w:t>
      </w:r>
      <w:r>
        <w:rPr>
          <w:lang w:val="en-US"/>
        </w:rPr>
        <w:t>Hong Kong,</w:t>
      </w:r>
      <w:r>
        <w:rPr/>
        <w:t xml:space="preserve"> nor is deemed to be incorporated in, or to have a branch or other establishment in </w:t>
      </w:r>
      <w:r>
        <w:rPr>
          <w:lang w:val="en-US"/>
        </w:rPr>
        <w:t>Hong Kong</w:t>
      </w:r>
      <w:r>
        <w:rPr/>
        <w:t xml:space="preserve">, would it be subject to any taxes, duties or levies in </w:t>
      </w:r>
      <w:r>
        <w:rPr>
          <w:lang w:val="en-US"/>
        </w:rPr>
        <w:t>Hong Kong</w:t>
      </w:r>
      <w:r>
        <w:rPr/>
        <w:t xml:space="preserve">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pPr>
      <w:r>
        <w:rPr/>
        <w:t>(d)</w:t>
        <w:tab/>
        <w:t xml:space="preserve">If the answer to Section 3B(g) above is no, nevertheless, would a Network Operator be deemed to have a branch or establishment in </w:t>
      </w:r>
      <w:r>
        <w:rPr>
          <w:lang w:val="en-US"/>
        </w:rPr>
        <w:t>Hong Kong</w:t>
      </w:r>
      <w:r>
        <w:rPr/>
        <w:t xml:space="preserve"> either by virtue of establishing, owning or operating a Network in </w:t>
      </w:r>
      <w:r>
        <w:rPr>
          <w:lang w:val="en-US"/>
        </w:rPr>
        <w:t>Hong Kong</w:t>
      </w:r>
      <w:r>
        <w:rPr/>
        <w:t xml:space="preserve"> or by virtue of connecting a Network to a Pooling Point in </w:t>
      </w:r>
      <w:r>
        <w:rPr>
          <w:lang w:val="en-US"/>
        </w:rPr>
        <w:t>Hong Kong</w:t>
      </w:r>
      <w:r>
        <w:rPr/>
        <w:t xml:space="preserve">, so as to bring such Network Operator within the scope of taxation in </w:t>
      </w:r>
      <w:r>
        <w:rPr>
          <w:lang w:val="en-US"/>
        </w:rPr>
        <w:t>Hong Kong</w:t>
      </w:r>
      <w:r>
        <w:rPr/>
        <w:t>?</w:t>
      </w:r>
    </w:p>
    <w:p>
      <w:pPr>
        <w:pStyle w:val="Normal"/>
        <w:ind w:hanging="709" w:start="709" w:end="0"/>
        <w:rPr/>
      </w:pPr>
      <w:r>
        <w:rPr/>
        <w:t>(e)</w:t>
        <w:tab/>
        <w:t xml:space="preserve">If a Network Operator is incorporated in or has a branch or other establishment in </w:t>
      </w:r>
      <w:r>
        <w:rPr>
          <w:lang w:val="en-US"/>
        </w:rPr>
        <w:t>Hong Kong</w:t>
      </w:r>
      <w:r>
        <w:rPr/>
        <w:t xml:space="preserve">, or is deemed to be incorporated in or to have a branch or other establishment in </w:t>
      </w:r>
      <w:r>
        <w:rPr>
          <w:lang w:val="en-US"/>
        </w:rPr>
        <w:t>Hong Kong</w:t>
      </w:r>
      <w:r>
        <w:rPr/>
        <w:t xml:space="preserve">, would it be subject to any taxes, duties or levies payable in </w:t>
      </w:r>
      <w:r>
        <w:rPr>
          <w:lang w:val="en-US"/>
        </w:rPr>
        <w:t>Hong Kong</w:t>
      </w:r>
      <w:r>
        <w:rPr/>
        <w:t xml:space="preserve"> in respect of connection of a Network owned or operated by it to a Pooling Point in </w:t>
      </w:r>
      <w:r>
        <w:rPr>
          <w:lang w:val="en-US"/>
        </w:rPr>
        <w:t>Hong Kong</w:t>
      </w:r>
      <w:r>
        <w:rPr/>
        <w:t>?</w:t>
      </w:r>
    </w:p>
    <w:p>
      <w:pPr>
        <w:pStyle w:val="Normal"/>
        <w:ind w:hanging="709" w:start="709" w:end="0"/>
        <w:rPr/>
      </w:pPr>
      <w:r>
        <w:rPr/>
        <w:t>(f)</w:t>
        <w:tab/>
        <w:t xml:space="preserve">If a Network Operator is not incorporated in, and does not have a branch or other establishment in </w:t>
      </w:r>
      <w:r>
        <w:rPr>
          <w:lang w:val="en-US"/>
        </w:rPr>
        <w:t>Hong Kong</w:t>
      </w:r>
      <w:r>
        <w:rPr/>
        <w:t xml:space="preserve">, nor is deemed to be incorporated in, or to have a branch or other establishment in </w:t>
      </w:r>
      <w:r>
        <w:rPr>
          <w:lang w:val="en-US"/>
        </w:rPr>
        <w:t>Hong Kong</w:t>
      </w:r>
      <w:r>
        <w:rPr/>
        <w:t xml:space="preserve">, would it be subject to any taxes, duties or levies payable in </w:t>
      </w:r>
      <w:r>
        <w:rPr>
          <w:lang w:val="en-US"/>
        </w:rPr>
        <w:t>Hong Kong</w:t>
      </w:r>
      <w:r>
        <w:rPr/>
        <w:t xml:space="preserve"> in respect of the connection of a Network owned or operated by it to a Pooling Point in </w:t>
      </w:r>
      <w:r>
        <w:rPr>
          <w:lang w:val="en-US"/>
        </w:rPr>
        <w:t>Hong Kong</w:t>
      </w:r>
      <w:r>
        <w:rPr/>
        <w:t>?</w:t>
      </w:r>
      <w:r>
        <w:br w:type="page"/>
      </w:r>
    </w:p>
    <w:p>
      <w:pPr>
        <w:pStyle w:val="Normal"/>
        <w:jc w:val="center"/>
        <w:rPr>
          <w:b/>
        </w:rPr>
      </w:pPr>
      <w:r>
        <w:rPr>
          <w:b/>
        </w:rPr>
        <w:t>SECTION 4. - TRANSACTIONS OVER A SEGMENT BETWEEN POOLING POINTS, EITHER OR BOTH OF WHICH MAY BE LOCATED IN HONG KONG.</w:t>
      </w:r>
    </w:p>
    <w:p>
      <w:pPr>
        <w:pStyle w:val="Normal"/>
        <w:rPr>
          <w:b/>
        </w:rPr>
      </w:pPr>
      <w:r>
        <w:rPr>
          <w:i/>
        </w:rPr>
        <w:t>Assumptions</w:t>
      </w:r>
    </w:p>
    <w:p>
      <w:pPr>
        <w:pStyle w:val="Normal"/>
        <w:rPr/>
      </w:pPr>
      <w:r>
        <w:rPr/>
        <w:t xml:space="preserve">You will note that in Sections 1 and 2 of this Questionnaire, you were asked to answer the questions in those Sections assuming that the Segment which is the subject of a Transaction is between specific addresses each of which is located outside of </w:t>
      </w:r>
      <w:r>
        <w:rPr>
          <w:lang w:val="en-US"/>
        </w:rPr>
        <w:t>Hong Kong</w:t>
      </w:r>
      <w:r>
        <w:rPr/>
        <w:t>.</w:t>
      </w:r>
    </w:p>
    <w:p>
      <w:pPr>
        <w:pStyle w:val="Normal"/>
        <w:rPr/>
      </w:pPr>
      <w:r>
        <w:rPr/>
        <w:t>Assume now, for the purposes of this Section 4, that the Segment which is the subject of a Transaction (as referred to in Section 1 of this Memorandum) is between either:</w:t>
      </w:r>
    </w:p>
    <w:p>
      <w:pPr>
        <w:pStyle w:val="Normal"/>
        <w:ind w:hanging="709" w:start="709" w:end="0"/>
        <w:rPr/>
      </w:pPr>
      <w:r>
        <w:rPr/>
        <w:t>(I)</w:t>
        <w:tab/>
        <w:t xml:space="preserve">a Pooling Point located outside of </w:t>
      </w:r>
      <w:r>
        <w:rPr>
          <w:lang w:val="en-US"/>
        </w:rPr>
        <w:t>Hong Kong</w:t>
      </w:r>
      <w:r>
        <w:rPr/>
        <w:t xml:space="preserve"> (e.g., in New York City) and a Pooling Point located in </w:t>
      </w:r>
      <w:r>
        <w:rPr>
          <w:lang w:val="en-US"/>
        </w:rPr>
        <w:t>Hong Kong</w:t>
      </w:r>
      <w:r>
        <w:rPr/>
        <w:t xml:space="preserve">; or </w:t>
      </w:r>
    </w:p>
    <w:p>
      <w:pPr>
        <w:pStyle w:val="Normal"/>
        <w:ind w:hanging="709" w:start="709" w:end="0"/>
        <w:rPr/>
      </w:pPr>
      <w:r>
        <w:rPr/>
        <w:t>(II)</w:t>
        <w:tab/>
        <w:t xml:space="preserve">Pooling Points, each of which is located in </w:t>
      </w:r>
      <w:r>
        <w:rPr>
          <w:lang w:val="en-US"/>
        </w:rPr>
        <w:t>Hong Kong</w:t>
      </w:r>
      <w:r>
        <w:rPr/>
        <w:t>; and</w:t>
      </w:r>
    </w:p>
    <w:p>
      <w:pPr>
        <w:pStyle w:val="Normal"/>
        <w:ind w:hanging="1418" w:start="1418" w:end="0"/>
        <w:rPr/>
      </w:pPr>
      <w:r>
        <w:rPr/>
        <w:t>(III)</w:t>
        <w:tab/>
        <w:t xml:space="preserve"> that one of two scenarios exists:</w:t>
      </w:r>
    </w:p>
    <w:p>
      <w:pPr>
        <w:pStyle w:val="Normal"/>
        <w:ind w:hanging="1418" w:start="1418" w:end="0"/>
        <w:rPr/>
      </w:pPr>
      <w:r>
        <w:rPr/>
        <w:tab/>
        <w:t>(a)</w:t>
        <w:tab/>
        <w:t xml:space="preserve">in the first instance, that neither of the buyer and seller in respect of such Transaction is incorporated in, or has a branch or other establishment in </w:t>
      </w:r>
      <w:r>
        <w:rPr>
          <w:lang w:val="en-US"/>
        </w:rPr>
        <w:t>Hong Kong</w:t>
      </w:r>
      <w:r>
        <w:rPr/>
        <w:t xml:space="preserve">, nor is deemed to have a branch or other establishment or presence in </w:t>
      </w:r>
      <w:r>
        <w:rPr>
          <w:lang w:val="en-US"/>
        </w:rPr>
        <w:t>Hong Kong</w:t>
      </w:r>
      <w:r>
        <w:rPr/>
        <w:t xml:space="preserve">; and </w:t>
      </w:r>
    </w:p>
    <w:p>
      <w:pPr>
        <w:pStyle w:val="Normal"/>
        <w:ind w:hanging="1418" w:start="1418" w:end="0"/>
        <w:rPr/>
      </w:pPr>
      <w:r>
        <w:rPr/>
        <w:tab/>
        <w:t>(b)</w:t>
        <w:tab/>
        <w:t xml:space="preserve">secondly, that either or both of the buyer and seller in respect of such Transaction is incorporated in, or has a branch or other establishment in </w:t>
      </w:r>
      <w:r>
        <w:rPr>
          <w:lang w:val="en-US"/>
        </w:rPr>
        <w:t>Hong Kong</w:t>
      </w:r>
      <w:r>
        <w:rPr/>
        <w:t>.</w:t>
      </w:r>
    </w:p>
    <w:p>
      <w:pPr>
        <w:pStyle w:val="Normal"/>
        <w:rPr>
          <w:i/>
          <w:i/>
        </w:rPr>
      </w:pPr>
      <w:r>
        <w:rPr>
          <w:i/>
        </w:rPr>
        <w:t>Questions</w:t>
      </w:r>
    </w:p>
    <w:p>
      <w:pPr>
        <w:pStyle w:val="Normal"/>
        <w:ind w:hanging="709" w:start="709" w:end="0"/>
        <w:rPr/>
      </w:pPr>
      <w:r>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pPr>
      <w:r>
        <w:rPr/>
        <w:t>(b)</w:t>
        <w:tab/>
        <w:t xml:space="preserve">Does the telecoms licensing regime in </w:t>
      </w:r>
      <w:r>
        <w:rPr>
          <w:lang w:val="en-US"/>
        </w:rPr>
        <w:t>Hong Kong</w:t>
      </w:r>
      <w:r>
        <w:rPr/>
        <w:t xml:space="preserve"> distinguish, in any respect, between domestic operations and operations involving other territories and, if so, how?</w:t>
      </w:r>
    </w:p>
    <w:p>
      <w:pPr>
        <w:pStyle w:val="BodyText"/>
        <w:spacing w:before="0" w:after="200"/>
        <w:rPr/>
      </w:pPr>
      <w:r>
        <w:rPr/>
      </w:r>
    </w:p>
    <w:sectPr>
      <w:headerReference w:type="default" r:id="rId24"/>
      <w:headerReference w:type="first" r:id="rId25"/>
      <w:footerReference w:type="default" r:id="rId26"/>
      <w:footerReference w:type="first" r:id="rId27"/>
      <w:footnotePr>
        <w:numFmt w:val="decimal"/>
      </w:footnotePr>
      <w:type w:val="nextPage"/>
      <w:pgSz w:w="11906" w:h="16838"/>
      <w:pgMar w:left="1701" w:right="1701" w:gutter="0" w:header="720" w:top="1440"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Monotype Sorts">
    <w:charset w:val="02"/>
    <w:family w:val="auto"/>
    <w:pitch w:val="variable"/>
  </w:font>
  <w:font w:name="Copperplate33b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1"/>
      <w:spacing w:before="0" w:after="1400"/>
      <w:ind w:start="-1138" w:end="-1138"/>
      <w:rPr/>
    </w:pPr>
    <w:r>
      <w:rPr/>
      <w:t>CLIFFORD CHANCE</w:t>
    </w:r>
  </w:p>
  <w:p>
    <w:pPr>
      <w:pStyle w:val="Footer"/>
      <w:rPr/>
    </w:pPr>
    <w:r>
      <w:rPr/>
      <w:tab/>
      <w:tab/>
      <w:tab/>
      <w:tab/>
      <w:tab/>
      <w:tab/>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rPr/>
          </w:pPr>
          <w:r>
            <w:rPr/>
            <w:t>London-1/467625/02</w:t>
            <w:tab/>
          </w:r>
          <w:r>
            <w:rPr>
              <w:sz w:val="22"/>
            </w:rPr>
            <w:tab/>
          </w:r>
        </w:p>
      </w:tc>
      <w:tc>
        <w:tcPr>
          <w:tcW w:w="2907" w:type="dxa"/>
          <w:tcBorders/>
        </w:tcPr>
        <w:p>
          <w:pPr>
            <w:pStyle w:val="Footer"/>
            <w:jc w:val="center"/>
            <w:rPr/>
          </w:pPr>
          <w:r>
            <w:rPr>
              <w:sz w:val="18"/>
            </w:rPr>
            <w:t xml:space="preserve">- </w:t>
          </w:r>
          <w:r>
            <w:rPr>
              <w:sz w:val="18"/>
            </w:rPr>
            <w:fldChar w:fldCharType="begin"/>
          </w:r>
          <w:r>
            <w:rPr>
              <w:sz w:val="18"/>
            </w:rPr>
            <w:instrText xml:space="preserve"> PAGE </w:instrText>
          </w:r>
          <w:r>
            <w:rPr>
              <w:sz w:val="18"/>
            </w:rPr>
            <w:fldChar w:fldCharType="separate"/>
          </w:r>
          <w:r>
            <w:rPr>
              <w:sz w:val="18"/>
            </w:rPr>
            <w:t>75</w:t>
          </w:r>
          <w:r>
            <w:rPr>
              <w:sz w:val="18"/>
            </w:rPr>
            <w:fldChar w:fldCharType="end"/>
          </w:r>
          <w:r>
            <w:rPr>
              <w:sz w:val="18"/>
            </w:rPr>
            <w:t xml:space="preserve"> -</w:t>
          </w:r>
        </w:p>
      </w:tc>
      <w:tc>
        <w:tcPr>
          <w:tcW w:w="2907" w:type="dxa"/>
          <w:tcBorders/>
        </w:tcPr>
        <w:p>
          <w:pPr>
            <w:pStyle w:val="Footer"/>
            <w:jc w:val="end"/>
            <w:rPr/>
          </w:pPr>
          <w:r>
            <w:rPr/>
            <w:t>E3270/00388</w:t>
          </w:r>
        </w:p>
      </w:tc>
    </w:tr>
  </w:tbl>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rPr/>
          </w:pPr>
          <w:r>
            <w:rPr/>
            <w:t>London-1/467625/02</w:t>
            <w:tab/>
          </w:r>
          <w:r>
            <w:rPr>
              <w:sz w:val="22"/>
            </w:rPr>
            <w:tab/>
          </w:r>
        </w:p>
      </w:tc>
      <w:tc>
        <w:tcPr>
          <w:tcW w:w="2907" w:type="dxa"/>
          <w:tcBorders/>
        </w:tcPr>
        <w:p>
          <w:pPr>
            <w:pStyle w:val="Footer"/>
            <w:jc w:val="center"/>
            <w:rPr/>
          </w:pPr>
          <w:r>
            <w:rPr>
              <w:sz w:val="18"/>
            </w:rPr>
            <w:t xml:space="preserve">- </w:t>
          </w:r>
          <w:r>
            <w:rPr>
              <w:sz w:val="18"/>
            </w:rPr>
            <w:fldChar w:fldCharType="begin"/>
          </w:r>
          <w:r>
            <w:rPr>
              <w:sz w:val="18"/>
            </w:rPr>
            <w:instrText xml:space="preserve"> PAGE </w:instrText>
          </w:r>
          <w:r>
            <w:rPr>
              <w:sz w:val="18"/>
            </w:rPr>
            <w:fldChar w:fldCharType="separate"/>
          </w:r>
          <w:r>
            <w:rPr>
              <w:sz w:val="18"/>
            </w:rPr>
            <w:t>94</w:t>
          </w:r>
          <w:r>
            <w:rPr>
              <w:sz w:val="18"/>
            </w:rPr>
            <w:fldChar w:fldCharType="end"/>
          </w:r>
          <w:r>
            <w:rPr>
              <w:sz w:val="18"/>
            </w:rPr>
            <w:t xml:space="preserve"> -</w:t>
          </w:r>
        </w:p>
      </w:tc>
      <w:tc>
        <w:tcPr>
          <w:tcW w:w="2907" w:type="dxa"/>
          <w:tcBorders/>
        </w:tcPr>
        <w:p>
          <w:pPr>
            <w:pStyle w:val="Footer"/>
            <w:jc w:val="end"/>
            <w:rPr/>
          </w:pPr>
          <w:r>
            <w:rPr/>
            <w:t>E3270/00388</w:t>
          </w:r>
        </w:p>
      </w:tc>
    </w:tr>
  </w:tbl>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rPr/>
          </w:pPr>
          <w:bookmarkStart w:id="24" w:name="DOCSOPEN"/>
          <w:bookmarkEnd w:id="24"/>
          <w:r>
            <w:rPr/>
            <w:t>London-1/467625/02</w:t>
            <w:tab/>
          </w:r>
          <w:r>
            <w:rPr>
              <w:sz w:val="22"/>
            </w:rPr>
            <w:tab/>
          </w:r>
        </w:p>
      </w:tc>
      <w:tc>
        <w:tcPr>
          <w:tcW w:w="2907" w:type="dxa"/>
          <w:tcBorders/>
        </w:tcPr>
        <w:p>
          <w:pPr>
            <w:pStyle w:val="Footer"/>
            <w:jc w:val="center"/>
            <w:rPr/>
          </w:pPr>
          <w:r>
            <w:rPr>
              <w:sz w:val="18"/>
            </w:rPr>
            <w:t xml:space="preserve">- </w:t>
          </w:r>
          <w:r>
            <w:rPr>
              <w:sz w:val="18"/>
            </w:rPr>
            <w:fldChar w:fldCharType="begin"/>
          </w:r>
          <w:r>
            <w:rPr>
              <w:sz w:val="18"/>
            </w:rPr>
            <w:instrText xml:space="preserve"> PAGE </w:instrText>
          </w:r>
          <w:r>
            <w:rPr>
              <w:sz w:val="18"/>
            </w:rPr>
            <w:fldChar w:fldCharType="separate"/>
          </w:r>
          <w:r>
            <w:rPr>
              <w:sz w:val="18"/>
            </w:rPr>
            <w:t>53</w:t>
          </w:r>
          <w:r>
            <w:rPr>
              <w:sz w:val="18"/>
            </w:rPr>
            <w:fldChar w:fldCharType="end"/>
          </w:r>
          <w:r>
            <w:rPr>
              <w:sz w:val="18"/>
            </w:rPr>
            <w:t xml:space="preserve"> -</w:t>
          </w:r>
        </w:p>
      </w:tc>
      <w:tc>
        <w:tcPr>
          <w:tcW w:w="2907" w:type="dxa"/>
          <w:tcBorders/>
        </w:tcPr>
        <w:p>
          <w:pPr>
            <w:pStyle w:val="Footer"/>
            <w:jc w:val="end"/>
            <w:rPr/>
          </w:pPr>
          <w:r>
            <w:rPr/>
            <w:t>E3270/00388</w:t>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rPr/>
          </w:pPr>
          <w:r>
            <w:rPr/>
            <w:t>London-1/467625/02</w:t>
            <w:tab/>
          </w:r>
          <w:r>
            <w:rPr>
              <w:sz w:val="22"/>
            </w:rPr>
            <w:tab/>
          </w:r>
        </w:p>
      </w:tc>
      <w:tc>
        <w:tcPr>
          <w:tcW w:w="2907" w:type="dxa"/>
          <w:tcBorders/>
        </w:tcPr>
        <w:p>
          <w:pPr>
            <w:pStyle w:val="Footer"/>
            <w:jc w:val="center"/>
            <w:rPr/>
          </w:pPr>
          <w:r>
            <w:rPr>
              <w:sz w:val="18"/>
            </w:rPr>
            <w:t xml:space="preserve">- </w:t>
          </w:r>
          <w:r>
            <w:rPr>
              <w:sz w:val="18"/>
            </w:rPr>
            <w:fldChar w:fldCharType="begin"/>
          </w:r>
          <w:r>
            <w:rPr>
              <w:sz w:val="18"/>
            </w:rPr>
            <w:instrText xml:space="preserve"> PAGE </w:instrText>
          </w:r>
          <w:r>
            <w:rPr>
              <w:sz w:val="18"/>
            </w:rPr>
            <w:fldChar w:fldCharType="separate"/>
          </w:r>
          <w:r>
            <w:rPr>
              <w:sz w:val="18"/>
            </w:rPr>
            <w:t>58</w:t>
          </w:r>
          <w:r>
            <w:rPr>
              <w:sz w:val="18"/>
            </w:rPr>
            <w:fldChar w:fldCharType="end"/>
          </w:r>
          <w:r>
            <w:rPr>
              <w:sz w:val="18"/>
            </w:rPr>
            <w:t xml:space="preserve"> -</w:t>
          </w:r>
        </w:p>
      </w:tc>
      <w:tc>
        <w:tcPr>
          <w:tcW w:w="2907" w:type="dxa"/>
          <w:tcBorders/>
        </w:tcPr>
        <w:p>
          <w:pPr>
            <w:pStyle w:val="Footer"/>
            <w:jc w:val="end"/>
            <w:rPr/>
          </w:pPr>
          <w:r>
            <w:rPr/>
            <w:t>E3270/00388</w:t>
          </w:r>
        </w:p>
      </w:tc>
    </w:tr>
  </w:tbl>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rPr/>
          </w:pPr>
          <w:r>
            <w:rPr/>
            <w:t>London-1/467625/02</w:t>
            <w:tab/>
          </w:r>
          <w:r>
            <w:rPr>
              <w:sz w:val="22"/>
            </w:rPr>
            <w:tab/>
          </w:r>
        </w:p>
      </w:tc>
      <w:tc>
        <w:tcPr>
          <w:tcW w:w="2907" w:type="dxa"/>
          <w:tcBorders/>
        </w:tcPr>
        <w:p>
          <w:pPr>
            <w:pStyle w:val="Footer"/>
            <w:jc w:val="center"/>
            <w:rPr/>
          </w:pPr>
          <w:r>
            <w:rPr>
              <w:sz w:val="18"/>
            </w:rPr>
            <w:t xml:space="preserve">- </w:t>
          </w:r>
          <w:r>
            <w:rPr>
              <w:sz w:val="18"/>
            </w:rPr>
            <w:fldChar w:fldCharType="begin"/>
          </w:r>
          <w:r>
            <w:rPr>
              <w:sz w:val="18"/>
            </w:rPr>
            <w:instrText xml:space="preserve"> PAGE </w:instrText>
          </w:r>
          <w:r>
            <w:rPr>
              <w:sz w:val="18"/>
            </w:rPr>
            <w:fldChar w:fldCharType="separate"/>
          </w:r>
          <w:r>
            <w:rPr>
              <w:sz w:val="18"/>
            </w:rPr>
            <w:t>72</w:t>
          </w:r>
          <w:r>
            <w:rPr>
              <w:sz w:val="18"/>
            </w:rPr>
            <w:fldChar w:fldCharType="end"/>
          </w:r>
          <w:r>
            <w:rPr>
              <w:sz w:val="18"/>
            </w:rPr>
            <w:t xml:space="preserve"> -</w:t>
          </w:r>
        </w:p>
      </w:tc>
      <w:tc>
        <w:tcPr>
          <w:tcW w:w="2907" w:type="dxa"/>
          <w:tcBorders/>
        </w:tcPr>
        <w:p>
          <w:pPr>
            <w:pStyle w:val="Footer"/>
            <w:jc w:val="end"/>
            <w:rPr/>
          </w:pPr>
          <w:r>
            <w:rPr/>
            <w:t>E3270/00388</w:t>
          </w:r>
        </w:p>
      </w:tc>
    </w:tr>
  </w:tbl>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00"/>
        <w:ind w:hanging="113" w:start="113" w:end="0"/>
        <w:rPr/>
      </w:pPr>
      <w:r>
        <w:rPr>
          <w:rStyle w:val="FootnoteCharacters"/>
        </w:rPr>
        <w:footnoteRef/>
      </w:r>
      <w:r>
        <w:rPr/>
        <w:t xml:space="preserve"> </w:t>
      </w:r>
      <w:r>
        <w:rPr/>
        <w:tab/>
        <w:t>(i)  Cable &amp; Wireless HKT Telephone Limited, Cable &amp; Wireless HKT International Limited and Cable &amp; Wireless HKT CAS Limited, jointly and severally; (ii) Hutchison Communications (Hong Kong) Limited; (iii) New T&amp;T Hong Kong Limited; and (iv) New World Telephone Limited.</w:t>
      </w:r>
    </w:p>
  </w:footnote>
  <w:footnote w:id="3">
    <w:p>
      <w:pPr>
        <w:pStyle w:val="FootnoteText"/>
        <w:spacing w:before="0" w:after="100"/>
        <w:ind w:hanging="113" w:start="113" w:end="0"/>
        <w:rPr/>
      </w:pPr>
      <w:r>
        <w:rPr>
          <w:rStyle w:val="FootnoteCharacters"/>
        </w:rPr>
        <w:footnoteRef/>
      </w:r>
      <w:r>
        <w:rPr/>
        <w:t xml:space="preserve"> </w:t>
      </w:r>
      <w:r>
        <w:rPr/>
        <w:tab/>
        <w:t>In addition, the TA has offered to issue to Hong Kong Cable Television Ltd. an FTNS licence to operate telecommunication services on its cable television network.</w:t>
      </w:r>
    </w:p>
  </w:footnote>
  <w:footnote w:id="4">
    <w:p>
      <w:pPr>
        <w:pStyle w:val="FootnoteText"/>
        <w:spacing w:before="0" w:after="100"/>
        <w:ind w:hanging="113" w:start="113" w:end="0"/>
        <w:rPr/>
      </w:pPr>
      <w:r>
        <w:rPr>
          <w:rStyle w:val="FootnoteCharacters"/>
        </w:rPr>
        <w:footnoteRef/>
      </w:r>
      <w:r>
        <w:rPr/>
        <w:t xml:space="preserve"> </w:t>
      </w:r>
      <w:r>
        <w:rPr/>
        <w:t>HKTI had been granted an exclusive 25 year licence to provide international telephony services in Hong Kong until 2006.</w:t>
      </w:r>
    </w:p>
  </w:footnote>
  <w:footnote w:id="5">
    <w:p>
      <w:pPr>
        <w:pStyle w:val="FootnoteText"/>
        <w:spacing w:before="0" w:after="100"/>
        <w:ind w:hanging="113" w:start="113" w:end="0"/>
        <w:rPr/>
      </w:pPr>
      <w:r>
        <w:rPr>
          <w:rStyle w:val="FootnoteCharacters"/>
        </w:rPr>
        <w:footnoteRef/>
      </w:r>
      <w:r>
        <w:rPr/>
        <w:t xml:space="preserve"> </w:t>
      </w:r>
      <w:r>
        <w:rPr/>
        <w:t xml:space="preserve">"Guidance Note for the Self-Provided External Telecommunication System Licence", OFTA July 1999. </w:t>
      </w:r>
    </w:p>
  </w:footnote>
  <w:footnote w:id="6">
    <w:p>
      <w:pPr>
        <w:pStyle w:val="FootnoteText"/>
        <w:spacing w:before="0" w:after="100"/>
        <w:ind w:hanging="113" w:start="113" w:end="0"/>
        <w:rPr/>
      </w:pPr>
      <w:r>
        <w:rPr>
          <w:rStyle w:val="FootnoteCharacters"/>
        </w:rPr>
        <w:footnoteRef/>
      </w:r>
      <w:r>
        <w:rPr/>
        <w:t xml:space="preserve"> </w:t>
      </w:r>
      <w:r>
        <w:rPr/>
        <w:t>"Licensing of Telecommunication Services in Hong Kong".</w:t>
      </w:r>
    </w:p>
  </w:footnote>
  <w:footnote w:id="7">
    <w:p>
      <w:pPr>
        <w:pStyle w:val="FootnoteText"/>
        <w:spacing w:before="0" w:after="100"/>
        <w:ind w:hanging="113" w:start="113" w:end="0"/>
        <w:rPr/>
      </w:pPr>
      <w:r>
        <w:rPr>
          <w:rStyle w:val="FootnoteCharacters"/>
        </w:rPr>
        <w:footnoteRef/>
      </w:r>
      <w:r>
        <w:rPr/>
        <w:t xml:space="preserve"> </w:t>
      </w:r>
      <w:r>
        <w:rPr/>
        <w:tab/>
        <w:t>If cable for backhaul does not exist and the EFTNS licensee is unsuccessful in concluding a commercial agreement with an FTNS licensee for satisfactory and efficient backhaul services, the TA may consider authorising the EFTNS licensee to provide its own backhaul.  (See "Guidance Note for the Submission of Proposals for the Operation of External Fixed Telecommunication Network Services in Hong Kong"; OFTA 15 July 1999)</w:t>
      </w:r>
    </w:p>
  </w:footnote>
  <w:footnote w:id="8">
    <w:p>
      <w:pPr>
        <w:pStyle w:val="FootnoteText"/>
        <w:spacing w:before="0" w:after="100"/>
        <w:ind w:hanging="113" w:start="113" w:end="0"/>
        <w:rPr/>
      </w:pPr>
      <w:r>
        <w:rPr>
          <w:rStyle w:val="FootnoteCharacters"/>
        </w:rPr>
        <w:footnoteRef/>
      </w:r>
      <w:r>
        <w:rPr/>
        <w:t xml:space="preserve"> </w:t>
      </w:r>
      <w:r>
        <w:rPr/>
        <w:t>A Radio Dealers Licence is required for the import and sale of radio equipment in Hong Kong.  Other import permits may also be required.</w:t>
      </w:r>
    </w:p>
  </w:footnote>
  <w:footnote w:id="9">
    <w:p>
      <w:pPr>
        <w:pStyle w:val="FootnoteText"/>
        <w:rPr/>
      </w:pPr>
      <w:r>
        <w:rPr>
          <w:rStyle w:val="FootnoteCharacters"/>
        </w:rPr>
        <w:footnoteRef/>
      </w:r>
      <w:r>
        <w:rPr/>
        <w:tab/>
        <w:t>Where a partnership includes a corporate partner it should be possible to make that partner subject to all of the insolvency procedures mentioned in the ordinary way subject to certain modifications where the partnership itself is subject to an insolvency procedure.  Where a partnership comprises eight or more partners, that partnership may be wound-up as if it were a company</w:t>
      </w:r>
      <w:r>
        <w:rPr>
          <w:i/>
        </w:rPr>
        <w:t>.</w:t>
      </w:r>
    </w:p>
    <w:p>
      <w:pPr>
        <w:pStyle w:val="FootnoteText"/>
        <w:spacing w:before="0" w:after="100"/>
        <w:rPr>
          <w:i/>
          <w:i/>
        </w:rPr>
      </w:pPr>
      <w:r>
        <w:rPr>
          <w:i/>
        </w:rPr>
      </w:r>
    </w:p>
  </w:footnote>
  <w:footnote w:id="10">
    <w:p>
      <w:pPr>
        <w:pStyle w:val="FootnoteText"/>
        <w:spacing w:before="0" w:after="100"/>
        <w:ind w:hanging="113" w:start="113" w:end="0"/>
        <w:rPr/>
      </w:pPr>
      <w:r>
        <w:rPr>
          <w:rStyle w:val="FootnoteCharacters"/>
        </w:rPr>
        <w:footnoteRef/>
      </w:r>
      <w:r>
        <w:rPr/>
        <w:t xml:space="preserve"> </w:t>
      </w:r>
      <w:r>
        <w:rPr/>
        <w:t>"Guidelines for the Application for Telecommunication Licences to Operate Public Telecommunication Services in Hong Kong"; OFTA, Issue No.13, March 1999.</w:t>
      </w:r>
    </w:p>
  </w:footnote>
  <w:footnote w:id="11">
    <w:p>
      <w:pPr>
        <w:pStyle w:val="FootnoteText"/>
        <w:spacing w:before="0" w:after="100"/>
        <w:ind w:hanging="113" w:start="113" w:end="0"/>
        <w:rPr/>
      </w:pPr>
      <w:r>
        <w:rPr>
          <w:rStyle w:val="FootnoteCharacters"/>
        </w:rPr>
        <w:footnoteRef/>
      </w:r>
      <w:r>
        <w:rPr/>
        <w:t xml:space="preserve"> </w:t>
      </w:r>
      <w:r>
        <w:rPr/>
        <w:tab/>
        <w:t>Section 30 Telecommunication Ordinance</w:t>
      </w:r>
    </w:p>
  </w:footnote>
  <w:footnote w:id="12">
    <w:p>
      <w:pPr>
        <w:pStyle w:val="FootnoteText"/>
        <w:tabs>
          <w:tab w:val="clear" w:pos="113"/>
          <w:tab w:val="left" w:pos="284" w:leader="none"/>
        </w:tabs>
        <w:spacing w:before="0" w:after="100"/>
        <w:ind w:hanging="284" w:start="284" w:end="0"/>
        <w:rPr/>
      </w:pPr>
      <w:r>
        <w:rPr>
          <w:rStyle w:val="FootnoteCharacters"/>
        </w:rPr>
        <w:footnoteRef/>
      </w:r>
      <w:r>
        <w:rPr/>
        <w:t xml:space="preserve"> </w:t>
      </w:r>
      <w:r>
        <w:rPr/>
        <w:tab/>
        <w:t>Land tenure in Hong Kong is essentially leasehold, and "owners" of property in Hong Kong are long leaseholders.  This is because historically, Hong Kong had been a colony of the United Kingdom.  Land in Hong Kong was then vested in the British Crown who adopted the policy of conferring title to properties in Hong Kong by granting leases or agreements for lease (Crown Leases) through the Hong Kong Governor.  After the handover of sovereignty over Hong Kong to the People's Republic of China, the Basic Law (the "mini" constitution of Hong Kong) has retained the pre-existing system of land holding in Hong Kong under the colonial rule, and all leases or agreements for lease are now granted by the Hong Kong Government (Government Leases).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upperLetter"/>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upperLetter"/>
      <w:lvlText w:val="(%3)"/>
      <w:lvlJc w:val="start"/>
      <w:pPr>
        <w:tabs>
          <w:tab w:val="num" w:pos="2160"/>
        </w:tabs>
        <w:ind w:start="2160" w:hanging="720"/>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bullet"/>
      <w:lvlText w:val=""/>
      <w:lvlJc w:val="start"/>
      <w:pPr>
        <w:tabs>
          <w:tab w:val="num" w:pos="720"/>
        </w:tabs>
        <w:ind w:start="720" w:hanging="720"/>
      </w:pPr>
      <w:rPr>
        <w:rFonts w:ascii="Symbol" w:hAnsi="Symbol" w:cs="Symbol" w:hint="default"/>
      </w:rPr>
    </w:lvl>
  </w:abstractNum>
  <w:abstractNum w:abstractNumId="4">
    <w:lvl w:ilvl="0">
      <w:start w:val="1"/>
      <w:numFmt w:val="upperLetter"/>
      <w:lvlText w:val="Part %1"/>
      <w:lvlJc w:val="start"/>
      <w:pPr>
        <w:tabs>
          <w:tab w:val="num" w:pos="612"/>
        </w:tabs>
        <w:ind w:start="0" w:hanging="0"/>
      </w:pPr>
      <w:rPr>
        <w:sz w:val="21"/>
        <w:b/>
        <w:rFonts w:ascii="CG Times" w:hAnsi="CG Times" w:cs="CG Times"/>
      </w:r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1418"/>
        </w:tabs>
        <w:ind w:start="1418" w:hanging="794"/>
      </w:pPr>
      <w:rPr>
        <w:rFonts w:ascii="Symbol" w:hAnsi="Symbol" w:cs="Symbol" w:hint="default"/>
      </w:rPr>
    </w:lvl>
  </w:abstractNum>
  <w:abstractNum w:abstractNumId="6">
    <w:lvl w:ilvl="0">
      <w:start w:val="1"/>
      <w:numFmt w:val="bullet"/>
      <w:lvlText w:val=""/>
      <w:lvlJc w:val="start"/>
      <w:pPr>
        <w:tabs>
          <w:tab w:val="num" w:pos="1440"/>
        </w:tabs>
        <w:ind w:start="1440" w:hanging="720"/>
      </w:pPr>
      <w:rPr>
        <w:rFonts w:ascii="Symbol" w:hAnsi="Symbol" w:cs="Symbol" w:hint="default"/>
      </w:rPr>
    </w:lvl>
  </w:abstractNum>
  <w:abstractNum w:abstractNumId="7">
    <w:lvl w:ilvl="0">
      <w:start w:val="1"/>
      <w:numFmt w:val="bullet"/>
      <w:lvlText w:val=""/>
      <w:lvlJc w:val="start"/>
      <w:pPr>
        <w:tabs>
          <w:tab w:val="num" w:pos="1418"/>
        </w:tabs>
        <w:ind w:start="1418" w:hanging="794"/>
      </w:pPr>
      <w:rPr>
        <w:rFonts w:ascii="Symbol" w:hAnsi="Symbol" w:cs="Symbol" w:hint="default"/>
      </w:rPr>
    </w:lvl>
  </w:abstractNum>
  <w:abstractNum w:abstractNumId="8">
    <w:lvl w:ilvl="0">
      <w:start w:val="1"/>
      <w:numFmt w:val="bullet"/>
      <w:lvlText w:val=""/>
      <w:lvlJc w:val="start"/>
      <w:pPr>
        <w:tabs>
          <w:tab w:val="num" w:pos="1418"/>
        </w:tabs>
        <w:ind w:start="1418" w:hanging="794"/>
      </w:pPr>
      <w:rPr>
        <w:rFonts w:ascii="Symbol" w:hAnsi="Symbol" w:cs="Symbol" w:hint="default"/>
      </w:rPr>
    </w:lvl>
  </w:abstractNum>
  <w:abstractNum w:abstractNumId="9">
    <w:lvl w:ilvl="0">
      <w:start w:val="1"/>
      <w:numFmt w:val="bullet"/>
      <w:lvlText w:val=""/>
      <w:lvlJc w:val="start"/>
      <w:pPr>
        <w:tabs>
          <w:tab w:val="num" w:pos="1418"/>
        </w:tabs>
        <w:ind w:start="1418" w:hanging="794"/>
      </w:pPr>
      <w:rPr>
        <w:rFonts w:ascii="Symbol" w:hAnsi="Symbol" w:cs="Symbol" w:hint="default"/>
      </w:rPr>
    </w:lvl>
  </w:abstractNum>
  <w:abstractNum w:abstractNumId="10">
    <w:lvl w:ilvl="0">
      <w:start w:val="1"/>
      <w:numFmt w:val="bullet"/>
      <w:lvlText w:val=""/>
      <w:lvlJc w:val="start"/>
      <w:pPr>
        <w:tabs>
          <w:tab w:val="num" w:pos="1418"/>
        </w:tabs>
        <w:ind w:start="1418" w:hanging="794"/>
      </w:pPr>
      <w:rPr>
        <w:rFonts w:ascii="Symbol" w:hAnsi="Symbol" w:cs="Symbol" w:hint="default"/>
      </w:rPr>
    </w:lvl>
  </w:abstractNum>
  <w:abstractNum w:abstractNumId="11">
    <w:lvl w:ilvl="0">
      <w:start w:val="1"/>
      <w:numFmt w:val="bullet"/>
      <w:lvlText w:val=""/>
      <w:lvlJc w:val="start"/>
      <w:pPr>
        <w:tabs>
          <w:tab w:val="num" w:pos="360"/>
        </w:tabs>
        <w:ind w:start="284" w:hanging="284"/>
      </w:pPr>
      <w:rPr>
        <w:rFonts w:ascii="Symbol" w:hAnsi="Symbol" w:cs="Symbol" w:hint="default"/>
      </w:rPr>
    </w:lvl>
  </w:abstractNum>
  <w:abstractNum w:abstractNumId="12">
    <w:lvl w:ilvl="0">
      <w:start w:val="5"/>
      <w:numFmt w:val="lowerLetter"/>
      <w:lvlText w:val="(%1)"/>
      <w:lvlJc w:val="start"/>
      <w:pPr>
        <w:tabs>
          <w:tab w:val="num" w:pos="1419"/>
        </w:tabs>
        <w:ind w:start="1419" w:hanging="795"/>
      </w:pPr>
      <w:rPr>
        <w:i w:val="false"/>
        <w:b w:val="false"/>
        <w:rFonts w:eastAsia="'宋体"/>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bullet"/>
      <w:lvlText w:val=""/>
      <w:lvlJc w:val="start"/>
      <w:pPr>
        <w:tabs>
          <w:tab w:val="num" w:pos="720"/>
        </w:tabs>
        <w:ind w:start="720" w:hanging="720"/>
      </w:pPr>
      <w:rPr>
        <w:rFonts w:ascii="Symbol" w:hAnsi="Symbol" w:cs="Symbol" w:hint="default"/>
      </w:rPr>
    </w:lvl>
  </w:abstractNum>
  <w:abstractNum w:abstractNumId="15">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6">
    <w:lvl w:ilvl="0">
      <w:start w:val="1"/>
      <w:numFmt w:val="bullet"/>
      <w:lvlText w:val=""/>
      <w:lvlJc w:val="start"/>
      <w:pPr>
        <w:tabs>
          <w:tab w:val="num" w:pos="360"/>
        </w:tabs>
        <w:ind w:start="284" w:hanging="284"/>
      </w:pPr>
      <w:rPr>
        <w:rFonts w:ascii="Symbol" w:hAnsi="Symbol" w:cs="Symbol" w:hint="default"/>
      </w:rPr>
    </w:lvl>
  </w:abstractNum>
  <w:abstractNum w:abstractNumId="17">
    <w:lvl w:ilvl="0">
      <w:start w:val="1"/>
      <w:numFmt w:val="bullet"/>
      <w:lvlText w:val=""/>
      <w:lvlJc w:val="start"/>
      <w:pPr>
        <w:tabs>
          <w:tab w:val="num" w:pos="720"/>
        </w:tabs>
        <w:ind w:start="720" w:hanging="720"/>
      </w:pPr>
      <w:rPr>
        <w:rFonts w:ascii="Symbol" w:hAnsi="Symbol" w:cs="Symbol" w:hint="default"/>
      </w:rPr>
    </w:lvl>
  </w:abstractNum>
  <w:abstractNum w:abstractNumId="18">
    <w:lvl w:ilvl="0">
      <w:start w:val="1"/>
      <w:numFmt w:val="bullet"/>
      <w:lvlText w:val=""/>
      <w:lvlJc w:val="start"/>
      <w:pPr>
        <w:tabs>
          <w:tab w:val="num" w:pos="1418"/>
        </w:tabs>
        <w:ind w:start="1418" w:hanging="794"/>
      </w:pPr>
      <w:rPr>
        <w:rFonts w:ascii="Symbol" w:hAnsi="Symbol" w:cs="Symbol" w:hint="default"/>
      </w:rPr>
    </w:lvl>
  </w:abstractNum>
  <w:abstractNum w:abstractNumId="19">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0">
    <w:lvl w:ilvl="0">
      <w:start w:val="1"/>
      <w:numFmt w:val="bullet"/>
      <w:lvlText w:val=""/>
      <w:lvlJc w:val="start"/>
      <w:pPr>
        <w:tabs>
          <w:tab w:val="num" w:pos="720"/>
        </w:tabs>
        <w:ind w:start="720" w:hanging="720"/>
      </w:pPr>
      <w:rPr>
        <w:rFonts w:ascii="Symbol" w:hAnsi="Symbol" w:cs="Symbol" w:hint="default"/>
      </w:rPr>
    </w:lvl>
  </w:abstractNum>
  <w:abstractNum w:abstractNumId="21">
    <w:lvl w:ilvl="0">
      <w:start w:val="1"/>
      <w:numFmt w:val="bullet"/>
      <w:lvlText w:val=""/>
      <w:lvlJc w:val="start"/>
      <w:pPr>
        <w:tabs>
          <w:tab w:val="num" w:pos="720"/>
        </w:tabs>
        <w:ind w:start="720" w:hanging="720"/>
      </w:pPr>
      <w:rPr>
        <w:rFonts w:ascii="Symbol" w:hAnsi="Symbol" w:cs="Symbol" w:hint="default"/>
      </w:rPr>
    </w:lvl>
  </w:abstractNum>
  <w:abstractNum w:abstractNumId="22">
    <w:lvl w:ilvl="0">
      <w:start w:val="1"/>
      <w:numFmt w:val="bullet"/>
      <w:lvlText w:val=""/>
      <w:lvlJc w:val="start"/>
      <w:pPr>
        <w:tabs>
          <w:tab w:val="num" w:pos="1418"/>
        </w:tabs>
        <w:ind w:start="1418" w:hanging="794"/>
      </w:pPr>
      <w:rPr>
        <w:rFonts w:ascii="Symbol" w:hAnsi="Symbol" w:cs="Symbol" w:hint="default"/>
      </w:rPr>
    </w:lvl>
  </w:abstractNum>
  <w:abstractNum w:abstractNumId="23">
    <w:lvl w:ilvl="0">
      <w:start w:val="1"/>
      <w:numFmt w:val="bullet"/>
      <w:lvlText w:val=""/>
      <w:lvlJc w:val="start"/>
      <w:pPr>
        <w:tabs>
          <w:tab w:val="num" w:pos="1418"/>
        </w:tabs>
        <w:ind w:start="1418" w:hanging="794"/>
      </w:pPr>
      <w:rPr>
        <w:rFonts w:ascii="Symbol" w:hAnsi="Symbol" w:cs="Symbol" w:hint="default"/>
      </w:rPr>
    </w:lvl>
  </w:abstractNum>
  <w:abstractNum w:abstractNumId="24">
    <w:lvl w:ilvl="0">
      <w:start w:val="1"/>
      <w:numFmt w:val="bullet"/>
      <w:lvlText w:val=""/>
      <w:lvlJc w:val="start"/>
      <w:pPr>
        <w:tabs>
          <w:tab w:val="num" w:pos="1418"/>
        </w:tabs>
        <w:ind w:start="1418" w:hanging="794"/>
      </w:pPr>
      <w:rPr>
        <w:rFonts w:ascii="Symbol" w:hAnsi="Symbol" w:cs="Symbol" w:hint="default"/>
      </w:rPr>
    </w:lvl>
  </w:abstractNum>
  <w:abstractNum w:abstractNumId="25">
    <w:lvl w:ilvl="0">
      <w:start w:val="1"/>
      <w:numFmt w:val="bullet"/>
      <w:lvlText w:val=""/>
      <w:lvlJc w:val="start"/>
      <w:pPr>
        <w:tabs>
          <w:tab w:val="num" w:pos="1418"/>
        </w:tabs>
        <w:ind w:start="1418" w:hanging="794"/>
      </w:pPr>
      <w:rPr>
        <w:rFonts w:ascii="Symbol" w:hAnsi="Symbol" w:cs="Symbol" w:hint="default"/>
      </w:rPr>
    </w:lvl>
  </w:abstractNum>
  <w:abstractNum w:abstractNumId="26">
    <w:lvl w:ilvl="0">
      <w:start w:val="1"/>
      <w:numFmt w:val="bullet"/>
      <w:lvlText w:val=""/>
      <w:lvlJc w:val="start"/>
      <w:pPr>
        <w:tabs>
          <w:tab w:val="num" w:pos="1440"/>
        </w:tabs>
        <w:ind w:start="1440" w:hanging="720"/>
      </w:pPr>
      <w:rPr>
        <w:rFonts w:ascii="Symbol" w:hAnsi="Symbol" w:cs="Symbol" w:hint="default"/>
      </w:rPr>
    </w:lvl>
  </w:abstractNum>
  <w:abstractNum w:abstractNumId="27">
    <w:lvl w:ilvl="0">
      <w:start w:val="1"/>
      <w:numFmt w:val="bullet"/>
      <w:lvlText w:val=""/>
      <w:lvlJc w:val="start"/>
      <w:pPr>
        <w:tabs>
          <w:tab w:val="num" w:pos="1418"/>
        </w:tabs>
        <w:ind w:start="1418" w:hanging="794"/>
      </w:pPr>
      <w:rPr>
        <w:rFonts w:ascii="Symbol" w:hAnsi="Symbol" w:cs="Symbol" w:hint="default"/>
      </w:rPr>
    </w:lvl>
  </w:abstractNum>
  <w:abstractNum w:abstractNumId="28">
    <w:lvl w:ilvl="0">
      <w:start w:val="1"/>
      <w:numFmt w:val="bullet"/>
      <w:lvlText w:val=""/>
      <w:lvlJc w:val="start"/>
      <w:pPr>
        <w:tabs>
          <w:tab w:val="num" w:pos="1440"/>
        </w:tabs>
        <w:ind w:start="1440" w:hanging="720"/>
      </w:pPr>
      <w:rPr>
        <w:rFonts w:ascii="Symbol" w:hAnsi="Symbol" w:cs="Symbol" w:hint="default"/>
      </w:rPr>
    </w:lvl>
  </w:abstractNum>
  <w:abstractNum w:abstractNumId="29">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0">
    <w:lvl w:ilvl="0">
      <w:start w:val="1"/>
      <w:numFmt w:val="bullet"/>
      <w:lvlText w:val=""/>
      <w:lvlJc w:val="start"/>
      <w:pPr>
        <w:tabs>
          <w:tab w:val="num" w:pos="1440"/>
        </w:tabs>
        <w:ind w:start="1440" w:hanging="72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sz w:val="16"/>
      </w:rPr>
    </w:lvl>
  </w:abstractNum>
  <w:abstractNum w:abstractNumId="32">
    <w:lvl w:ilvl="0">
      <w:start w:val="1"/>
      <w:numFmt w:val="bullet"/>
      <w:lvlText w:val=""/>
      <w:lvlJc w:val="start"/>
      <w:pPr>
        <w:tabs>
          <w:tab w:val="num" w:pos="1418"/>
        </w:tabs>
        <w:ind w:start="1418" w:hanging="794"/>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Wingdings" w:hAnsi="Wingdings" w:cs="Wingdings" w:hint="default"/>
        <w:sz w:val="16"/>
      </w:rPr>
    </w:lvl>
  </w:abstractNum>
  <w:abstractNum w:abstractNumId="34">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85"/>
        </w:tabs>
        <w:ind w:start="1985" w:hanging="794"/>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5">
    <w:lvl w:ilvl="0">
      <w:start w:val="1"/>
      <w:numFmt w:val="bullet"/>
      <w:lvlText w:val=""/>
      <w:lvlJc w:val="start"/>
      <w:pPr>
        <w:tabs>
          <w:tab w:val="num" w:pos="360"/>
        </w:tabs>
        <w:ind w:start="360" w:hanging="360"/>
      </w:pPr>
      <w:rPr>
        <w:rFonts w:ascii="Wingdings" w:hAnsi="Wingdings" w:cs="Wingdings" w:hint="default"/>
        <w:sz w:val="16"/>
      </w:rPr>
    </w:lvl>
  </w:abstractNum>
  <w:abstractNum w:abstractNumId="36">
    <w:lvl w:ilvl="0">
      <w:start w:val="1"/>
      <w:numFmt w:val="bullet"/>
      <w:lvlText w:val=""/>
      <w:lvlJc w:val="start"/>
      <w:pPr>
        <w:tabs>
          <w:tab w:val="num" w:pos="1418"/>
        </w:tabs>
        <w:ind w:start="1418" w:hanging="794"/>
      </w:pPr>
      <w:rPr>
        <w:rFonts w:ascii="Symbol" w:hAnsi="Symbol" w:cs="Symbol" w:hint="default"/>
      </w:rPr>
    </w:lvl>
  </w:abstractNum>
  <w:abstractNum w:abstractNumId="37">
    <w:lvl w:ilvl="0">
      <w:start w:val="1"/>
      <w:numFmt w:val="bullet"/>
      <w:lvlText w:val=""/>
      <w:lvlJc w:val="start"/>
      <w:pPr>
        <w:tabs>
          <w:tab w:val="num" w:pos="1418"/>
        </w:tabs>
        <w:ind w:start="1418" w:hanging="794"/>
      </w:pPr>
      <w:rPr>
        <w:rFonts w:ascii="Symbol" w:hAnsi="Symbol" w:cs="Symbol" w:hint="default"/>
      </w:rPr>
    </w:lvl>
  </w:abstractNum>
  <w:abstractNum w:abstractNumId="38">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9">
    <w:lvl w:ilvl="0">
      <w:start w:val="1"/>
      <w:numFmt w:val="bullet"/>
      <w:lvlText w:val=""/>
      <w:lvlJc w:val="start"/>
      <w:pPr>
        <w:tabs>
          <w:tab w:val="num" w:pos="720"/>
        </w:tabs>
        <w:ind w:start="720" w:hanging="720"/>
      </w:pPr>
      <w:rPr>
        <w:rFonts w:ascii="Symbol" w:hAnsi="Symbol" w:cs="Symbol" w:hint="default"/>
      </w:rPr>
    </w:lvl>
  </w:abstractNum>
  <w:abstractNum w:abstractNumId="40">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1">
    <w:lvl w:ilvl="0">
      <w:start w:val="1"/>
      <w:numFmt w:val="bullet"/>
      <w:lvlText w:val=""/>
      <w:lvlJc w:val="start"/>
      <w:pPr>
        <w:tabs>
          <w:tab w:val="num" w:pos="720"/>
        </w:tabs>
        <w:ind w:start="720" w:hanging="720"/>
      </w:pPr>
      <w:rPr>
        <w:rFonts w:ascii="Symbol" w:hAnsi="Symbol" w:cs="Symbol" w:hint="default"/>
      </w:rPr>
    </w:lvl>
  </w:abstractNum>
  <w:abstractNum w:abstractNumId="42">
    <w:lvl w:ilvl="0">
      <w:start w:val="1"/>
      <w:numFmt w:val="bullet"/>
      <w:lvlText w:val=""/>
      <w:lvlJc w:val="start"/>
      <w:pPr>
        <w:tabs>
          <w:tab w:val="num" w:pos="720"/>
        </w:tabs>
        <w:ind w:start="720" w:hanging="72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4">
    <w:lvl w:ilvl="0">
      <w:start w:val="1"/>
      <w:numFmt w:val="bullet"/>
      <w:lvlText w:val=""/>
      <w:lvlJc w:val="start"/>
      <w:pPr>
        <w:tabs>
          <w:tab w:val="num" w:pos="720"/>
        </w:tabs>
        <w:ind w:start="720" w:hanging="72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1418"/>
        </w:tabs>
        <w:ind w:start="1418" w:hanging="794"/>
      </w:pPr>
      <w:rPr>
        <w:rFonts w:ascii="Symbol" w:hAnsi="Symbol" w:cs="Symbol" w:hint="default"/>
      </w:rPr>
    </w:lvl>
  </w:abstractNum>
  <w:abstractNum w:abstractNumId="48">
    <w:lvl w:ilvl="0">
      <w:start w:val="1"/>
      <w:numFmt w:val="bullet"/>
      <w:lvlText w:val=""/>
      <w:lvlJc w:val="start"/>
      <w:pPr>
        <w:tabs>
          <w:tab w:val="num" w:pos="1418"/>
        </w:tabs>
        <w:ind w:start="1418" w:hanging="794"/>
      </w:pPr>
      <w:rPr>
        <w:rFonts w:ascii="Symbol" w:hAnsi="Symbol" w:cs="Symbol" w:hint="default"/>
      </w:rPr>
    </w:lvl>
  </w:abstractNum>
  <w:abstractNum w:abstractNumId="49">
    <w:lvl w:ilvl="0">
      <w:start w:val="1"/>
      <w:numFmt w:val="bullet"/>
      <w:lvlText w:val=""/>
      <w:lvlJc w:val="start"/>
      <w:pPr>
        <w:tabs>
          <w:tab w:val="num" w:pos="720"/>
        </w:tabs>
        <w:ind w:start="720" w:hanging="720"/>
      </w:pPr>
      <w:rPr>
        <w:rFonts w:ascii="Symbol" w:hAnsi="Symbol" w:cs="Symbol" w:hint="default"/>
      </w:rPr>
    </w:lvl>
  </w:abstractNum>
  <w:abstractNum w:abstractNumId="50">
    <w:lvl w:ilvl="0">
      <w:start w:val="1"/>
      <w:numFmt w:val="bullet"/>
      <w:lvlText w:val=""/>
      <w:lvlJc w:val="start"/>
      <w:pPr>
        <w:tabs>
          <w:tab w:val="num" w:pos="720"/>
        </w:tabs>
        <w:ind w:start="720" w:hanging="720"/>
      </w:pPr>
      <w:rPr>
        <w:rFonts w:ascii="Symbol" w:hAnsi="Symbol" w:cs="Symbol" w:hint="default"/>
      </w:rPr>
    </w:lvl>
  </w:abstractNum>
  <w:abstractNum w:abstractNumId="51">
    <w:lvl w:ilvl="0">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14"/>
    <w:lvlOverride w:ilvl="0">
      <w:startOverride w:val="1"/>
    </w:lvlOverride>
  </w:num>
  <w:num w:numId="53">
    <w:abstractNumId w:val="14"/>
    <w:lvlOverride w:ilvl="0">
      <w:startOverride w:val="1"/>
    </w:lvlOverride>
  </w:num>
  <w:num w:numId="54">
    <w:abstractNumId w:val="34"/>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spacing w:before="100" w:after="100"/>
      <w:outlineLvl w:val="0"/>
    </w:pPr>
    <w:rPr>
      <w:b/>
      <w:caps/>
      <w:kern w:val="2"/>
      <w:sz w:val="20"/>
    </w:rPr>
  </w:style>
  <w:style w:type="paragraph" w:styleId="Heading2">
    <w:name w:val="heading 2"/>
    <w:basedOn w:val="Normal"/>
    <w:next w:val="BodyText"/>
    <w:qFormat/>
    <w:pPr>
      <w:numPr>
        <w:ilvl w:val="1"/>
        <w:numId w:val="1"/>
      </w:numPr>
      <w:outlineLvl w:val="1"/>
    </w:pPr>
    <w:rPr>
      <w:b/>
      <w:kern w:val="2"/>
    </w:rPr>
  </w:style>
  <w:style w:type="paragraph" w:styleId="Heading3">
    <w:name w:val="heading 3"/>
    <w:basedOn w:val="Normal"/>
    <w:next w:val="BodyText2"/>
    <w:qFormat/>
    <w:pPr>
      <w:numPr>
        <w:ilvl w:val="2"/>
        <w:numId w:val="1"/>
      </w:numPr>
      <w:outlineLvl w:val="2"/>
    </w:pPr>
    <w:rPr/>
  </w:style>
  <w:style w:type="paragraph" w:styleId="Heading4">
    <w:name w:val="heading 4"/>
    <w:basedOn w:val="Normal"/>
    <w:next w:val="BodyText3"/>
    <w:qFormat/>
    <w:pPr>
      <w:numPr>
        <w:ilvl w:val="3"/>
        <w:numId w:val="1"/>
      </w:numPr>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spacing w:before="0" w:after="0"/>
      <w:outlineLvl w:val="6"/>
    </w:pPr>
    <w:rPr/>
  </w:style>
  <w:style w:type="paragraph" w:styleId="Heading8">
    <w:name w:val="heading 8"/>
    <w:basedOn w:val="Normal"/>
    <w:next w:val="Normal"/>
    <w:qFormat/>
    <w:p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1z3">
    <w:name w:val="WW8Num11z3"/>
    <w:qFormat/>
    <w:rPr>
      <w:b w:val="fals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Monotype Sorts" w:hAnsi="Monotype Sorts" w:cs="Monotype Sort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CG Times" w:hAnsi="CG Times" w:cs="CG Times"/>
      <w:b/>
      <w:sz w:val="21"/>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CG Times" w:hAnsi="CG Times" w:cs="CG Times"/>
      <w:b w:val="false"/>
      <w:i w:val="false"/>
      <w:sz w:val="18"/>
    </w:rPr>
  </w:style>
  <w:style w:type="character" w:styleId="WW8Num42z1">
    <w:name w:val="WW8Num42z1"/>
    <w:qFormat/>
    <w:rPr>
      <w:b w:val="false"/>
      <w:i w:val="false"/>
      <w:sz w:val="18"/>
    </w:rPr>
  </w:style>
  <w:style w:type="character" w:styleId="WW8Num42z3">
    <w:name w:val="WW8Num42z3"/>
    <w:qFormat/>
    <w:rPr>
      <w:b w:val="false"/>
      <w:i w:val="false"/>
      <w:sz w:val="20"/>
    </w:rPr>
  </w:style>
  <w:style w:type="character" w:styleId="WW8Num42z8">
    <w:name w:val="WW8Num42z8"/>
    <w:qFormat/>
    <w:rPr>
      <w:b/>
      <w:i w:val="false"/>
      <w:caps/>
      <w:sz w:val="22"/>
    </w:rPr>
  </w:style>
  <w:style w:type="character" w:styleId="WW8Num43z0">
    <w:name w:val="WW8Num43z0"/>
    <w:qFormat/>
    <w:rPr>
      <w:rFonts w:ascii="Wingdings" w:hAnsi="Wingdings" w:cs="Wingdings"/>
      <w:sz w:val="16"/>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Times New Roman" w:hAnsi="Times New Roman" w:cs="Times New Roman"/>
    </w:rPr>
  </w:style>
  <w:style w:type="character" w:styleId="WW8Num56z0">
    <w:name w:val="WW8Num56z0"/>
    <w:qFormat/>
    <w:rPr>
      <w:rFonts w:ascii="Symbol" w:hAnsi="Symbol" w:cs="Symbol"/>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rPr>
  </w:style>
  <w:style w:type="character" w:styleId="WW8Num59z0">
    <w:name w:val="WW8Num59z0"/>
    <w:qFormat/>
    <w:rPr>
      <w:rFonts w:ascii="Times New Roman" w:hAnsi="Times New Roman" w:cs="Times New Roman"/>
    </w:rPr>
  </w:style>
  <w:style w:type="character" w:styleId="WW8Num60z0">
    <w:name w:val="WW8Num60z0"/>
    <w:qFormat/>
    <w:rPr>
      <w:rFonts w:ascii="Symbol" w:hAnsi="Symbol" w:cs="Symbol"/>
    </w:rPr>
  </w:style>
  <w:style w:type="character" w:styleId="WW8Num61z0">
    <w:name w:val="WW8Num61z0"/>
    <w:qFormat/>
    <w:rPr>
      <w:rFonts w:ascii="Wingdings" w:hAnsi="Wingdings" w:cs="Wingdings"/>
      <w:sz w:val="16"/>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Wingdings" w:hAnsi="Wingdings" w:cs="Wingdings"/>
      <w:sz w:val="16"/>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Times New Roman" w:hAnsi="Times New Roman" w:cs="Times New Roman"/>
    </w:rPr>
  </w:style>
  <w:style w:type="character" w:styleId="WW8Num78z0">
    <w:name w:val="WW8Num78z0"/>
    <w:qFormat/>
    <w:rPr>
      <w:rFonts w:ascii="Times New Roman" w:hAnsi="Times New Roman" w:cs="Times New Roman"/>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CG Times" w:hAnsi="CG Times" w:cs="CG Times"/>
      <w:b w:val="false"/>
      <w:i w:val="false"/>
      <w:sz w:val="18"/>
    </w:rPr>
  </w:style>
  <w:style w:type="character" w:styleId="WW8Num81z1">
    <w:name w:val="WW8Num81z1"/>
    <w:qFormat/>
    <w:rPr>
      <w:b w:val="false"/>
      <w:i w:val="false"/>
      <w:sz w:val="18"/>
    </w:rPr>
  </w:style>
  <w:style w:type="character" w:styleId="WW8Num81z3">
    <w:name w:val="WW8Num81z3"/>
    <w:qFormat/>
    <w:rPr>
      <w:b w:val="false"/>
      <w:i w:val="false"/>
      <w:sz w:val="20"/>
    </w:rPr>
  </w:style>
  <w:style w:type="character" w:styleId="WW8Num81z8">
    <w:name w:val="WW8Num81z8"/>
    <w:qFormat/>
    <w:rPr>
      <w:b/>
      <w:i w:val="false"/>
      <w:caps/>
      <w:sz w:val="22"/>
    </w:rPr>
  </w:style>
  <w:style w:type="character" w:styleId="WW8Num82z0">
    <w:name w:val="WW8Num82z0"/>
    <w:qFormat/>
    <w:rPr>
      <w:rFonts w:ascii="CG Times" w:hAnsi="CG Times" w:cs="CG Times"/>
      <w:b w:val="false"/>
      <w:i w:val="false"/>
      <w:sz w:val="18"/>
    </w:rPr>
  </w:style>
  <w:style w:type="character" w:styleId="WW8Num82z1">
    <w:name w:val="WW8Num82z1"/>
    <w:qFormat/>
    <w:rPr>
      <w:b w:val="false"/>
      <w:i w:val="false"/>
      <w:sz w:val="18"/>
    </w:rPr>
  </w:style>
  <w:style w:type="character" w:styleId="WW8Num82z3">
    <w:name w:val="WW8Num82z3"/>
    <w:qFormat/>
    <w:rPr>
      <w:b w:val="false"/>
      <w:i w:val="false"/>
      <w:sz w:val="20"/>
    </w:rPr>
  </w:style>
  <w:style w:type="character" w:styleId="WW8Num82z8">
    <w:name w:val="WW8Num82z8"/>
    <w:qFormat/>
    <w:rPr>
      <w:b/>
      <w:i w:val="false"/>
      <w:caps/>
      <w:sz w:val="22"/>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Wingdings" w:hAnsi="Wingdings" w:cs="Wingdings"/>
      <w:sz w:val="16"/>
    </w:rPr>
  </w:style>
  <w:style w:type="character" w:styleId="WW8Num86z0">
    <w:name w:val="WW8Num86z0"/>
    <w:qFormat/>
    <w:rPr>
      <w:rFonts w:ascii="Symbol" w:hAnsi="Symbol" w:cs="Symbol"/>
    </w:rPr>
  </w:style>
  <w:style w:type="character" w:styleId="WW8Num87z0">
    <w:name w:val="WW8Num87z0"/>
    <w:qFormat/>
    <w:rPr>
      <w:rFonts w:ascii="Monotype Sorts" w:hAnsi="Monotype Sorts" w:cs="Monotype Sorts"/>
    </w:rPr>
  </w:style>
  <w:style w:type="character" w:styleId="WW8Num88z0">
    <w:name w:val="WW8Num88z0"/>
    <w:qFormat/>
    <w:rPr>
      <w:rFonts w:ascii="Symbol" w:hAnsi="Symbol" w:cs="Symbol"/>
    </w:rPr>
  </w:style>
  <w:style w:type="character" w:styleId="WW8Num89z0">
    <w:name w:val="WW8Num89z0"/>
    <w:qFormat/>
    <w:rPr>
      <w:rFonts w:ascii="Wingdings" w:hAnsi="Wingdings" w:cs="Wingdings"/>
    </w:rPr>
  </w:style>
  <w:style w:type="character" w:styleId="WW8Num90z0">
    <w:name w:val="WW8Num90z0"/>
    <w:qFormat/>
    <w:rPr>
      <w:rFonts w:ascii="Symbol" w:hAnsi="Symbol" w:cs="Symbol"/>
      <w:color w:val="auto"/>
    </w:rPr>
  </w:style>
  <w:style w:type="character" w:styleId="WW8Num91z0">
    <w:name w:val="WW8Num91z0"/>
    <w:qFormat/>
    <w:rPr>
      <w:rFonts w:ascii="Times New Roman" w:hAnsi="Times New Roman" w:cs="Times New Roman"/>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eastAsia="'宋体"/>
      <w:b w:val="false"/>
      <w:i w:val="false"/>
    </w:rPr>
  </w:style>
  <w:style w:type="character" w:styleId="WW8Num95z0">
    <w:name w:val="WW8Num95z0"/>
    <w:qFormat/>
    <w:rPr>
      <w:rFonts w:ascii="Symbol" w:hAnsi="Symbol" w:cs="Symbol"/>
    </w:rPr>
  </w:style>
  <w:style w:type="character" w:styleId="WW8Num96z0">
    <w:name w:val="WW8Num96z0"/>
    <w:qFormat/>
    <w:rPr>
      <w:b w:val="false"/>
      <w:i w:val="false"/>
    </w:rPr>
  </w:style>
  <w:style w:type="character" w:styleId="WW8Num97z0">
    <w:name w:val="WW8Num97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Times New Roman" w:hAnsi="Times New Roman" w:cs="Times New Roman"/>
    </w:rPr>
  </w:style>
  <w:style w:type="character" w:styleId="WW8Num102z0">
    <w:name w:val="WW8Num102z0"/>
    <w:qFormat/>
    <w:rPr>
      <w:rFonts w:ascii="Symbol" w:hAnsi="Symbol" w:cs="Symbol"/>
    </w:rPr>
  </w:style>
  <w:style w:type="character" w:styleId="WW8Num103z0">
    <w:name w:val="WW8Num103z0"/>
    <w:qFormat/>
    <w:rPr>
      <w:rFonts w:ascii="Times New Roman" w:hAnsi="Times New Roman" w:cs="Times New Roman"/>
    </w:rPr>
  </w:style>
  <w:style w:type="character" w:styleId="WW8Num104z0">
    <w:name w:val="WW8Num104z0"/>
    <w:qFormat/>
    <w:rPr>
      <w:rFonts w:ascii="Times New Roman" w:hAnsi="Times New Roman" w:cs="Times New Roman"/>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b w:val="false"/>
      <w:i w:val="false"/>
    </w:rPr>
  </w:style>
  <w:style w:type="character" w:styleId="WW8Num109z0">
    <w:name w:val="WW8Num109z0"/>
    <w:qFormat/>
    <w:rPr>
      <w:rFonts w:ascii="Symbol" w:hAnsi="Symbol" w:cs="Symbol"/>
    </w:rPr>
  </w:style>
  <w:style w:type="character" w:styleId="WW8Num110z0">
    <w:name w:val="WW8Num110z0"/>
    <w:qFormat/>
    <w:rPr>
      <w:rFonts w:ascii="Wingdings" w:hAnsi="Wingdings" w:cs="Wingdings"/>
      <w:sz w:val="16"/>
    </w:rPr>
  </w:style>
  <w:style w:type="character" w:styleId="WW8Num111z0">
    <w:name w:val="WW8Num111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Times New Roman" w:hAnsi="Times New Roman" w:cs="Times New Roman"/>
    </w:rPr>
  </w:style>
  <w:style w:type="character" w:styleId="WW8Num122z0">
    <w:name w:val="WW8Num122z0"/>
    <w:qFormat/>
    <w:rPr>
      <w:rFonts w:ascii="Wingdings" w:hAnsi="Wingdings" w:cs="Wingdings"/>
      <w:sz w:val="16"/>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Times New Roman" w:hAnsi="Times New Roman" w:cs="Times New Roman"/>
    </w:rPr>
  </w:style>
  <w:style w:type="character" w:styleId="WW8Num128z0">
    <w:name w:val="WW8Num128z0"/>
    <w:qFormat/>
    <w:rPr>
      <w:rFonts w:ascii="Wingdings" w:hAnsi="Wingdings" w:cs="Wingdings"/>
      <w:sz w:val="16"/>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CG Times" w:hAnsi="CG Times" w:cs="CG Times"/>
      <w:b w:val="false"/>
      <w:i w:val="false"/>
      <w:sz w:val="20"/>
    </w:rPr>
  </w:style>
  <w:style w:type="character" w:styleId="WW8Num133z1">
    <w:name w:val="WW8Num133z1"/>
    <w:qFormat/>
    <w:rPr>
      <w:b w:val="false"/>
      <w:i w:val="false"/>
      <w:sz w:val="20"/>
    </w:rPr>
  </w:style>
  <w:style w:type="character" w:styleId="WW8Num133z4">
    <w:name w:val="WW8Num133z4"/>
    <w:qFormat/>
    <w:rPr>
      <w:b w:val="false"/>
      <w:i w:val="false"/>
      <w:sz w:val="18"/>
    </w:rPr>
  </w:style>
  <w:style w:type="character" w:styleId="WW8Num133z8">
    <w:name w:val="WW8Num133z8"/>
    <w:qFormat/>
    <w:rPr>
      <w:b/>
      <w:i w:val="false"/>
      <w:caps/>
      <w:sz w:val="22"/>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Wingdings" w:hAnsi="Wingdings" w:cs="Wingdings"/>
      <w:sz w:val="16"/>
    </w:rPr>
  </w:style>
  <w:style w:type="character" w:styleId="WW8Num137z0">
    <w:name w:val="WW8Num137z0"/>
    <w:qFormat/>
    <w:rPr>
      <w:rFonts w:ascii="Symbol" w:hAnsi="Symbol" w:cs="Symbol"/>
    </w:rPr>
  </w:style>
  <w:style w:type="character" w:styleId="WW8Num138z0">
    <w:name w:val="WW8Num138z0"/>
    <w:qFormat/>
    <w:rPr>
      <w:b/>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rPr>
  </w:style>
  <w:style w:type="character" w:styleId="WW8Num144z0">
    <w:name w:val="WW8Num144z0"/>
    <w:qFormat/>
    <w:rPr>
      <w:rFonts w:ascii="Symbol" w:hAnsi="Symbol" w:cs="Symbol"/>
    </w:rPr>
  </w:style>
  <w:style w:type="character" w:styleId="WW8Num145z0">
    <w:name w:val="WW8Num145z0"/>
    <w:qFormat/>
    <w:rPr/>
  </w:style>
  <w:style w:type="character" w:styleId="WW8Num147z0">
    <w:name w:val="WW8Num147z0"/>
    <w:qFormat/>
    <w:rPr>
      <w:rFonts w:ascii="Wingdings" w:hAnsi="Wingdings" w:cs="Wingdings"/>
      <w:sz w:val="16"/>
    </w:rPr>
  </w:style>
  <w:style w:type="character" w:styleId="WW8Num148z0">
    <w:name w:val="WW8Num148z0"/>
    <w:qFormat/>
    <w:rPr>
      <w:b w:val="false"/>
      <w:i w:val="false"/>
    </w:rPr>
  </w:style>
  <w:style w:type="character" w:styleId="WW8Num149z0">
    <w:name w:val="WW8Num149z0"/>
    <w:qFormat/>
    <w:rPr>
      <w:rFonts w:ascii="Times New Roman" w:hAnsi="Times New Roman" w:cs="Times New Roman"/>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Wingdings" w:hAnsi="Wingdings" w:cs="Wingdings"/>
      <w:sz w:val="16"/>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b w:val="false"/>
      <w:i w:val="false"/>
    </w:rPr>
  </w:style>
  <w:style w:type="character" w:styleId="WW8Num161z0">
    <w:name w:val="WW8Num161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Wingdings" w:hAnsi="Wingdings" w:cs="Wingdings"/>
      <w:sz w:val="16"/>
    </w:rPr>
  </w:style>
  <w:style w:type="character" w:styleId="WW8Num166z0">
    <w:name w:val="WW8Num166z0"/>
    <w:qFormat/>
    <w:rPr>
      <w:rFonts w:ascii="Symbol" w:hAnsi="Symbol" w:cs="Symbol"/>
    </w:rPr>
  </w:style>
  <w:style w:type="character" w:styleId="WW8Num167z0">
    <w:name w:val="WW8Num167z0"/>
    <w:qFormat/>
    <w:rPr>
      <w:rFonts w:ascii="Times New Roman" w:hAnsi="Times New Roman" w:cs="Times New Roman"/>
    </w:rPr>
  </w:style>
  <w:style w:type="character" w:styleId="WW8Num168z0">
    <w:name w:val="WW8Num168z0"/>
    <w:qFormat/>
    <w:rPr>
      <w:rFonts w:ascii="CG Times" w:hAnsi="CG Times" w:cs="CG Times"/>
      <w:b w:val="false"/>
      <w:i w:val="false"/>
      <w:sz w:val="20"/>
    </w:rPr>
  </w:style>
  <w:style w:type="character" w:styleId="WW8Num168z1">
    <w:name w:val="WW8Num168z1"/>
    <w:qFormat/>
    <w:rPr>
      <w:b w:val="false"/>
      <w:i w:val="false"/>
      <w:sz w:val="20"/>
    </w:rPr>
  </w:style>
  <w:style w:type="character" w:styleId="WW8Num168z4">
    <w:name w:val="WW8Num168z4"/>
    <w:qFormat/>
    <w:rPr>
      <w:b w:val="false"/>
      <w:i w:val="false"/>
      <w:sz w:val="18"/>
    </w:rPr>
  </w:style>
  <w:style w:type="character" w:styleId="WW8Num168z8">
    <w:name w:val="WW8Num168z8"/>
    <w:qFormat/>
    <w:rPr>
      <w:b/>
      <w:i w:val="false"/>
      <w:caps/>
      <w:sz w:val="22"/>
    </w:rPr>
  </w:style>
  <w:style w:type="character" w:styleId="WW8Num169z0">
    <w:name w:val="WW8Num169z0"/>
    <w:qFormat/>
    <w:rPr>
      <w:rFonts w:ascii="Symbol" w:hAnsi="Symbol" w:cs="Symbol"/>
    </w:rPr>
  </w:style>
  <w:style w:type="character" w:styleId="WW8Num170z0">
    <w:name w:val="WW8Num170z0"/>
    <w:qFormat/>
    <w:rPr>
      <w:rFonts w:ascii="Wingdings" w:hAnsi="Wingdings" w:cs="Wingdings"/>
      <w:sz w:val="16"/>
    </w:rPr>
  </w:style>
  <w:style w:type="character" w:styleId="WW8Num172z0">
    <w:name w:val="WW8Num172z0"/>
    <w:qFormat/>
    <w:rPr>
      <w:rFonts w:ascii="Symbol" w:hAnsi="Symbol" w:cs="Symbol"/>
    </w:rPr>
  </w:style>
  <w:style w:type="character" w:styleId="WW8Num173z0">
    <w:name w:val="WW8Num173z0"/>
    <w:qFormat/>
    <w:rPr>
      <w:rFonts w:ascii="Times New Roman" w:hAnsi="Times New Roman" w:cs="Times New Roman"/>
    </w:rPr>
  </w:style>
  <w:style w:type="character" w:styleId="WW8Num174z0">
    <w:name w:val="WW8Num174z0"/>
    <w:qFormat/>
    <w:rPr>
      <w:rFonts w:ascii="Symbol" w:hAnsi="Symbol" w:cs="Symbol"/>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Wingdings" w:hAnsi="Wingdings" w:cs="Wingdings"/>
    </w:rPr>
  </w:style>
  <w:style w:type="character" w:styleId="WW8Num178z0">
    <w:name w:val="WW8Num178z0"/>
    <w:qFormat/>
    <w:rPr>
      <w:rFonts w:ascii="Wingdings" w:hAnsi="Wingdings" w:cs="Wingdings"/>
      <w:sz w:val="16"/>
    </w:rPr>
  </w:style>
  <w:style w:type="character" w:styleId="WW8Num179z0">
    <w:name w:val="WW8Num179z0"/>
    <w:qFormat/>
    <w:rPr>
      <w:rFonts w:ascii="Times New Roman" w:hAnsi="Times New Roman" w:cs="Times New Roman"/>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CG Times" w:hAnsi="CG Times" w:cs="CG Times"/>
      <w:b w:val="false"/>
      <w:i w:val="false"/>
      <w:sz w:val="20"/>
    </w:rPr>
  </w:style>
  <w:style w:type="character" w:styleId="WW8Num182z1">
    <w:name w:val="WW8Num182z1"/>
    <w:qFormat/>
    <w:rPr>
      <w:b w:val="false"/>
      <w:i w:val="false"/>
      <w:sz w:val="20"/>
    </w:rPr>
  </w:style>
  <w:style w:type="character" w:styleId="WW8Num182z2">
    <w:name w:val="WW8Num182z2"/>
    <w:qFormat/>
    <w:rPr>
      <w:b w:val="false"/>
      <w:i w:val="false"/>
      <w:sz w:val="18"/>
    </w:rPr>
  </w:style>
  <w:style w:type="character" w:styleId="WW8Num182z8">
    <w:name w:val="WW8Num182z8"/>
    <w:qFormat/>
    <w:rPr>
      <w:b/>
      <w:i w:val="false"/>
      <w:caps/>
      <w:sz w:val="22"/>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Wingdings" w:hAnsi="Wingdings" w:cs="Wingdings"/>
    </w:rPr>
  </w:style>
  <w:style w:type="character" w:styleId="WW8Num186z0">
    <w:name w:val="WW8Num186z0"/>
    <w:qFormat/>
    <w:rPr>
      <w:rFonts w:ascii="Symbol" w:hAnsi="Symbol" w:cs="Symbol"/>
    </w:rPr>
  </w:style>
  <w:style w:type="character" w:styleId="WW8Num187z0">
    <w:name w:val="WW8Num187z0"/>
    <w:qFormat/>
    <w:rPr>
      <w:b w:val="false"/>
      <w:i w:val="false"/>
    </w:rPr>
  </w:style>
  <w:style w:type="character" w:styleId="WW8Num188z0">
    <w:name w:val="WW8Num188z0"/>
    <w:qFormat/>
    <w:rPr>
      <w:rFonts w:ascii="Symbol" w:hAnsi="Symbol" w:cs="Symbol"/>
    </w:rPr>
  </w:style>
  <w:style w:type="character" w:styleId="WW8Num189z0">
    <w:name w:val="WW8Num189z0"/>
    <w:qFormat/>
    <w:rPr>
      <w:rFonts w:ascii="Wingdings" w:hAnsi="Wingdings" w:cs="Wingdings"/>
      <w:sz w:val="16"/>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b w:val="false"/>
      <w:i w:val="false"/>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b w:val="false"/>
      <w:i w:val="false"/>
    </w:rPr>
  </w:style>
  <w:style w:type="character" w:styleId="WW8Num204z0">
    <w:name w:val="WW8Num204z0"/>
    <w:qFormat/>
    <w:rPr>
      <w:rFonts w:ascii="Wingdings" w:hAnsi="Wingdings" w:cs="Wingdings"/>
    </w:rPr>
  </w:style>
  <w:style w:type="character" w:styleId="WW8Num205z0">
    <w:name w:val="WW8Num205z0"/>
    <w:qFormat/>
    <w:rPr>
      <w:rFonts w:ascii="Symbol" w:hAnsi="Symbol" w:cs="Symbol"/>
    </w:rPr>
  </w:style>
  <w:style w:type="character" w:styleId="WW8Num206z0">
    <w:name w:val="WW8Num206z0"/>
    <w:qFormat/>
    <w:rPr>
      <w:rFonts w:ascii="CG Times" w:hAnsi="CG Times" w:cs="CG Times"/>
      <w:b w:val="false"/>
      <w:i w:val="false"/>
      <w:sz w:val="18"/>
    </w:rPr>
  </w:style>
  <w:style w:type="character" w:styleId="WW8Num206z1">
    <w:name w:val="WW8Num206z1"/>
    <w:qFormat/>
    <w:rPr>
      <w:b w:val="false"/>
      <w:i w:val="false"/>
      <w:sz w:val="18"/>
    </w:rPr>
  </w:style>
  <w:style w:type="character" w:styleId="WW8Num206z3">
    <w:name w:val="WW8Num206z3"/>
    <w:qFormat/>
    <w:rPr>
      <w:b w:val="false"/>
      <w:i w:val="false"/>
      <w:sz w:val="20"/>
    </w:rPr>
  </w:style>
  <w:style w:type="character" w:styleId="WW8Num206z8">
    <w:name w:val="WW8Num206z8"/>
    <w:qFormat/>
    <w:rPr>
      <w:b/>
      <w:i w:val="false"/>
      <w:caps/>
      <w:sz w:val="22"/>
    </w:rPr>
  </w:style>
  <w:style w:type="character" w:styleId="WW8Num207z0">
    <w:name w:val="WW8Num207z0"/>
    <w:qFormat/>
    <w:rPr>
      <w:b w:val="false"/>
      <w:i w:val="false"/>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b/>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color w:val="auto"/>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b w:val="false"/>
      <w:i w:val="false"/>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Times New Roman" w:hAnsi="Times New Roman" w:cs="Times New Roman"/>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Wingdings" w:hAnsi="Wingdings" w:cs="Wingdings"/>
    </w:rPr>
  </w:style>
  <w:style w:type="character" w:styleId="WW8Num235z0">
    <w:name w:val="WW8Num235z0"/>
    <w:qFormat/>
    <w:rPr>
      <w:rFonts w:ascii="Times New Roman" w:hAnsi="Times New Roman" w:cs="Times New Roman"/>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Wingdings" w:hAnsi="Wingdings" w:cs="Wingdings"/>
    </w:rPr>
  </w:style>
  <w:style w:type="character" w:styleId="WW8Num239z0">
    <w:name w:val="WW8Num239z0"/>
    <w:qFormat/>
    <w:rPr>
      <w:rFonts w:ascii="Symbol" w:hAnsi="Symbol" w:cs="Symbol"/>
    </w:rPr>
  </w:style>
  <w:style w:type="character" w:styleId="WW8Num240z0">
    <w:name w:val="WW8Num240z0"/>
    <w:qFormat/>
    <w:rPr>
      <w:b w:val="false"/>
      <w:i w:val="false"/>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Times New Roman" w:hAnsi="Times New Roman" w:cs="Times New Roman"/>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Wingdings" w:hAnsi="Wingdings" w:cs="Wingdings"/>
    </w:rPr>
  </w:style>
  <w:style w:type="character" w:styleId="WW8Num259z0">
    <w:name w:val="WW8Num259z0"/>
    <w:qFormat/>
    <w:rPr>
      <w:rFonts w:ascii="Wingdings" w:hAnsi="Wingdings" w:cs="Wingdings"/>
      <w:sz w:val="16"/>
    </w:rPr>
  </w:style>
  <w:style w:type="character" w:styleId="WW8Num260z0">
    <w:name w:val="WW8Num260z0"/>
    <w:qFormat/>
    <w:rPr>
      <w:rFonts w:ascii="Symbol" w:hAnsi="Symbol" w:cs="Symbol"/>
    </w:rPr>
  </w:style>
  <w:style w:type="character" w:styleId="WW8Num261z0">
    <w:name w:val="WW8Num261z0"/>
    <w:qFormat/>
    <w:rPr>
      <w:rFonts w:ascii="Wingdings" w:hAnsi="Wingdings" w:cs="Wingdings"/>
      <w:sz w:val="16"/>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CG Times" w:hAnsi="CG Times" w:cs="CG Times"/>
      <w:b w:val="false"/>
      <w:i w:val="false"/>
      <w:sz w:val="20"/>
    </w:rPr>
  </w:style>
  <w:style w:type="character" w:styleId="WW8Num267z1">
    <w:name w:val="WW8Num267z1"/>
    <w:qFormat/>
    <w:rPr>
      <w:b w:val="false"/>
      <w:i w:val="false"/>
      <w:sz w:val="20"/>
    </w:rPr>
  </w:style>
  <w:style w:type="character" w:styleId="WW8Num267z2">
    <w:name w:val="WW8Num267z2"/>
    <w:qFormat/>
    <w:rPr>
      <w:b w:val="false"/>
      <w:i w:val="false"/>
      <w:sz w:val="18"/>
    </w:rPr>
  </w:style>
  <w:style w:type="character" w:styleId="WW8Num267z8">
    <w:name w:val="WW8Num267z8"/>
    <w:qFormat/>
    <w:rPr>
      <w:b/>
      <w:i w:val="false"/>
      <w:caps/>
      <w:sz w:val="22"/>
    </w:rPr>
  </w:style>
  <w:style w:type="character" w:styleId="WW8Num268z0">
    <w:name w:val="WW8Num268z0"/>
    <w:qFormat/>
    <w:rPr>
      <w:rFonts w:ascii="Wingdings" w:hAnsi="Wingdings" w:cs="Wingdings"/>
      <w:sz w:val="16"/>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Wingdings" w:hAnsi="Wingdings" w:cs="Wingdings"/>
      <w:sz w:val="16"/>
    </w:rPr>
  </w:style>
  <w:style w:type="character" w:styleId="WW8Num272z0">
    <w:name w:val="WW8Num272z0"/>
    <w:qFormat/>
    <w:rPr>
      <w:rFonts w:ascii="Wingdings" w:hAnsi="Wingdings" w:cs="Wingdings"/>
      <w:sz w:val="16"/>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b w:val="false"/>
      <w:i w:val="false"/>
    </w:rPr>
  </w:style>
  <w:style w:type="character" w:styleId="WW8Num276z0">
    <w:name w:val="WW8Num276z0"/>
    <w:qFormat/>
    <w:rPr>
      <w:rFonts w:ascii="Wingdings" w:hAnsi="Wingdings" w:cs="Wingdings"/>
      <w:sz w:val="16"/>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Wingdings" w:hAnsi="Wingdings" w:cs="Wingdings"/>
      <w:sz w:val="16"/>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color w:val="auto"/>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Times New Roman" w:hAnsi="Times New Roman" w:cs="Times New Roman"/>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Wingdings" w:hAnsi="Wingdings" w:cs="Wingdings"/>
      <w:sz w:val="16"/>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b w:val="false"/>
      <w:i w:val="false"/>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rFonts w:ascii="Wingdings" w:hAnsi="Wingdings" w:cs="Wingdings"/>
      <w:sz w:val="16"/>
    </w:rPr>
  </w:style>
  <w:style w:type="character" w:styleId="WW8Num309z0">
    <w:name w:val="WW8Num309z0"/>
    <w:qFormat/>
    <w:rPr>
      <w:rFonts w:ascii="CG Times" w:hAnsi="CG Times" w:cs="CG Times"/>
      <w:b w:val="false"/>
      <w:i w:val="false"/>
      <w:sz w:val="20"/>
    </w:rPr>
  </w:style>
  <w:style w:type="character" w:styleId="WW8Num309z1">
    <w:name w:val="WW8Num309z1"/>
    <w:qFormat/>
    <w:rPr>
      <w:b w:val="false"/>
      <w:i w:val="false"/>
      <w:sz w:val="20"/>
    </w:rPr>
  </w:style>
  <w:style w:type="character" w:styleId="WW8Num309z4">
    <w:name w:val="WW8Num309z4"/>
    <w:qFormat/>
    <w:rPr>
      <w:b w:val="false"/>
      <w:i w:val="false"/>
      <w:sz w:val="18"/>
    </w:rPr>
  </w:style>
  <w:style w:type="character" w:styleId="WW8Num309z8">
    <w:name w:val="WW8Num309z8"/>
    <w:qFormat/>
    <w:rPr>
      <w:b/>
      <w:i w:val="false"/>
      <w:caps/>
      <w:sz w:val="22"/>
    </w:rPr>
  </w:style>
  <w:style w:type="character" w:styleId="WW8Num310z0">
    <w:name w:val="WW8Num310z0"/>
    <w:qFormat/>
    <w:rPr>
      <w:rFonts w:ascii="Symbol" w:hAnsi="Symbol" w:cs="Symbol"/>
    </w:rPr>
  </w:style>
  <w:style w:type="character" w:styleId="WW8Num311z0">
    <w:name w:val="WW8Num311z0"/>
    <w:qFormat/>
    <w:rPr>
      <w:rFonts w:ascii="Wingdings" w:hAnsi="Wingdings" w:cs="Wingdings"/>
      <w:sz w:val="16"/>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Times New Roman" w:hAnsi="Times New Roman" w:cs="Times New Roman"/>
    </w:rPr>
  </w:style>
  <w:style w:type="character" w:styleId="WW8Num318z0">
    <w:name w:val="WW8Num318z0"/>
    <w:qFormat/>
    <w:rPr>
      <w:rFonts w:ascii="Symbol" w:hAnsi="Symbol" w:cs="Symbol"/>
    </w:rPr>
  </w:style>
  <w:style w:type="character" w:styleId="WW8Num319z0">
    <w:name w:val="WW8Num319z0"/>
    <w:qFormat/>
    <w:rPr>
      <w:rFonts w:ascii="Times New Roman" w:hAnsi="Times New Roman" w:cs="Times New Roman"/>
    </w:rPr>
  </w:style>
  <w:style w:type="character" w:styleId="WW8Num320z0">
    <w:name w:val="WW8Num320z0"/>
    <w:qFormat/>
    <w:rPr>
      <w:rFonts w:ascii="Symbol" w:hAnsi="Symbol" w:cs="Symbol"/>
    </w:rPr>
  </w:style>
  <w:style w:type="character" w:styleId="WW8Num322z0">
    <w:name w:val="WW8Num322z0"/>
    <w:qFormat/>
    <w:rPr>
      <w:rFonts w:ascii="CG Times" w:hAnsi="CG Times" w:cs="CG Times"/>
      <w:b w:val="false"/>
      <w:i w:val="false"/>
      <w:sz w:val="18"/>
    </w:rPr>
  </w:style>
  <w:style w:type="character" w:styleId="WW8Num322z1">
    <w:name w:val="WW8Num322z1"/>
    <w:qFormat/>
    <w:rPr>
      <w:b w:val="false"/>
      <w:i w:val="false"/>
      <w:sz w:val="18"/>
    </w:rPr>
  </w:style>
  <w:style w:type="character" w:styleId="WW8Num322z3">
    <w:name w:val="WW8Num322z3"/>
    <w:qFormat/>
    <w:rPr>
      <w:b w:val="false"/>
      <w:i w:val="false"/>
      <w:sz w:val="20"/>
    </w:rPr>
  </w:style>
  <w:style w:type="character" w:styleId="WW8Num322z8">
    <w:name w:val="WW8Num322z8"/>
    <w:qFormat/>
    <w:rPr>
      <w:b/>
      <w:i w:val="false"/>
      <w:caps/>
      <w:sz w:val="22"/>
    </w:rPr>
  </w:style>
  <w:style w:type="character" w:styleId="WW8Num323z0">
    <w:name w:val="WW8Num323z0"/>
    <w:qFormat/>
    <w:rPr>
      <w:rFonts w:ascii="Wingdings" w:hAnsi="Wingdings" w:cs="Wingdings"/>
      <w:sz w:val="16"/>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8z0">
    <w:name w:val="WW8Num328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CG Times" w:hAnsi="CG Times" w:cs="CG Times"/>
      <w:b w:val="false"/>
      <w:i w:val="false"/>
      <w:sz w:val="18"/>
    </w:rPr>
  </w:style>
  <w:style w:type="character" w:styleId="WW8Num332z1">
    <w:name w:val="WW8Num332z1"/>
    <w:qFormat/>
    <w:rPr>
      <w:b w:val="false"/>
      <w:i w:val="false"/>
      <w:sz w:val="18"/>
    </w:rPr>
  </w:style>
  <w:style w:type="character" w:styleId="WW8Num332z3">
    <w:name w:val="WW8Num332z3"/>
    <w:qFormat/>
    <w:rPr>
      <w:b w:val="false"/>
      <w:i w:val="false"/>
      <w:sz w:val="20"/>
    </w:rPr>
  </w:style>
  <w:style w:type="character" w:styleId="WW8Num332z8">
    <w:name w:val="WW8Num332z8"/>
    <w:qFormat/>
    <w:rPr>
      <w:b/>
      <w:i w:val="false"/>
      <w:caps/>
      <w:sz w:val="22"/>
    </w:rPr>
  </w:style>
  <w:style w:type="character" w:styleId="WW8Num333z0">
    <w:name w:val="WW8Num333z0"/>
    <w:qFormat/>
    <w:rPr>
      <w:rFonts w:ascii="Monotype Sorts" w:hAnsi="Monotype Sorts" w:cs="Monotype Sorts"/>
    </w:rPr>
  </w:style>
  <w:style w:type="character" w:styleId="WW8Num334z0">
    <w:name w:val="WW8Num334z0"/>
    <w:qFormat/>
    <w:rPr>
      <w:rFonts w:ascii="Wingdings" w:hAnsi="Wingdings" w:cs="Wingdings"/>
      <w:sz w:val="16"/>
    </w:rPr>
  </w:style>
  <w:style w:type="character" w:styleId="WW8Num335z0">
    <w:name w:val="WW8Num335z0"/>
    <w:qFormat/>
    <w:rPr>
      <w:rFonts w:ascii="Symbol" w:hAnsi="Symbol" w:cs="Symbol"/>
    </w:rPr>
  </w:style>
  <w:style w:type="character" w:styleId="WW8Num336z0">
    <w:name w:val="WW8Num336z0"/>
    <w:qFormat/>
    <w:rPr>
      <w:rFonts w:ascii="Wingdings" w:hAnsi="Wingdings" w:cs="Wingdings"/>
      <w:sz w:val="16"/>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color w:val="auto"/>
    </w:rPr>
  </w:style>
  <w:style w:type="character" w:styleId="WW8Num340z0">
    <w:name w:val="WW8Num340z0"/>
    <w:qFormat/>
    <w:rPr>
      <w:b/>
      <w:i w:val="false"/>
    </w:rPr>
  </w:style>
  <w:style w:type="character" w:styleId="WW8Num341z0">
    <w:name w:val="WW8Num341z0"/>
    <w:qFormat/>
    <w:rPr>
      <w:rFonts w:ascii="Symbol" w:hAnsi="Symbol" w:cs="Symbol"/>
    </w:rPr>
  </w:style>
  <w:style w:type="character" w:styleId="WW8Num342z0">
    <w:name w:val="WW8Num342z0"/>
    <w:qFormat/>
    <w:rPr>
      <w:rFonts w:ascii="Wingdings" w:hAnsi="Wingdings" w:cs="Wingdings"/>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style>
  <w:style w:type="character" w:styleId="WW8Num348z4">
    <w:name w:val="WW8Num348z4"/>
    <w:qFormat/>
    <w:rPr>
      <w:rFonts w:ascii="Symbol" w:hAnsi="Symbol" w:cs="Symbol"/>
    </w:rPr>
  </w:style>
  <w:style w:type="character" w:styleId="WW8Num348z5">
    <w:name w:val="WW8Num348z5"/>
    <w:qFormat/>
    <w:rPr>
      <w:rFonts w:ascii="Wingdings" w:hAnsi="Wingdings" w:cs="Wingdings"/>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Times New Roman" w:hAnsi="Times New Roman" w:cs="Times New Roman"/>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Monotype Sorts" w:hAnsi="Monotype Sorts" w:cs="Monotype Sorts"/>
    </w:rPr>
  </w:style>
  <w:style w:type="character" w:styleId="WW8Num355z0">
    <w:name w:val="WW8Num355z0"/>
    <w:qFormat/>
    <w:rPr>
      <w:rFonts w:ascii="Wingdings" w:hAnsi="Wingdings" w:cs="Wingdings"/>
    </w:rPr>
  </w:style>
  <w:style w:type="character" w:styleId="WW8Num356z0">
    <w:name w:val="WW8Num356z0"/>
    <w:qFormat/>
    <w:rPr>
      <w:b w:val="false"/>
      <w:i w:val="false"/>
    </w:rPr>
  </w:style>
  <w:style w:type="character" w:styleId="WW8Num357z0">
    <w:name w:val="WW8Num357z0"/>
    <w:qFormat/>
    <w:rPr>
      <w:rFonts w:ascii="Symbol" w:hAnsi="Symbol" w:cs="Symbol"/>
    </w:rPr>
  </w:style>
  <w:style w:type="character" w:styleId="WW8Num359z0">
    <w:name w:val="WW8Num359z0"/>
    <w:qFormat/>
    <w:rPr>
      <w:rFonts w:ascii="CG Times" w:hAnsi="CG Times" w:cs="CG Times"/>
      <w:b w:val="false"/>
      <w:i w:val="false"/>
      <w:sz w:val="18"/>
    </w:rPr>
  </w:style>
  <w:style w:type="character" w:styleId="WW8Num359z1">
    <w:name w:val="WW8Num359z1"/>
    <w:qFormat/>
    <w:rPr>
      <w:b w:val="false"/>
      <w:i w:val="false"/>
      <w:sz w:val="18"/>
    </w:rPr>
  </w:style>
  <w:style w:type="character" w:styleId="WW8Num359z3">
    <w:name w:val="WW8Num359z3"/>
    <w:qFormat/>
    <w:rPr>
      <w:b w:val="false"/>
      <w:i w:val="false"/>
      <w:sz w:val="20"/>
    </w:rPr>
  </w:style>
  <w:style w:type="character" w:styleId="WW8Num359z8">
    <w:name w:val="WW8Num359z8"/>
    <w:qFormat/>
    <w:rPr>
      <w:b/>
      <w:i w:val="false"/>
      <w:caps/>
      <w:sz w:val="22"/>
    </w:rPr>
  </w:style>
  <w:style w:type="character" w:styleId="WW8Num360z0">
    <w:name w:val="WW8Num360z0"/>
    <w:qFormat/>
    <w:rPr>
      <w:rFonts w:ascii="Symbol" w:hAnsi="Symbol" w:cs="Symbol"/>
    </w:rPr>
  </w:style>
  <w:style w:type="character" w:styleId="WW8Num361z0">
    <w:name w:val="WW8Num361z0"/>
    <w:qFormat/>
    <w:rPr>
      <w:rFonts w:ascii="Wingdings" w:hAnsi="Wingdings" w:cs="Wingdings"/>
      <w:sz w:val="16"/>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Wingdings" w:hAnsi="Wingdings" w:cs="Wingdings"/>
    </w:rPr>
  </w:style>
  <w:style w:type="character" w:styleId="WW8Num371z0">
    <w:name w:val="WW8Num371z0"/>
    <w:qFormat/>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Times New Roman" w:hAnsi="Times New Roman" w:cs="Times New Roman"/>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color w:val="auto"/>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Wingdings" w:hAnsi="Wingdings" w:cs="Wingdings"/>
      <w:sz w:val="16"/>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i w:val="false"/>
    </w:rPr>
  </w:style>
  <w:style w:type="character" w:styleId="WW8Num388z0">
    <w:name w:val="WW8Num388z0"/>
    <w:qFormat/>
    <w:rPr>
      <w:rFonts w:ascii="Symbol" w:hAnsi="Symbol" w:cs="Symbol"/>
    </w:rPr>
  </w:style>
  <w:style w:type="character" w:styleId="WW8Num390z0">
    <w:name w:val="WW8Num390z0"/>
    <w:qFormat/>
    <w:rPr>
      <w:rFonts w:ascii="Wingdings" w:hAnsi="Wingdings" w:cs="Wingdings"/>
      <w:sz w:val="16"/>
    </w:rPr>
  </w:style>
  <w:style w:type="character" w:styleId="WW8Num391z0">
    <w:name w:val="WW8Num391z0"/>
    <w:qFormat/>
    <w:rPr>
      <w:rFonts w:ascii="Symbol" w:hAnsi="Symbol" w:cs="Symbol"/>
    </w:rPr>
  </w:style>
  <w:style w:type="character" w:styleId="WW8Num392z0">
    <w:name w:val="WW8Num392z0"/>
    <w:qFormat/>
    <w:rPr>
      <w:rFonts w:ascii="Monotype Sorts" w:hAnsi="Monotype Sorts" w:cs="Monotype Sorts"/>
    </w:rPr>
  </w:style>
  <w:style w:type="character" w:styleId="WW8Num393z0">
    <w:name w:val="WW8Num393z0"/>
    <w:qFormat/>
    <w:rPr>
      <w:rFonts w:ascii="Symbol" w:hAnsi="Symbol" w:cs="Symbol"/>
    </w:rPr>
  </w:style>
  <w:style w:type="character" w:styleId="WW8Num394z0">
    <w:name w:val="WW8Num394z0"/>
    <w:qFormat/>
    <w:rPr>
      <w:rFonts w:ascii="Wingdings" w:hAnsi="Wingdings" w:cs="Wingdings"/>
      <w:sz w:val="16"/>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Times New Roman" w:hAnsi="Times New Roman" w:cs="Times New Roman"/>
    </w:rPr>
  </w:style>
  <w:style w:type="character" w:styleId="WW8Num398z0">
    <w:name w:val="WW8Num398z0"/>
    <w:qFormat/>
    <w:rPr>
      <w:rFonts w:ascii="Wingdings" w:hAnsi="Wingdings" w:cs="Wingdings"/>
      <w:sz w:val="16"/>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Wingdings" w:hAnsi="Wingdings" w:cs="Wingdings"/>
      <w:sz w:val="16"/>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Monotype Sorts" w:hAnsi="Monotype Sorts" w:cs="Monotype Sorts"/>
    </w:rPr>
  </w:style>
  <w:style w:type="character" w:styleId="WW8Num414z0">
    <w:name w:val="WW8Num414z0"/>
    <w:qFormat/>
    <w:rPr>
      <w:rFonts w:ascii="CG Times" w:hAnsi="CG Times" w:cs="CG Times"/>
      <w:b w:val="false"/>
      <w:i w:val="false"/>
      <w:sz w:val="20"/>
    </w:rPr>
  </w:style>
  <w:style w:type="character" w:styleId="WW8Num414z1">
    <w:name w:val="WW8Num414z1"/>
    <w:qFormat/>
    <w:rPr>
      <w:b w:val="false"/>
      <w:i w:val="false"/>
      <w:sz w:val="20"/>
    </w:rPr>
  </w:style>
  <w:style w:type="character" w:styleId="WW8Num414z2">
    <w:name w:val="WW8Num414z2"/>
    <w:qFormat/>
    <w:rPr>
      <w:b w:val="false"/>
      <w:i w:val="false"/>
      <w:sz w:val="18"/>
    </w:rPr>
  </w:style>
  <w:style w:type="character" w:styleId="WW8Num414z8">
    <w:name w:val="WW8Num414z8"/>
    <w:qFormat/>
    <w:rPr>
      <w:b/>
      <w:i w:val="false"/>
      <w:caps/>
      <w:sz w:val="22"/>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Times New Roman" w:hAnsi="Times New Roman" w:cs="Times New Roman"/>
    </w:rPr>
  </w:style>
  <w:style w:type="character" w:styleId="WW8Num418z0">
    <w:name w:val="WW8Num418z0"/>
    <w:qFormat/>
    <w:rPr>
      <w:rFonts w:ascii="Symbol" w:hAnsi="Symbol" w:cs="Symbol"/>
    </w:rPr>
  </w:style>
  <w:style w:type="character" w:styleId="WW8Num419z0">
    <w:name w:val="WW8Num419z0"/>
    <w:qFormat/>
    <w:rPr>
      <w:b w:val="false"/>
      <w:i w:val="false"/>
    </w:rPr>
  </w:style>
  <w:style w:type="character" w:styleId="WW8Num419z1">
    <w:name w:val="WW8Num419z1"/>
    <w:qFormat/>
    <w:rPr>
      <w:b w:val="false"/>
      <w:i w:val="false"/>
      <w:sz w:val="18"/>
    </w:rPr>
  </w:style>
  <w:style w:type="character" w:styleId="WW8Num419z3">
    <w:name w:val="WW8Num419z3"/>
    <w:qFormat/>
    <w:rPr>
      <w:b w:val="false"/>
      <w:i w:val="false"/>
      <w:sz w:val="20"/>
    </w:rPr>
  </w:style>
  <w:style w:type="character" w:styleId="WW8Num419z8">
    <w:name w:val="WW8Num419z8"/>
    <w:qFormat/>
    <w:rPr>
      <w:b/>
      <w:i w:val="false"/>
      <w:caps/>
      <w:sz w:val="22"/>
    </w:rPr>
  </w:style>
  <w:style w:type="character" w:styleId="WW8Num420z0">
    <w:name w:val="WW8Num420z0"/>
    <w:qFormat/>
    <w:rPr>
      <w:rFonts w:ascii="Times New Roman" w:hAnsi="Times New Roman" w:cs="Times New Roman"/>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Wingdings" w:hAnsi="Wingdings" w:cs="Wingdings"/>
      <w:sz w:val="16"/>
    </w:rPr>
  </w:style>
  <w:style w:type="character" w:styleId="WW8Num425z0">
    <w:name w:val="WW8Num425z0"/>
    <w:qFormat/>
    <w:rPr>
      <w:rFonts w:ascii="Times New Roman" w:hAnsi="Times New Roman" w:cs="Times New Roman"/>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Times New Roman" w:hAnsi="Times New Roman" w:cs="Times New Roman"/>
    </w:rPr>
  </w:style>
  <w:style w:type="character" w:styleId="WW8Num430z0">
    <w:name w:val="WW8Num430z0"/>
    <w:qFormat/>
    <w:rPr>
      <w:rFonts w:ascii="Wingdings" w:hAnsi="Wingdings" w:cs="Wingdings"/>
      <w:sz w:val="16"/>
    </w:rPr>
  </w:style>
  <w:style w:type="character" w:styleId="WW8Num431z0">
    <w:name w:val="WW8Num431z0"/>
    <w:qFormat/>
    <w:rPr>
      <w:rFonts w:ascii="CG Times" w:hAnsi="CG Times" w:cs="CG Times"/>
      <w:b w:val="false"/>
      <w:i w:val="false"/>
      <w:sz w:val="18"/>
    </w:rPr>
  </w:style>
  <w:style w:type="character" w:styleId="WW8Num431z1">
    <w:name w:val="WW8Num431z1"/>
    <w:qFormat/>
    <w:rPr>
      <w:b w:val="false"/>
      <w:i w:val="false"/>
      <w:sz w:val="18"/>
    </w:rPr>
  </w:style>
  <w:style w:type="character" w:styleId="WW8Num431z3">
    <w:name w:val="WW8Num431z3"/>
    <w:qFormat/>
    <w:rPr>
      <w:b w:val="false"/>
      <w:i w:val="false"/>
      <w:sz w:val="20"/>
    </w:rPr>
  </w:style>
  <w:style w:type="character" w:styleId="WW8Num431z8">
    <w:name w:val="WW8Num431z8"/>
    <w:qFormat/>
    <w:rPr>
      <w:b/>
      <w:i w:val="false"/>
      <w:caps/>
      <w:sz w:val="22"/>
    </w:rPr>
  </w:style>
  <w:style w:type="character" w:styleId="WW8Num432z0">
    <w:name w:val="WW8Num432z0"/>
    <w:qFormat/>
    <w:rPr>
      <w:rFonts w:ascii="Monotype Sorts" w:hAnsi="Monotype Sorts" w:cs="Monotype Sorts"/>
    </w:rPr>
  </w:style>
  <w:style w:type="character" w:styleId="WW8Num433z0">
    <w:name w:val="WW8Num433z0"/>
    <w:qFormat/>
    <w:rPr>
      <w:rFonts w:ascii="Symbol" w:hAnsi="Symbol" w:cs="Symbol"/>
    </w:rPr>
  </w:style>
  <w:style w:type="character" w:styleId="WW8Num434z0">
    <w:name w:val="WW8Num434z0"/>
    <w:qFormat/>
    <w:rPr>
      <w:rFonts w:ascii="Monotype Sorts" w:hAnsi="Monotype Sorts" w:cs="Monotype Sorts"/>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b w:val="false"/>
      <w:i w:val="false"/>
    </w:rPr>
  </w:style>
  <w:style w:type="character" w:styleId="WW8Num438z0">
    <w:name w:val="WW8Num438z0"/>
    <w:qFormat/>
    <w:rPr>
      <w:rFonts w:ascii="Symbol" w:hAnsi="Symbol" w:cs="Symbol"/>
    </w:rPr>
  </w:style>
  <w:style w:type="character" w:styleId="WW8Num439z0">
    <w:name w:val="WW8Num439z0"/>
    <w:qFormat/>
    <w:rPr>
      <w:rFonts w:ascii="Symbol" w:hAnsi="Symbol" w:cs="Symbol"/>
      <w:color w:val="auto"/>
    </w:rPr>
  </w:style>
  <w:style w:type="character" w:styleId="WW8Num440z0">
    <w:name w:val="WW8Num440z0"/>
    <w:qFormat/>
    <w:rPr>
      <w:rFonts w:ascii="Symbol" w:hAnsi="Symbol" w:cs="Symbol"/>
    </w:rPr>
  </w:style>
  <w:style w:type="character" w:styleId="WW8Num442z0">
    <w:name w:val="WW8Num442z0"/>
    <w:qFormat/>
    <w:rPr>
      <w:rFonts w:ascii="Symbol" w:hAnsi="Symbol" w:cs="Symbol"/>
      <w:color w:val="auto"/>
    </w:rPr>
  </w:style>
  <w:style w:type="character" w:styleId="WW8Num443z0">
    <w:name w:val="WW8Num443z0"/>
    <w:qFormat/>
    <w:rPr>
      <w:rFonts w:ascii="Symbol" w:hAnsi="Symbol" w:cs="Symbol"/>
    </w:rPr>
  </w:style>
  <w:style w:type="character" w:styleId="WW8Num444z0">
    <w:name w:val="WW8Num444z0"/>
    <w:qFormat/>
    <w:rPr>
      <w:rFonts w:ascii="Wingdings" w:hAnsi="Wingdings" w:cs="Wingdings"/>
      <w:sz w:val="16"/>
    </w:rPr>
  </w:style>
  <w:style w:type="character" w:styleId="WW8Num445z0">
    <w:name w:val="WW8Num445z0"/>
    <w:qFormat/>
    <w:rPr>
      <w:rFonts w:ascii="CG Times" w:hAnsi="CG Times" w:cs="CG Times"/>
      <w:b w:val="false"/>
      <w:i w:val="false"/>
      <w:sz w:val="18"/>
    </w:rPr>
  </w:style>
  <w:style w:type="character" w:styleId="WW8Num445z1">
    <w:name w:val="WW8Num445z1"/>
    <w:qFormat/>
    <w:rPr>
      <w:b w:val="false"/>
      <w:i w:val="false"/>
      <w:sz w:val="18"/>
    </w:rPr>
  </w:style>
  <w:style w:type="character" w:styleId="WW8Num445z3">
    <w:name w:val="WW8Num445z3"/>
    <w:qFormat/>
    <w:rPr>
      <w:b w:val="false"/>
      <w:i w:val="false"/>
      <w:sz w:val="20"/>
    </w:rPr>
  </w:style>
  <w:style w:type="character" w:styleId="WW8Num445z8">
    <w:name w:val="WW8Num445z8"/>
    <w:qFormat/>
    <w:rPr>
      <w:b/>
      <w:i w:val="false"/>
      <w:caps/>
      <w:sz w:val="22"/>
    </w:rPr>
  </w:style>
  <w:style w:type="character" w:styleId="WW8Num446z0">
    <w:name w:val="WW8Num446z0"/>
    <w:qFormat/>
    <w:rPr>
      <w:rFonts w:ascii="Symbol" w:hAnsi="Symbol" w:cs="Symbol"/>
    </w:rPr>
  </w:style>
  <w:style w:type="character" w:styleId="WW8Num447z0">
    <w:name w:val="WW8Num447z0"/>
    <w:qFormat/>
    <w:rPr/>
  </w:style>
  <w:style w:type="character" w:styleId="WW8Num448z0">
    <w:name w:val="WW8Num448z0"/>
    <w:qFormat/>
    <w:rPr>
      <w:rFonts w:ascii="Symbol" w:hAnsi="Symbol" w:cs="Symbol"/>
    </w:rPr>
  </w:style>
  <w:style w:type="character" w:styleId="WW8Num449z0">
    <w:name w:val="WW8Num449z0"/>
    <w:qFormat/>
    <w:rPr>
      <w:rFonts w:ascii="Wingdings" w:hAnsi="Wingdings" w:cs="Wingdings"/>
      <w:sz w:val="16"/>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style>
  <w:style w:type="character" w:styleId="WW8Num455z0">
    <w:name w:val="WW8Num455z0"/>
    <w:qFormat/>
    <w:rPr>
      <w:rFonts w:ascii="Times New Roman" w:hAnsi="Times New Roman" w:cs="Times New Roman"/>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Wingdings" w:hAnsi="Wingdings" w:cs="Wingdings"/>
      <w:sz w:val="16"/>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Wingdings" w:hAnsi="Wingdings" w:cs="Wingdings"/>
      <w:sz w:val="16"/>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Times New Roman" w:hAnsi="Times New Roman" w:cs="Times New Roman"/>
    </w:rPr>
  </w:style>
  <w:style w:type="character" w:styleId="WW8Num473z0">
    <w:name w:val="WW8Num473z0"/>
    <w:qFormat/>
    <w:rPr>
      <w:rFonts w:ascii="Wingdings" w:hAnsi="Wingdings" w:cs="Wingdings"/>
      <w:sz w:val="16"/>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Times New Roman" w:hAnsi="Times New Roman" w:cs="Times New Roman"/>
    </w:rPr>
  </w:style>
  <w:style w:type="character" w:styleId="WW8Num478z0">
    <w:name w:val="WW8Num478z0"/>
    <w:qFormat/>
    <w:rPr>
      <w:rFonts w:ascii="Monotype Sorts" w:hAnsi="Monotype Sorts" w:cs="Monotype Sorts"/>
    </w:rPr>
  </w:style>
  <w:style w:type="character" w:styleId="WW8Num479z0">
    <w:name w:val="WW8Num479z0"/>
    <w:qFormat/>
    <w:rPr>
      <w:rFonts w:ascii="CG Times" w:hAnsi="CG Times" w:cs="CG Times"/>
      <w:b w:val="false"/>
      <w:i w:val="false"/>
      <w:sz w:val="20"/>
    </w:rPr>
  </w:style>
  <w:style w:type="character" w:styleId="WW8Num479z1">
    <w:name w:val="WW8Num479z1"/>
    <w:qFormat/>
    <w:rPr>
      <w:b w:val="false"/>
      <w:i w:val="false"/>
      <w:sz w:val="20"/>
    </w:rPr>
  </w:style>
  <w:style w:type="character" w:styleId="WW8Num479z2">
    <w:name w:val="WW8Num479z2"/>
    <w:qFormat/>
    <w:rPr>
      <w:b w:val="false"/>
      <w:i w:val="false"/>
      <w:sz w:val="18"/>
    </w:rPr>
  </w:style>
  <w:style w:type="character" w:styleId="WW8Num479z8">
    <w:name w:val="WW8Num479z8"/>
    <w:qFormat/>
    <w:rPr>
      <w:b/>
      <w:i w:val="false"/>
      <w:caps/>
      <w:sz w:val="22"/>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Times New Roman" w:hAnsi="Times New Roman" w:cs="Times New Roman"/>
      <w:sz w:val="16"/>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Times New Roman" w:hAnsi="Times New Roman" w:cs="Times New Roman"/>
    </w:rPr>
  </w:style>
  <w:style w:type="character" w:styleId="WW8Num486z0">
    <w:name w:val="WW8Num486z0"/>
    <w:qFormat/>
    <w:rPr>
      <w:b w:val="false"/>
      <w:i w:val="false"/>
    </w:rPr>
  </w:style>
  <w:style w:type="character" w:styleId="WW8Num487z0">
    <w:name w:val="WW8Num487z0"/>
    <w:qFormat/>
    <w:rPr>
      <w:rFonts w:ascii="Monotype Sorts" w:hAnsi="Monotype Sorts" w:cs="Monotype Sorts"/>
    </w:rPr>
  </w:style>
  <w:style w:type="character" w:styleId="WW8Num489z0">
    <w:name w:val="WW8Num489z0"/>
    <w:qFormat/>
    <w:rPr>
      <w:rFonts w:ascii="Times New Roman" w:hAnsi="Times New Roman" w:cs="Times New Roman"/>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Times New Roman" w:hAnsi="Times New Roman" w:cs="Times New Roman"/>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Times New Roman" w:hAnsi="Times New Roman" w:cs="Times New Roman"/>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Times New Roman" w:hAnsi="Times New Roman" w:cs="Times New Roman"/>
    </w:rPr>
  </w:style>
  <w:style w:type="character" w:styleId="WW8Num502z0">
    <w:name w:val="WW8Num502z0"/>
    <w:qFormat/>
    <w:rPr>
      <w:rFonts w:ascii="Wingdings" w:hAnsi="Wingdings" w:cs="Wingdings"/>
      <w:sz w:val="16"/>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i w:val="false"/>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Wingdings" w:hAnsi="Wingdings" w:cs="Wingdings"/>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Times New Roman" w:hAnsi="Times New Roman" w:cs="Times New Roman"/>
    </w:rPr>
  </w:style>
  <w:style w:type="character" w:styleId="WW8Num516z0">
    <w:name w:val="WW8Num516z0"/>
    <w:qFormat/>
    <w:rPr>
      <w:rFonts w:ascii="Wingdings" w:hAnsi="Wingdings" w:cs="Wingdings"/>
      <w:sz w:val="16"/>
    </w:rPr>
  </w:style>
  <w:style w:type="character" w:styleId="WW8NumSt556z0">
    <w:name w:val="WW8NumSt556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kern w:val="2"/>
    </w:rPr>
  </w:style>
  <w:style w:type="paragraph" w:styleId="BodyText">
    <w:name w:val="Body Text"/>
    <w:basedOn w:val="Normal"/>
    <w:pPr>
      <w:tabs>
        <w:tab w:val="clear" w:pos="720"/>
        <w:tab w:val="left" w:pos="1418" w:leader="none"/>
      </w:tabs>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17" w:end="0"/>
    </w:pPr>
    <w:rPr/>
  </w:style>
  <w:style w:type="paragraph" w:styleId="BodyText3">
    <w:name w:val="Body Text 3"/>
    <w:basedOn w:val="Normal"/>
    <w:qFormat/>
    <w:pPr>
      <w:ind w:hanging="0" w:start="2160" w:end="0"/>
    </w:pPr>
    <w:rPr/>
  </w:style>
  <w:style w:type="paragraph" w:styleId="BodyText4">
    <w:name w:val="Body Text 4"/>
    <w:basedOn w:val="Normal"/>
    <w:qFormat/>
    <w:pPr>
      <w:ind w:hanging="0" w:start="2880" w:end="0"/>
    </w:pPr>
    <w:rPr/>
  </w:style>
  <w:style w:type="paragraph" w:styleId="BodyText5">
    <w:name w:val="Body Text 5"/>
    <w:basedOn w:val="Normal"/>
    <w:qFormat/>
    <w:pPr>
      <w:ind w:hanging="0" w:start="2948" w:end="0"/>
    </w:pPr>
    <w:rPr/>
  </w:style>
  <w:style w:type="paragraph" w:styleId="CommentText">
    <w:name w:val="Comment Text"/>
    <w:basedOn w:val="Normal"/>
    <w:qFormat/>
    <w:pPr>
      <w:spacing w:lineRule="auto" w:line="288" w:before="0" w:after="10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8"/>
    </w:rPr>
  </w:style>
  <w:style w:type="paragraph" w:styleId="LOGO">
    <w:name w:val="LOGO"/>
    <w:basedOn w:val="Normal"/>
    <w:next w:val="Normal"/>
    <w:qFormat/>
    <w:pPr>
      <w:spacing w:before="0" w:after="0"/>
      <w:jc w:val="center"/>
    </w:pPr>
    <w:rPr>
      <w:rFonts w:ascii="Copperplate33bc" w:hAnsi="Copperplate33bc" w:cs="Copperplate33bc"/>
      <w:caps/>
      <w:sz w:val="36"/>
    </w:rPr>
  </w:style>
  <w:style w:type="paragraph" w:styleId="COVERPAGE">
    <w:name w:val="COVERPAGE"/>
    <w:basedOn w:val="Normal"/>
    <w:qFormat/>
    <w:pPr>
      <w:spacing w:before="0" w:after="0"/>
      <w:jc w:val="start"/>
    </w:pPr>
    <w:rPr/>
  </w:style>
  <w:style w:type="paragraph" w:styleId="ListAlpha1">
    <w:name w:val="List Alpha 1"/>
    <w:basedOn w:val="Normal"/>
    <w:next w:val="BodyText"/>
    <w:qFormat/>
    <w:pPr>
      <w:numPr>
        <w:ilvl w:val="0"/>
        <w:numId w:val="34"/>
      </w:numPr>
      <w:tabs>
        <w:tab w:val="clear" w:pos="720"/>
        <w:tab w:val="left" w:pos="22" w:leader="none"/>
      </w:tabs>
    </w:pPr>
    <w:rPr/>
  </w:style>
  <w:style w:type="paragraph" w:styleId="ListAlpha2">
    <w:name w:val="List Alpha 2"/>
    <w:basedOn w:val="Normal"/>
    <w:next w:val="BodyText2"/>
    <w:qFormat/>
    <w:pPr>
      <w:numPr>
        <w:ilvl w:val="0"/>
        <w:numId w:val="34"/>
      </w:numPr>
      <w:tabs>
        <w:tab w:val="clear" w:pos="720"/>
        <w:tab w:val="left" w:pos="50" w:leader="none"/>
      </w:tabs>
    </w:pPr>
    <w:rPr/>
  </w:style>
  <w:style w:type="paragraph" w:styleId="ListAlpha3">
    <w:name w:val="List Alpha 3"/>
    <w:basedOn w:val="Normal"/>
    <w:next w:val="BodyText3"/>
    <w:qFormat/>
    <w:pPr>
      <w:numPr>
        <w:ilvl w:val="0"/>
        <w:numId w:val="34"/>
      </w:numPr>
    </w:pPr>
    <w:rPr/>
  </w:style>
  <w:style w:type="paragraph" w:styleId="ListALPHACAPS1">
    <w:name w:val="List ALPHA CAPS 1"/>
    <w:basedOn w:val="Normal"/>
    <w:next w:val="BodyText"/>
    <w:qFormat/>
    <w:pPr>
      <w:numPr>
        <w:ilvl w:val="0"/>
        <w:numId w:val="19"/>
      </w:numPr>
      <w:tabs>
        <w:tab w:val="clear" w:pos="720"/>
        <w:tab w:val="left" w:pos="22" w:leader="none"/>
      </w:tabs>
    </w:pPr>
    <w:rPr/>
  </w:style>
  <w:style w:type="paragraph" w:styleId="LISTALPHACAPS2">
    <w:name w:val="LIST ALPHA CAPS 2"/>
    <w:basedOn w:val="Normal"/>
    <w:next w:val="BodyText2"/>
    <w:qFormat/>
    <w:pPr>
      <w:numPr>
        <w:ilvl w:val="0"/>
        <w:numId w:val="19"/>
      </w:numPr>
      <w:tabs>
        <w:tab w:val="clear" w:pos="720"/>
        <w:tab w:val="left" w:pos="50" w:leader="none"/>
      </w:tabs>
    </w:pPr>
    <w:rPr/>
  </w:style>
  <w:style w:type="paragraph" w:styleId="LISTALPHACAPS3">
    <w:name w:val="LIST ALPHA CAPS 3"/>
    <w:basedOn w:val="Normal"/>
    <w:next w:val="BodyText3"/>
    <w:qFormat/>
    <w:pPr>
      <w:numPr>
        <w:ilvl w:val="0"/>
        <w:numId w:val="19"/>
      </w:numPr>
      <w:tabs>
        <w:tab w:val="clear" w:pos="720"/>
        <w:tab w:val="left" w:pos="68" w:leader="none"/>
      </w:tabs>
    </w:pPr>
    <w:rPr/>
  </w:style>
  <w:style w:type="paragraph" w:styleId="ListArabic1">
    <w:name w:val="List Arabic 1"/>
    <w:basedOn w:val="Normal"/>
    <w:next w:val="BodyText"/>
    <w:qFormat/>
    <w:pPr>
      <w:numPr>
        <w:ilvl w:val="0"/>
        <w:numId w:val="15"/>
      </w:numPr>
      <w:tabs>
        <w:tab w:val="clear" w:pos="720"/>
        <w:tab w:val="left" w:pos="22" w:leader="none"/>
      </w:tabs>
    </w:pPr>
    <w:rPr/>
  </w:style>
  <w:style w:type="paragraph" w:styleId="ListArabic2">
    <w:name w:val="List Arabic 2"/>
    <w:basedOn w:val="Normal"/>
    <w:next w:val="BodyText2"/>
    <w:qFormat/>
    <w:pPr>
      <w:numPr>
        <w:ilvl w:val="0"/>
        <w:numId w:val="15"/>
      </w:numPr>
      <w:tabs>
        <w:tab w:val="clear" w:pos="720"/>
        <w:tab w:val="left" w:pos="50" w:leader="none"/>
      </w:tabs>
    </w:pPr>
    <w:rPr/>
  </w:style>
  <w:style w:type="paragraph" w:styleId="ListArabic3">
    <w:name w:val="List Arabic 3"/>
    <w:basedOn w:val="Normal"/>
    <w:next w:val="BodyText3"/>
    <w:qFormat/>
    <w:pPr>
      <w:numPr>
        <w:ilvl w:val="0"/>
        <w:numId w:val="15"/>
      </w:numPr>
      <w:tabs>
        <w:tab w:val="clear" w:pos="720"/>
        <w:tab w:val="left" w:pos="68" w:leader="none"/>
      </w:tabs>
    </w:pPr>
    <w:rPr/>
  </w:style>
  <w:style w:type="paragraph" w:styleId="ListArabic4">
    <w:name w:val="List Arabic 4"/>
    <w:basedOn w:val="Normal"/>
    <w:next w:val="BodyText4"/>
    <w:qFormat/>
    <w:pPr>
      <w:numPr>
        <w:ilvl w:val="0"/>
        <w:numId w:val="29"/>
      </w:numPr>
      <w:tabs>
        <w:tab w:val="clear" w:pos="720"/>
        <w:tab w:val="left" w:pos="86" w:leader="none"/>
      </w:tabs>
    </w:pPr>
    <w:rPr/>
  </w:style>
  <w:style w:type="paragraph" w:styleId="ListLegal1">
    <w:name w:val="List Legal 1"/>
    <w:basedOn w:val="Normal"/>
    <w:next w:val="BodyText"/>
    <w:qFormat/>
    <w:pPr>
      <w:numPr>
        <w:ilvl w:val="0"/>
        <w:numId w:val="29"/>
      </w:numPr>
      <w:tabs>
        <w:tab w:val="clear" w:pos="720"/>
        <w:tab w:val="left" w:pos="22" w:leader="none"/>
      </w:tabs>
    </w:pPr>
    <w:rPr/>
  </w:style>
  <w:style w:type="paragraph" w:styleId="ListLegal2">
    <w:name w:val="List Legal 2"/>
    <w:basedOn w:val="Normal"/>
    <w:next w:val="BodyText"/>
    <w:qFormat/>
    <w:pPr>
      <w:numPr>
        <w:ilvl w:val="0"/>
        <w:numId w:val="29"/>
      </w:numPr>
      <w:tabs>
        <w:tab w:val="clear" w:pos="720"/>
        <w:tab w:val="left" w:pos="22" w:leader="none"/>
      </w:tabs>
    </w:pPr>
    <w:rPr/>
  </w:style>
  <w:style w:type="paragraph" w:styleId="ListLegal3">
    <w:name w:val="List Legal 3"/>
    <w:basedOn w:val="Normal"/>
    <w:next w:val="BodyText2"/>
    <w:qFormat/>
    <w:pPr>
      <w:numPr>
        <w:ilvl w:val="0"/>
        <w:numId w:val="29"/>
      </w:numPr>
      <w:tabs>
        <w:tab w:val="clear" w:pos="720"/>
        <w:tab w:val="left" w:pos="50" w:leader="none"/>
      </w:tabs>
    </w:pPr>
    <w:rPr/>
  </w:style>
  <w:style w:type="paragraph" w:styleId="ListRoman1">
    <w:name w:val="List Roman 1"/>
    <w:basedOn w:val="Normal"/>
    <w:next w:val="BodyText"/>
    <w:qFormat/>
    <w:pPr>
      <w:numPr>
        <w:ilvl w:val="0"/>
        <w:numId w:val="38"/>
      </w:numPr>
      <w:tabs>
        <w:tab w:val="clear" w:pos="720"/>
        <w:tab w:val="left" w:pos="22" w:leader="none"/>
      </w:tabs>
    </w:pPr>
    <w:rPr/>
  </w:style>
  <w:style w:type="paragraph" w:styleId="ListRoman2">
    <w:name w:val="List Roman 2"/>
    <w:basedOn w:val="Normal"/>
    <w:next w:val="BodyText2"/>
    <w:qFormat/>
    <w:pPr>
      <w:numPr>
        <w:ilvl w:val="0"/>
        <w:numId w:val="38"/>
      </w:numPr>
      <w:tabs>
        <w:tab w:val="clear" w:pos="720"/>
        <w:tab w:val="left" w:pos="50" w:leader="none"/>
      </w:tabs>
    </w:pPr>
    <w:rPr/>
  </w:style>
  <w:style w:type="paragraph" w:styleId="ListRoman3">
    <w:name w:val="List Roman 3"/>
    <w:basedOn w:val="Normal"/>
    <w:next w:val="BodyText3"/>
    <w:qFormat/>
    <w:pPr>
      <w:numPr>
        <w:ilvl w:val="0"/>
        <w:numId w:val="38"/>
      </w:numPr>
      <w:tabs>
        <w:tab w:val="clear" w:pos="720"/>
        <w:tab w:val="left" w:pos="68" w:leader="none"/>
      </w:tabs>
    </w:pPr>
    <w:rPr/>
  </w:style>
  <w:style w:type="paragraph" w:styleId="Signature">
    <w:name w:val="Signature"/>
    <w:basedOn w:val="Normal"/>
    <w:pPr>
      <w:ind w:hanging="0" w:start="4252" w:end="0"/>
    </w:pPr>
    <w:rPr/>
  </w:style>
  <w:style w:type="paragraph" w:styleId="TOC2">
    <w:name w:val="toc 2"/>
    <w:basedOn w:val="Normal"/>
    <w:next w:val="Normal"/>
    <w:pPr>
      <w:keepLines/>
      <w:spacing w:lineRule="auto" w:line="276" w:before="0" w:after="0"/>
      <w:ind w:hanging="680" w:start="1190" w:end="0"/>
      <w:jc w:val="start"/>
    </w:pPr>
    <w:rPr>
      <w:sz w:val="21"/>
    </w:rPr>
  </w:style>
  <w:style w:type="paragraph" w:styleId="TOC1">
    <w:name w:val="toc 1"/>
    <w:basedOn w:val="Normal"/>
    <w:next w:val="Normal"/>
    <w:pPr>
      <w:keepLines/>
      <w:spacing w:before="100" w:after="0"/>
      <w:ind w:hanging="510" w:start="510" w:end="0"/>
      <w:jc w:val="start"/>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40"/>
      </w:numPr>
      <w:spacing w:before="0" w:after="100"/>
    </w:pPr>
    <w:rPr/>
  </w:style>
  <w:style w:type="paragraph" w:styleId="NotesArabic">
    <w:name w:val="Notes Arabic"/>
    <w:basedOn w:val="Normal"/>
    <w:qFormat/>
    <w:pPr>
      <w:numPr>
        <w:ilvl w:val="0"/>
        <w:numId w:val="4"/>
      </w:numPr>
      <w:spacing w:before="0" w:after="100"/>
    </w:pPr>
    <w:rPr/>
  </w:style>
  <w:style w:type="paragraph" w:styleId="NotesRoman">
    <w:name w:val="Notes Roman"/>
    <w:basedOn w:val="Normal"/>
    <w:qFormat/>
    <w:pPr>
      <w:numPr>
        <w:ilvl w:val="0"/>
        <w:numId w:val="4"/>
      </w:numPr>
      <w:spacing w:before="0" w:after="100"/>
    </w:pPr>
    <w:rPr/>
  </w:style>
  <w:style w:type="paragraph" w:styleId="Salutation">
    <w:name w:val="Salutation"/>
    <w:basedOn w:val="Normal"/>
    <w:next w:val="Normal"/>
    <w:qFormat/>
    <w:pPr/>
    <w:rPr/>
  </w:style>
  <w:style w:type="paragraph" w:styleId="RightTab">
    <w:name w:val="Right Tab"/>
    <w:basedOn w:val="Normal"/>
    <w:next w:val="Normal"/>
    <w:qFormat/>
    <w:pPr>
      <w:tabs>
        <w:tab w:val="clear" w:pos="720"/>
        <w:tab w:val="right" w:pos="8505" w:leader="none"/>
      </w:tabs>
      <w:spacing w:before="0" w:after="100"/>
    </w:pPr>
    <w:rPr/>
  </w:style>
  <w:style w:type="paragraph" w:styleId="TOC3">
    <w:name w:val="toc 3"/>
    <w:basedOn w:val="Normal"/>
    <w:next w:val="Normal"/>
    <w:pPr>
      <w:keepLines/>
      <w:spacing w:lineRule="auto" w:line="312" w:before="200" w:after="0"/>
      <w:ind w:hanging="1701" w:start="1701" w:end="0"/>
    </w:pPr>
    <w:rPr>
      <w:smallCaps/>
      <w:sz w:val="21"/>
    </w:rPr>
  </w:style>
  <w:style w:type="paragraph" w:styleId="TOC4">
    <w:name w:val="toc 4"/>
    <w:basedOn w:val="Normal"/>
    <w:next w:val="Normal"/>
    <w:pPr>
      <w:keepLines/>
      <w:spacing w:before="0" w:after="0"/>
      <w:ind w:hanging="1191" w:start="1701" w:end="0"/>
    </w:pPr>
    <w:rPr/>
  </w:style>
  <w:style w:type="paragraph" w:styleId="PartHeadings">
    <w:name w:val="Part Headings"/>
    <w:basedOn w:val="Normal"/>
    <w:next w:val="Normal"/>
    <w:qFormat/>
    <w:pPr>
      <w:numPr>
        <w:ilvl w:val="0"/>
        <w:numId w:val="4"/>
      </w:numPr>
      <w:suppressAutoHyphens w:val="true"/>
      <w:spacing w:lineRule="auto" w:line="312" w:before="0" w:after="300"/>
      <w:jc w:val="center"/>
      <w:outlineLvl w:val="2"/>
    </w:pPr>
    <w:rPr>
      <w:b/>
      <w:sz w:val="21"/>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ullet">
    <w:name w:val="bullet"/>
    <w:basedOn w:val="Normal"/>
    <w:qFormat/>
    <w:pPr>
      <w:numPr>
        <w:ilvl w:val="0"/>
        <w:numId w:val="50"/>
      </w:numPr>
    </w:pPr>
    <w:rPr/>
  </w:style>
  <w:style w:type="paragraph" w:styleId="ListBullet">
    <w:name w:val="List Bullet"/>
    <w:basedOn w:val="Normal"/>
    <w:qFormat/>
    <w:pPr>
      <w:numPr>
        <w:ilvl w:val="0"/>
        <w:numId w:val="45"/>
      </w:numPr>
      <w:tabs>
        <w:tab w:val="clear" w:pos="720"/>
        <w:tab w:val="left" w:pos="1608" w:leader="none"/>
      </w:tabs>
      <w:ind w:hanging="0" w:start="1608" w:end="0"/>
    </w:pPr>
    <w:rPr/>
  </w:style>
  <w:style w:type="paragraph" w:styleId="squarebullet">
    <w:name w:val="square bullet"/>
    <w:basedOn w:val="Normal"/>
    <w:qFormat/>
    <w:pPr>
      <w:numPr>
        <w:ilvl w:val="0"/>
        <w:numId w:val="33"/>
      </w:numPr>
    </w:pPr>
    <w:rPr/>
  </w:style>
  <w:style w:type="paragraph" w:styleId="BodyTextIndent">
    <w:name w:val="Body Text Indent"/>
    <w:basedOn w:val="Normal"/>
    <w:pPr>
      <w:spacing w:before="0" w:after="240"/>
      <w:ind w:hanging="0" w:start="1440" w:end="0"/>
    </w:pPr>
    <w:rPr/>
  </w:style>
  <w:style w:type="paragraph" w:styleId="ListALPHACAPS21">
    <w:name w:val="List ALPHA CAPS 21"/>
    <w:basedOn w:val="Normal"/>
    <w:qFormat/>
    <w:pPr>
      <w:numPr>
        <w:ilvl w:val="0"/>
        <w:numId w:val="2"/>
      </w:numPr>
      <w:spacing w:before="0" w:after="240"/>
    </w:pPr>
    <w:rPr/>
  </w:style>
  <w:style w:type="paragraph" w:styleId="ListALPHACAPS31">
    <w:name w:val="List ALPHA CAPS 31"/>
    <w:basedOn w:val="Normal"/>
    <w:qFormat/>
    <w:pPr>
      <w:numPr>
        <w:ilvl w:val="0"/>
        <w:numId w:val="2"/>
      </w:numPr>
      <w:spacing w:before="0" w:after="240"/>
    </w:pPr>
    <w:rPr/>
  </w:style>
  <w:style w:type="paragraph" w:styleId="Logo1">
    <w:name w:val="Logo1"/>
    <w:basedOn w:val="Header"/>
    <w:qFormat/>
    <w:pPr>
      <w:tabs>
        <w:tab w:val="clear" w:pos="720"/>
        <w:tab w:val="center" w:pos="4253" w:leader="none"/>
        <w:tab w:val="right" w:pos="8505" w:leader="none"/>
      </w:tabs>
      <w:spacing w:lineRule="auto" w:line="288" w:before="0" w:after="240"/>
      <w:ind w:hanging="0" w:start="-1134" w:end="-1134"/>
      <w:jc w:val="center"/>
    </w:pPr>
    <w:rPr>
      <w:rFonts w:ascii="Copperplate33bc" w:hAnsi="Copperplate33bc" w:cs="Copperplate33bc"/>
      <w:sz w:val="3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1999-12-21T12:57:00Z</dcterms:created>
  <dc:creator>Karen Campbell</dc:creator>
  <dc:description/>
  <dc:language>en-CA</dc:language>
  <cp:lastModifiedBy>Buckingham</cp:lastModifiedBy>
  <cp:lastPrinted>1999-12-20T11:34:00Z</cp:lastPrinted>
  <dcterms:modified xsi:type="dcterms:W3CDTF">1999-12-21T12:57:00Z</dcterms:modified>
  <cp:revision>2</cp:revision>
  <dc:subject/>
  <dc:title>STRICTLY PRIVATE AND CONFIDENTIAL</dc:title>
</cp:coreProperties>
</file>