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Chairman Hoecker:</w:t>
      </w:r>
    </w:p>
    <w:p>
      <w:pPr>
        <w:pStyle w:val="Normal"/>
        <w:rPr>
          <w:sz w:val="24"/>
        </w:rPr>
      </w:pPr>
      <w:r>
        <w:rPr>
          <w:sz w:val="24"/>
        </w:rPr>
      </w:r>
    </w:p>
    <w:p>
      <w:pPr>
        <w:pStyle w:val="Normal"/>
        <w:rPr>
          <w:sz w:val="24"/>
        </w:rPr>
      </w:pPr>
      <w:r>
        <w:rPr>
          <w:sz w:val="24"/>
        </w:rPr>
        <w:t>We strongly urge the Commission to exercise its current authority to more fully open the interstate transmission grid in order to alleviate current price volatility and supply disruptions that harm consumers.</w:t>
      </w:r>
    </w:p>
    <w:p>
      <w:pPr>
        <w:pStyle w:val="Normal"/>
        <w:rPr>
          <w:sz w:val="24"/>
        </w:rPr>
      </w:pPr>
      <w:r>
        <w:rPr>
          <w:sz w:val="24"/>
        </w:rPr>
      </w:r>
    </w:p>
    <w:p>
      <w:pPr>
        <w:pStyle w:val="Normal"/>
        <w:rPr>
          <w:sz w:val="24"/>
        </w:rPr>
      </w:pPr>
      <w:r>
        <w:rPr>
          <w:sz w:val="24"/>
        </w:rPr>
        <w:t xml:space="preserve">For the third consecutive summer, the nation’s electricity supply market has experienced unacceptable supply disruptions and price volatility, which harm consumers.  Such disruptions, if allowed to continue, will undermine our continuing efforts to date to restructure America’s energy sector.  Moreover, recent events emanating from California demonstrate that market dysfunction cannot be confined within State borders. </w:t>
      </w:r>
    </w:p>
    <w:p>
      <w:pPr>
        <w:pStyle w:val="Normal"/>
        <w:rPr>
          <w:sz w:val="24"/>
        </w:rPr>
      </w:pPr>
      <w:r>
        <w:rPr>
          <w:sz w:val="24"/>
        </w:rPr>
        <w:tab/>
      </w:r>
    </w:p>
    <w:p>
      <w:pPr>
        <w:pStyle w:val="Normal"/>
        <w:rPr/>
      </w:pPr>
      <w:r>
        <w:rPr>
          <w:sz w:val="24"/>
        </w:rPr>
        <w:t>The 106</w:t>
      </w:r>
      <w:r>
        <w:rPr>
          <w:sz w:val="24"/>
          <w:vertAlign w:val="superscript"/>
        </w:rPr>
        <w:t>th</w:t>
      </w:r>
      <w:r>
        <w:rPr>
          <w:sz w:val="24"/>
        </w:rPr>
        <w:t xml:space="preserve"> U.S. Congress has made significant progress and reached consensus on many legislative provisions necessary to continue restructuring of the US energy sector.  It is clear that this legislation will be a top priority for enactment next Congress. In the interim, it is clear that the Commission can and must take some immediate steps within its jurisdiction in order to address transparency and open access conditions for the Nation’s interstate transmission grid – a prerequisite to market restructuring.</w:t>
      </w:r>
    </w:p>
    <w:p>
      <w:pPr>
        <w:pStyle w:val="Normal"/>
        <w:rPr>
          <w:sz w:val="24"/>
        </w:rPr>
      </w:pPr>
      <w:r>
        <w:rPr>
          <w:sz w:val="24"/>
        </w:rPr>
      </w:r>
    </w:p>
    <w:p>
      <w:pPr>
        <w:pStyle w:val="Normal"/>
        <w:rPr>
          <w:sz w:val="24"/>
        </w:rPr>
      </w:pPr>
      <w:r>
        <w:rPr>
          <w:sz w:val="24"/>
        </w:rPr>
        <w:t xml:space="preserve">Specifically, we believe that the Congressional intent of the Energy Policy Act of 1992 and the recent U.S. Court of Appeals decision on Order No. 888 affirms the FERC’s authority to implement non-discriminatory access terms and conditions to encompass all uses of the bulk power grid owned by investor owned utilities. </w:t>
      </w:r>
    </w:p>
    <w:p>
      <w:pPr>
        <w:pStyle w:val="Normal"/>
        <w:rPr>
          <w:sz w:val="24"/>
        </w:rPr>
      </w:pPr>
      <w:r>
        <w:rPr>
          <w:sz w:val="24"/>
        </w:rPr>
      </w:r>
    </w:p>
    <w:p>
      <w:pPr>
        <w:pStyle w:val="Normal"/>
        <w:rPr>
          <w:sz w:val="24"/>
        </w:rPr>
      </w:pPr>
      <w:r>
        <w:rPr>
          <w:sz w:val="24"/>
        </w:rPr>
        <w:t xml:space="preserve">Transparent rules for accessing a fully open interstate grid would facilitate the movement of power to areas where demand is highest and would promote investment in new generating capacity.  Examples would include rules to enhance coordination between grid operators that would reduce restriction of power flows between regions as well as adoption of uniform and equitable terms for interconnection of new generating facilities.  Such actions would mitigate the unacceptable supply shortages that are causing the current market instability.  We support immediate Commission action in order to help provide a solid foundation for legislation we plan to adopt in the next Congress. </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left" w:pos="720" w:leader="none"/>
        </w:tabs>
        <w:ind w:hanging="720" w:start="720" w:end="0"/>
        <w:rPr>
          <w:sz w:val="24"/>
        </w:rPr>
      </w:pPr>
      <w:r>
        <w:rPr>
          <w:sz w:val="24"/>
        </w:rPr>
        <w:t xml:space="preserve">cc: </w:t>
        <w:tab/>
        <w:t>Honorable Bill Richardson</w:t>
      </w:r>
    </w:p>
    <w:p>
      <w:pPr>
        <w:pStyle w:val="Normal"/>
        <w:rPr>
          <w:sz w:val="24"/>
        </w:rPr>
      </w:pPr>
      <w:r>
        <w:rPr>
          <w:sz w:val="24"/>
        </w:rPr>
        <w:tab/>
        <w:t>Honorable William R.  Massey</w:t>
      </w:r>
    </w:p>
    <w:p>
      <w:pPr>
        <w:pStyle w:val="Normal"/>
        <w:rPr>
          <w:sz w:val="24"/>
        </w:rPr>
      </w:pPr>
      <w:r>
        <w:rPr>
          <w:sz w:val="24"/>
        </w:rPr>
        <w:tab/>
        <w:t>Honorable Curt Hébert</w:t>
      </w:r>
    </w:p>
    <w:p>
      <w:pPr>
        <w:pStyle w:val="Normal"/>
        <w:rPr>
          <w:sz w:val="24"/>
        </w:rPr>
      </w:pPr>
      <w:r>
        <w:rPr>
          <w:sz w:val="24"/>
        </w:rPr>
        <w:tab/>
        <w:t>Honorable Linda Breathitt</w:t>
      </w:r>
    </w:p>
    <w:p>
      <w:pPr>
        <w:pStyle w:val="Normal"/>
        <w:rPr>
          <w:sz w:val="24"/>
        </w:rPr>
      </w:pPr>
      <w:r>
        <w:rPr>
          <w:sz w:val="24"/>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2000-09-28T19:23:00Z</dcterms:created>
  <dc:creator>ccooney</dc:creator>
  <dc:description/>
  <dc:language>en-CA</dc:language>
  <cp:lastModifiedBy>tbriggs</cp:lastModifiedBy>
  <cp:lastPrinted>2000-09-28T18:19:00Z</cp:lastPrinted>
  <dcterms:modified xsi:type="dcterms:W3CDTF">2000-09-28T20:58:00Z</dcterms:modified>
  <cp:revision>7</cp:revision>
  <dc:subject/>
  <dc:title>Dear Chairman Hoecker:</dc:title>
</cp:coreProperties>
</file>