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240" w:after="60"/>
        <w:ind w:hanging="0" w:start="0"/>
        <w:rPr>
          <w:lang w:val="en-GB"/>
        </w:rPr>
      </w:pPr>
      <w:r>
        <w:rPr>
          <w:lang w:val="en-GB"/>
        </w:rPr>
        <w:t>Background</w:t>
      </w:r>
    </w:p>
    <w:p>
      <w:pPr>
        <w:pStyle w:val="Normal"/>
        <w:rPr>
          <w:lang w:val="en-GB"/>
        </w:rPr>
      </w:pPr>
      <w:r>
        <w:rPr>
          <w:lang w:val="en-GB"/>
        </w:rPr>
        <w:t>Unreported losses have been discovered in the Debt Trading book related to two positions. The current estimate of losses to be taken on these positions is $4.7 million.</w:t>
      </w:r>
    </w:p>
    <w:p>
      <w:pPr>
        <w:pStyle w:val="Unlinked"/>
        <w:rPr>
          <w:lang w:val="en-GB"/>
        </w:rPr>
      </w:pPr>
      <w:r>
        <w:rPr>
          <w:lang w:val="en-GB"/>
        </w:rPr>
      </w:r>
    </w:p>
    <w:p>
      <w:pPr>
        <w:pStyle w:val="Heading1"/>
        <w:ind w:hanging="0" w:start="0"/>
        <w:rPr>
          <w:lang w:val="en-GB"/>
        </w:rPr>
      </w:pPr>
      <w:r>
        <w:rPr>
          <w:lang w:val="en-GB"/>
        </w:rPr>
        <w:t>Book Ownership</w:t>
      </w:r>
    </w:p>
    <w:p>
      <w:pPr>
        <w:pStyle w:val="Normal"/>
        <w:rPr>
          <w:lang w:val="en-GB"/>
        </w:rPr>
      </w:pPr>
      <w:r>
        <w:rPr>
          <w:lang w:val="en-GB"/>
        </w:rPr>
        <w:t>At the time of trade executions, Debt Trading (known as the Houston “credit” book) was owned by Jeff Kinneman and was part of Financial Markets Trading under Gary Hickerson.</w:t>
      </w:r>
    </w:p>
    <w:p>
      <w:pPr>
        <w:pStyle w:val="Normal"/>
        <w:rPr>
          <w:lang w:val="en-GB"/>
        </w:rPr>
      </w:pPr>
      <w:r>
        <w:rPr>
          <w:lang w:val="en-GB"/>
        </w:rPr>
        <w:t>As of July 1, Jeff Kinneman and two books owned by him (Debt Trading and Convertibles) were transferred to Credit Trading within Enron Europe.</w:t>
      </w:r>
    </w:p>
    <w:p>
      <w:pPr>
        <w:pStyle w:val="Normal"/>
        <w:rPr/>
      </w:pPr>
      <w:r>
        <w:rPr>
          <w:lang w:val="en-GB"/>
        </w:rPr>
        <w:t>As of 1</w:t>
      </w:r>
      <w:r>
        <w:rPr>
          <w:vertAlign w:val="superscript"/>
          <w:lang w:val="en-GB"/>
        </w:rPr>
        <w:t>st</w:t>
      </w:r>
      <w:r>
        <w:rPr>
          <w:lang w:val="en-GB"/>
        </w:rPr>
        <w:t> November Convertibles was transferred from Jeff Kinneman to the equity desk under Gary Hickerson within Enron Global Markets. The Convertibles book is not considered further in this memo.</w:t>
      </w:r>
    </w:p>
    <w:p>
      <w:pPr>
        <w:pStyle w:val="Unlinked"/>
        <w:rPr>
          <w:lang w:val="en-GB"/>
        </w:rPr>
      </w:pPr>
      <w:r>
        <w:rPr>
          <w:lang w:val="en-GB"/>
        </w:rPr>
      </w:r>
    </w:p>
    <w:p>
      <w:pPr>
        <w:pStyle w:val="Heading1"/>
        <w:ind w:hanging="0" w:start="0"/>
        <w:rPr>
          <w:lang w:val="en-GB"/>
        </w:rPr>
      </w:pPr>
      <w:r>
        <w:rPr>
          <w:lang w:val="en-GB"/>
        </w:rPr>
        <w:t>Triplets</w:t>
      </w:r>
    </w:p>
    <w:p>
      <w:pPr>
        <w:pStyle w:val="Heading2"/>
        <w:ind w:hanging="0" w:start="0"/>
        <w:rPr>
          <w:lang w:val="en-GB"/>
        </w:rPr>
      </w:pPr>
      <w:r>
        <w:rPr>
          <w:lang w:val="en-GB"/>
        </w:rPr>
        <w:t>Trade</w:t>
      </w:r>
    </w:p>
    <w:p>
      <w:pPr>
        <w:pStyle w:val="Normal"/>
        <w:rPr>
          <w:lang w:val="en-GB"/>
        </w:rPr>
      </w:pPr>
      <w:r>
        <w:rPr>
          <w:lang w:val="en-GB"/>
        </w:rPr>
        <w:t>Deutsche Bank created a structured credit portfolio with a total notional of $600 million, being $10 million on each of 60 credit names for 5 years.</w:t>
      </w:r>
    </w:p>
    <w:p>
      <w:pPr>
        <w:pStyle w:val="Normal"/>
        <w:rPr>
          <w:lang w:val="en-GB"/>
        </w:rPr>
      </w:pPr>
      <w:r>
        <w:rPr>
          <w:lang w:val="en-GB"/>
        </w:rPr>
        <w:t>Debt Trading wrote credit protection to Deutsche Bank on this portfolio; Enron exposure arises where the loss on the portfolio exceeds $9 million.</w:t>
      </w:r>
    </w:p>
    <w:p>
      <w:pPr>
        <w:pStyle w:val="Normal"/>
        <w:rPr>
          <w:lang w:val="en-GB"/>
        </w:rPr>
      </w:pPr>
      <w:r>
        <w:rPr>
          <w:lang w:val="en-GB"/>
        </w:rPr>
        <w:t>Our loss profile is 23.80952% of the total loss value above $9 million subject to a maximum Enron loss of $5 million.</w:t>
      </w:r>
    </w:p>
    <w:p>
      <w:pPr>
        <w:pStyle w:val="Normal"/>
        <w:rPr>
          <w:lang w:val="en-GB"/>
        </w:rPr>
      </w:pPr>
      <w:r>
        <w:rPr>
          <w:lang w:val="en-GB"/>
        </w:rPr>
        <w:t>The premium for taking on this exposure was 6.4% per annum risk-free (i.e. premium is receivable regardless of whether the protection is called, unless all 60 names default)</w:t>
      </w:r>
    </w:p>
    <w:p>
      <w:pPr>
        <w:pStyle w:val="Unlinked"/>
        <w:rPr>
          <w:lang w:val="en-GB"/>
        </w:rPr>
      </w:pPr>
      <w:r>
        <w:rPr>
          <w:lang w:val="en-GB"/>
        </w:rPr>
      </w:r>
    </w:p>
    <w:p>
      <w:pPr>
        <w:pStyle w:val="Heading2"/>
        <w:ind w:hanging="0" w:start="0"/>
        <w:rPr>
          <w:lang w:val="en-GB"/>
        </w:rPr>
      </w:pPr>
      <w:r>
        <w:rPr>
          <w:lang w:val="en-GB"/>
        </w:rPr>
        <w:t>Observations</w:t>
      </w:r>
    </w:p>
    <w:p>
      <w:pPr>
        <w:pStyle w:val="Normal"/>
        <w:rPr>
          <w:lang w:val="en-GB"/>
        </w:rPr>
      </w:pPr>
      <w:r>
        <w:rPr>
          <w:lang w:val="en-GB"/>
        </w:rPr>
        <w:t>Trade was within mandate authorised by Gary Hickerson and managed by Jeff Kinneman.</w:t>
      </w:r>
    </w:p>
    <w:p>
      <w:pPr>
        <w:pStyle w:val="Normal"/>
        <w:rPr>
          <w:lang w:val="en-GB"/>
        </w:rPr>
      </w:pPr>
      <w:r>
        <w:rPr>
          <w:lang w:val="en-GB"/>
        </w:rPr>
        <w:t>Trade did not exceed any limits.</w:t>
      </w:r>
    </w:p>
    <w:p>
      <w:pPr>
        <w:pStyle w:val="Normal"/>
        <w:rPr>
          <w:lang w:val="en-GB"/>
        </w:rPr>
      </w:pPr>
      <w:r>
        <w:rPr>
          <w:lang w:val="en-GB"/>
        </w:rPr>
        <w:t>There was not the ability to model this trade at inception, because it was on 60 names rather than a single name.</w:t>
      </w:r>
    </w:p>
    <w:p>
      <w:pPr>
        <w:pStyle w:val="Normal"/>
        <w:rPr>
          <w:lang w:val="en-GB"/>
        </w:rPr>
      </w:pPr>
      <w:r>
        <w:rPr>
          <w:lang w:val="en-GB"/>
        </w:rPr>
        <w:t>Houston Legal performed a review of the trade.</w:t>
      </w:r>
    </w:p>
    <w:p>
      <w:pPr>
        <w:pStyle w:val="Unlinked"/>
        <w:rPr>
          <w:lang w:val="en-GB"/>
        </w:rPr>
      </w:pPr>
      <w:r>
        <w:rPr>
          <w:lang w:val="en-GB"/>
        </w:rPr>
      </w:r>
    </w:p>
    <w:p>
      <w:pPr>
        <w:pStyle w:val="Heading2"/>
        <w:ind w:hanging="0" w:start="0"/>
        <w:rPr>
          <w:lang w:val="en-GB"/>
        </w:rPr>
      </w:pPr>
      <w:r>
        <w:rPr>
          <w:lang w:val="en-GB"/>
        </w:rPr>
        <w:t>Exposure</w:t>
      </w:r>
    </w:p>
    <w:p>
      <w:pPr>
        <w:pStyle w:val="Normal"/>
        <w:rPr>
          <w:lang w:val="en-GB"/>
        </w:rPr>
      </w:pPr>
      <w:r>
        <w:rPr>
          <w:lang w:val="en-GB"/>
        </w:rPr>
        <w:t>This contingent default position has been incorrectly held at par since inception.</w:t>
      </w:r>
    </w:p>
    <w:p>
      <w:pPr>
        <w:pStyle w:val="Normal"/>
        <w:rPr>
          <w:lang w:val="en-GB"/>
        </w:rPr>
      </w:pPr>
      <w:r>
        <w:rPr>
          <w:lang w:val="en-GB"/>
        </w:rPr>
        <w:t>Premium income of $166k has been recognised on an accruals basis.</w:t>
      </w:r>
    </w:p>
    <w:p>
      <w:pPr>
        <w:pStyle w:val="Normal"/>
        <w:rPr>
          <w:lang w:val="en-GB"/>
        </w:rPr>
      </w:pPr>
      <w:r>
        <w:rPr>
          <w:lang w:val="en-GB"/>
        </w:rPr>
        <w:t>The maximum loss on the position is $3.7 million ($5 million gross less NPV of $1.6 million guaranteed premium income)</w:t>
      </w:r>
    </w:p>
    <w:p>
      <w:pPr>
        <w:pStyle w:val="Unlinked"/>
        <w:rPr>
          <w:lang w:val="en-GB"/>
        </w:rPr>
      </w:pPr>
      <w:r>
        <w:rPr>
          <w:lang w:val="en-GB"/>
        </w:rPr>
      </w:r>
    </w:p>
    <w:p>
      <w:pPr>
        <w:pStyle w:val="Heading2"/>
        <w:ind w:hanging="0" w:start="0"/>
        <w:rPr>
          <w:lang w:val="en-GB"/>
        </w:rPr>
      </w:pPr>
      <w:r>
        <w:rPr>
          <w:lang w:val="en-GB"/>
        </w:rPr>
        <w:t>Control Weaknesses</w:t>
      </w:r>
    </w:p>
    <w:p>
      <w:pPr>
        <w:pStyle w:val="Normal"/>
        <w:rPr>
          <w:lang w:val="en-GB"/>
        </w:rPr>
      </w:pPr>
      <w:r>
        <w:rPr>
          <w:lang w:val="en-GB"/>
        </w:rPr>
        <w:t>Position not marked to market.</w:t>
      </w:r>
    </w:p>
    <w:p>
      <w:pPr>
        <w:pStyle w:val="Normal"/>
        <w:rPr>
          <w:lang w:val="en-GB"/>
        </w:rPr>
      </w:pPr>
      <w:r>
        <w:rPr>
          <w:lang w:val="en-GB"/>
        </w:rPr>
        <w:t>Position included incorrectly in VaR calculation.</w:t>
      </w:r>
    </w:p>
    <w:p>
      <w:pPr>
        <w:pStyle w:val="Normal"/>
        <w:rPr>
          <w:lang w:val="en-GB"/>
        </w:rPr>
      </w:pPr>
      <w:r>
        <w:rPr>
          <w:lang w:val="en-GB"/>
        </w:rPr>
        <w:t>No formal price validation memo to escalate pricing review difficulties.</w:t>
      </w:r>
    </w:p>
    <w:p>
      <w:pPr>
        <w:pStyle w:val="Unlinked"/>
        <w:rPr>
          <w:lang w:val="en-GB"/>
        </w:rPr>
      </w:pPr>
      <w:r>
        <w:rPr>
          <w:lang w:val="en-GB"/>
        </w:rPr>
      </w:r>
    </w:p>
    <w:p>
      <w:pPr>
        <w:pStyle w:val="Heading1"/>
        <w:ind w:hanging="0" w:start="0"/>
        <w:rPr>
          <w:lang w:val="en-GB"/>
        </w:rPr>
      </w:pPr>
      <w:r>
        <w:rPr>
          <w:lang w:val="en-GB"/>
        </w:rPr>
        <w:t>Telewest</w:t>
      </w:r>
    </w:p>
    <w:p>
      <w:pPr>
        <w:pStyle w:val="Heading2"/>
        <w:ind w:hanging="0" w:start="0"/>
        <w:rPr>
          <w:lang w:val="en-GB"/>
        </w:rPr>
      </w:pPr>
      <w:r>
        <w:rPr>
          <w:lang w:val="en-GB"/>
        </w:rPr>
        <w:t>Trade</w:t>
      </w:r>
    </w:p>
    <w:p>
      <w:pPr>
        <w:pStyle w:val="Normal"/>
        <w:rPr>
          <w:lang w:val="en-GB"/>
        </w:rPr>
      </w:pPr>
      <w:r>
        <w:rPr>
          <w:lang w:val="en-GB"/>
        </w:rPr>
        <w:t>DLJ created a credit-linked note for 5 years on Telewest with a total notional of $40 million.</w:t>
      </w:r>
    </w:p>
    <w:p>
      <w:pPr>
        <w:pStyle w:val="Normal"/>
        <w:rPr>
          <w:lang w:val="en-GB"/>
        </w:rPr>
      </w:pPr>
      <w:r>
        <w:rPr>
          <w:lang w:val="en-GB"/>
        </w:rPr>
        <w:t>Debt Trading sold $5 million credit protection at issuance. Enron exposure arises if Telewest defaults before March 2005 on a specified Telewest bond with a maturity date in 2010.</w:t>
      </w:r>
    </w:p>
    <w:p>
      <w:pPr>
        <w:pStyle w:val="Normal"/>
        <w:rPr>
          <w:lang w:val="en-GB"/>
        </w:rPr>
      </w:pPr>
      <w:r>
        <w:rPr>
          <w:lang w:val="en-GB"/>
        </w:rPr>
        <w:t>Our loss profile is 1w00% of $5 million (less specified bond recovery value) if Telewest defaults as defined within the prospectus.</w:t>
      </w:r>
    </w:p>
    <w:p>
      <w:pPr>
        <w:pStyle w:val="Normal"/>
        <w:rPr>
          <w:lang w:val="en-GB"/>
        </w:rPr>
      </w:pPr>
      <w:r>
        <w:rPr>
          <w:lang w:val="en-GB"/>
        </w:rPr>
        <w:t>The note pays 10.875% semi-annually. However, the premium is not receivable from the date on which Telewest defaults, if any.</w:t>
      </w:r>
    </w:p>
    <w:p>
      <w:pPr>
        <w:pStyle w:val="Heading2"/>
        <w:ind w:hanging="0" w:start="0"/>
        <w:rPr>
          <w:lang w:val="en-GB"/>
        </w:rPr>
      </w:pPr>
      <w:r>
        <w:rPr>
          <w:lang w:val="en-GB"/>
        </w:rPr>
        <w:t>Observations</w:t>
      </w:r>
    </w:p>
    <w:p>
      <w:pPr>
        <w:pStyle w:val="Normal"/>
        <w:rPr>
          <w:lang w:val="en-GB"/>
        </w:rPr>
      </w:pPr>
      <w:r>
        <w:rPr>
          <w:lang w:val="en-GB"/>
        </w:rPr>
        <w:t>Trade was within mandate authorised by Gary Hickerson and managed by Jeff Kinneman.</w:t>
      </w:r>
    </w:p>
    <w:p>
      <w:pPr>
        <w:pStyle w:val="Normal"/>
        <w:rPr>
          <w:lang w:val="en-GB"/>
        </w:rPr>
      </w:pPr>
      <w:r>
        <w:rPr>
          <w:lang w:val="en-GB"/>
        </w:rPr>
        <w:t>Trade did not exceed any limits.</w:t>
      </w:r>
    </w:p>
    <w:p>
      <w:pPr>
        <w:pStyle w:val="Normal"/>
        <w:rPr>
          <w:lang w:val="en-GB"/>
        </w:rPr>
      </w:pPr>
      <w:r>
        <w:rPr>
          <w:lang w:val="en-GB"/>
        </w:rPr>
        <w:t>Position was marked at par by the trader, despite material adverse movements in the spread of the credit name, which occurred in mid-October.</w:t>
      </w:r>
    </w:p>
    <w:p>
      <w:pPr>
        <w:pStyle w:val="Normal"/>
        <w:rPr>
          <w:lang w:val="en-GB"/>
        </w:rPr>
      </w:pPr>
      <w:r>
        <w:rPr>
          <w:lang w:val="en-GB"/>
        </w:rPr>
        <w:t>Price verification carried out by risk management used a price obtained from the prime broker, which appears on their daily statement, but which was incorrect.</w:t>
      </w:r>
    </w:p>
    <w:p>
      <w:pPr>
        <w:pStyle w:val="Unlinked"/>
        <w:rPr>
          <w:lang w:val="en-GB"/>
        </w:rPr>
      </w:pPr>
      <w:r>
        <w:rPr>
          <w:lang w:val="en-GB"/>
        </w:rPr>
      </w:r>
    </w:p>
    <w:p>
      <w:pPr>
        <w:pStyle w:val="Heading2"/>
        <w:ind w:hanging="0" w:start="0"/>
        <w:rPr>
          <w:lang w:val="en-GB"/>
        </w:rPr>
      </w:pPr>
      <w:r>
        <w:rPr>
          <w:lang w:val="en-GB"/>
        </w:rPr>
        <w:t>Exposure</w:t>
      </w:r>
    </w:p>
    <w:p>
      <w:pPr>
        <w:pStyle w:val="Normal"/>
        <w:rPr>
          <w:lang w:val="en-GB"/>
        </w:rPr>
      </w:pPr>
      <w:r>
        <w:rPr>
          <w:lang w:val="en-GB"/>
        </w:rPr>
        <w:t>Position has been held at par since inception.</w:t>
      </w:r>
    </w:p>
    <w:p>
      <w:pPr>
        <w:pStyle w:val="Normal"/>
        <w:rPr>
          <w:lang w:val="en-GB"/>
        </w:rPr>
      </w:pPr>
      <w:r>
        <w:rPr>
          <w:lang w:val="en-GB"/>
        </w:rPr>
        <w:t>Premium income of $385k has been recognised on an accruals basis.</w:t>
      </w:r>
    </w:p>
    <w:p>
      <w:pPr>
        <w:pStyle w:val="Normal"/>
        <w:rPr>
          <w:lang w:val="en-GB"/>
        </w:rPr>
      </w:pPr>
      <w:r>
        <w:rPr>
          <w:lang w:val="en-GB"/>
        </w:rPr>
        <w:t>The maximum contingent loss on the position is $5 million.</w:t>
      </w:r>
    </w:p>
    <w:p>
      <w:pPr>
        <w:pStyle w:val="Normal"/>
        <w:rPr>
          <w:lang w:val="en-GB"/>
        </w:rPr>
      </w:pPr>
      <w:r>
        <w:rPr>
          <w:lang w:val="en-GB"/>
        </w:rPr>
        <w:t>Using a credit spread valuation showing a spread movement since inception of 400 bps the loss to take to P&amp;L is $0.9 million.</w:t>
      </w:r>
    </w:p>
    <w:p>
      <w:pPr>
        <w:pStyle w:val="Unlinked"/>
        <w:rPr>
          <w:lang w:val="en-GB"/>
        </w:rPr>
      </w:pPr>
      <w:r>
        <w:rPr>
          <w:lang w:val="en-GB"/>
        </w:rPr>
      </w:r>
    </w:p>
    <w:p>
      <w:pPr>
        <w:pStyle w:val="Heading2"/>
        <w:ind w:hanging="0" w:start="0"/>
        <w:rPr>
          <w:lang w:val="en-GB"/>
        </w:rPr>
      </w:pPr>
      <w:r>
        <w:rPr>
          <w:lang w:val="en-GB"/>
        </w:rPr>
        <w:t>Control Weaknesses</w:t>
      </w:r>
    </w:p>
    <w:p>
      <w:pPr>
        <w:pStyle w:val="Normal"/>
        <w:rPr>
          <w:lang w:val="en-GB"/>
        </w:rPr>
      </w:pPr>
      <w:r>
        <w:rPr>
          <w:lang w:val="en-GB"/>
        </w:rPr>
        <w:t>Position not priced appropriately by trader.</w:t>
      </w:r>
    </w:p>
    <w:p>
      <w:pPr>
        <w:pStyle w:val="Normal"/>
        <w:rPr>
          <w:lang w:val="en-GB"/>
        </w:rPr>
      </w:pPr>
      <w:r>
        <w:rPr>
          <w:lang w:val="en-GB"/>
        </w:rPr>
        <w:t>Broker quotes not reviewed for consistency with knowledge of credit spreads in the market by Risk Management.</w:t>
      </w:r>
    </w:p>
    <w:p>
      <w:pPr>
        <w:pStyle w:val="Unlinked"/>
        <w:rPr>
          <w:lang w:val="en-GB"/>
        </w:rPr>
      </w:pPr>
      <w:r>
        <w:rPr>
          <w:lang w:val="en-GB"/>
        </w:rPr>
      </w:r>
    </w:p>
    <w:p>
      <w:pPr>
        <w:pStyle w:val="Heading1"/>
        <w:ind w:hanging="0" w:start="0"/>
        <w:rPr>
          <w:lang w:val="en-GB"/>
        </w:rPr>
      </w:pPr>
      <w:r>
        <w:rPr>
          <w:lang w:val="en-GB"/>
        </w:rPr>
        <w:t>Steps</w:t>
      </w:r>
    </w:p>
    <w:tbl>
      <w:tblPr>
        <w:tblW w:w="101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494"/>
        <w:gridCol w:w="1462"/>
        <w:gridCol w:w="1616"/>
        <w:gridCol w:w="1616"/>
      </w:tblGrid>
      <w:tr>
        <w:trPr/>
        <w:tc>
          <w:tcPr>
            <w:tcW w:w="54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lang w:val="en-GB"/>
              </w:rPr>
            </w:pPr>
            <w:r>
              <w:rPr>
                <w:lang w:val="en-GB"/>
              </w:rPr>
              <w:t>Relieve trader (Madhur Dayal) of responsibilities.</w:t>
            </w:r>
          </w:p>
        </w:tc>
        <w:tc>
          <w:tcPr>
            <w:tcW w:w="14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lang w:val="en-GB"/>
              </w:rPr>
            </w:pPr>
            <w:r>
              <w:rPr>
                <w:lang w:val="en-GB"/>
              </w:rPr>
              <w:t>Jeff Kinneman</w:t>
            </w:r>
          </w:p>
        </w:tc>
        <w:tc>
          <w:tcPr>
            <w:tcW w:w="1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lang w:val="en-GB"/>
              </w:rPr>
              <w:t>November 15</w:t>
            </w:r>
            <w:r>
              <w:rPr>
                <w:vertAlign w:val="superscript"/>
                <w:lang w:val="en-GB"/>
              </w:rPr>
              <w:t>th</w:t>
            </w:r>
            <w:r>
              <w:rPr>
                <w:lang w:val="en-GB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lang w:val="en-GB"/>
              </w:rPr>
            </w:pPr>
            <w:r>
              <w:rPr>
                <w:lang w:val="en-GB"/>
              </w:rPr>
              <w:t>Complete</w:t>
            </w:r>
          </w:p>
        </w:tc>
      </w:tr>
      <w:tr>
        <w:trPr/>
        <w:tc>
          <w:tcPr>
            <w:tcW w:w="54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lang w:val="en-GB"/>
              </w:rPr>
            </w:pPr>
            <w:r>
              <w:rPr>
                <w:lang w:val="en-GB"/>
              </w:rPr>
              <w:t>Mark Triplets position using the trading desk model for portfolio trades.</w:t>
            </w:r>
          </w:p>
        </w:tc>
        <w:tc>
          <w:tcPr>
            <w:tcW w:w="14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lang w:val="en-GB"/>
              </w:rPr>
            </w:pPr>
            <w:r>
              <w:rPr>
                <w:lang w:val="en-GB"/>
              </w:rPr>
              <w:t>Markus Fiala</w:t>
            </w:r>
          </w:p>
        </w:tc>
        <w:tc>
          <w:tcPr>
            <w:tcW w:w="1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lang w:val="en-GB"/>
              </w:rPr>
              <w:t>November 15</w:t>
            </w:r>
            <w:r>
              <w:rPr>
                <w:vertAlign w:val="superscript"/>
                <w:lang w:val="en-GB"/>
              </w:rPr>
              <w:t>th</w:t>
            </w:r>
            <w:r>
              <w:rPr>
                <w:lang w:val="en-GB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lang w:val="en-GB"/>
              </w:rPr>
            </w:pPr>
            <w:r>
              <w:rPr>
                <w:lang w:val="en-GB"/>
              </w:rPr>
              <w:t>Complete</w:t>
            </w:r>
          </w:p>
        </w:tc>
      </w:tr>
      <w:tr>
        <w:trPr/>
        <w:tc>
          <w:tcPr>
            <w:tcW w:w="54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lang w:val="en-GB"/>
              </w:rPr>
            </w:pPr>
            <w:r>
              <w:rPr>
                <w:lang w:val="en-GB"/>
              </w:rPr>
              <w:t>Review Triplets valuation.</w:t>
            </w:r>
          </w:p>
        </w:tc>
        <w:tc>
          <w:tcPr>
            <w:tcW w:w="14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lang w:val="en-GB"/>
              </w:rPr>
            </w:pPr>
            <w:r>
              <w:rPr>
                <w:lang w:val="en-GB"/>
              </w:rPr>
              <w:t>David Wall</w:t>
            </w:r>
          </w:p>
        </w:tc>
        <w:tc>
          <w:tcPr>
            <w:tcW w:w="1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lang w:val="en-GB"/>
              </w:rPr>
              <w:t>November 15</w:t>
            </w:r>
            <w:r>
              <w:rPr>
                <w:vertAlign w:val="superscript"/>
                <w:lang w:val="en-GB"/>
              </w:rPr>
              <w:t>th</w:t>
            </w:r>
            <w:r>
              <w:rPr>
                <w:lang w:val="en-GB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lang w:val="en-GB"/>
              </w:rPr>
            </w:pPr>
            <w:r>
              <w:rPr>
                <w:lang w:val="en-GB"/>
              </w:rPr>
              <w:t>Complete</w:t>
            </w:r>
          </w:p>
        </w:tc>
      </w:tr>
      <w:tr>
        <w:trPr/>
        <w:tc>
          <w:tcPr>
            <w:tcW w:w="54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lang w:val="en-GB"/>
              </w:rPr>
            </w:pPr>
            <w:r>
              <w:rPr>
                <w:lang w:val="en-GB"/>
              </w:rPr>
              <w:t>Review all confirmations for positions in Houston “credit” book</w:t>
            </w:r>
          </w:p>
        </w:tc>
        <w:tc>
          <w:tcPr>
            <w:tcW w:w="14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lang w:val="en-GB"/>
              </w:rPr>
            </w:pPr>
            <w:r>
              <w:rPr>
                <w:lang w:val="en-GB"/>
              </w:rPr>
              <w:t>Denis O’Connell</w:t>
            </w:r>
          </w:p>
        </w:tc>
        <w:tc>
          <w:tcPr>
            <w:tcW w:w="1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lang w:val="en-GB"/>
              </w:rPr>
              <w:t>November 17</w:t>
            </w:r>
            <w:r>
              <w:rPr>
                <w:vertAlign w:val="superscript"/>
                <w:lang w:val="en-GB"/>
              </w:rPr>
              <w:t>th</w:t>
            </w:r>
            <w:r>
              <w:rPr>
                <w:lang w:val="en-GB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lang w:val="en-GB"/>
              </w:rPr>
            </w:pPr>
            <w:r>
              <w:rPr>
                <w:lang w:val="en-GB"/>
              </w:rPr>
              <w:t>Complete</w:t>
            </w:r>
          </w:p>
        </w:tc>
      </w:tr>
      <w:tr>
        <w:trPr/>
        <w:tc>
          <w:tcPr>
            <w:tcW w:w="54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lang w:val="en-GB"/>
              </w:rPr>
            </w:pPr>
            <w:r>
              <w:rPr>
                <w:lang w:val="en-GB"/>
              </w:rPr>
              <w:t>Review formal curve-review memo for Houston “credit” book as of current date.</w:t>
            </w:r>
          </w:p>
        </w:tc>
        <w:tc>
          <w:tcPr>
            <w:tcW w:w="14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lang w:val="en-GB"/>
              </w:rPr>
            </w:pPr>
            <w:r>
              <w:rPr>
                <w:lang w:val="en-GB"/>
              </w:rPr>
              <w:t>David Wall</w:t>
            </w:r>
          </w:p>
        </w:tc>
        <w:tc>
          <w:tcPr>
            <w:tcW w:w="1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lang w:val="en-GB"/>
              </w:rPr>
              <w:t>November 20</w:t>
            </w:r>
            <w:r>
              <w:rPr>
                <w:vertAlign w:val="superscript"/>
                <w:lang w:val="en-GB"/>
              </w:rPr>
              <w:t>th</w:t>
            </w:r>
            <w:r>
              <w:rPr>
                <w:lang w:val="en-GB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lang w:val="en-GB"/>
              </w:rPr>
            </w:pPr>
            <w:r>
              <w:rPr>
                <w:lang w:val="en-GB"/>
              </w:rPr>
              <w:t>Complete</w:t>
            </w:r>
          </w:p>
        </w:tc>
      </w:tr>
      <w:tr>
        <w:trPr/>
        <w:tc>
          <w:tcPr>
            <w:tcW w:w="54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lang w:val="en-GB"/>
              </w:rPr>
            </w:pPr>
            <w:r>
              <w:rPr>
                <w:lang w:val="en-GB"/>
              </w:rPr>
              <w:t>Take hit to daily P&amp;L</w:t>
            </w:r>
          </w:p>
        </w:tc>
        <w:tc>
          <w:tcPr>
            <w:tcW w:w="14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lang w:val="en-GB"/>
              </w:rPr>
            </w:pPr>
            <w:r>
              <w:rPr>
                <w:lang w:val="en-GB"/>
              </w:rPr>
              <w:t>David Wall</w:t>
            </w:r>
          </w:p>
        </w:tc>
        <w:tc>
          <w:tcPr>
            <w:tcW w:w="1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lang w:val="en-GB"/>
              </w:rPr>
            </w:pPr>
            <w:r>
              <w:rPr>
                <w:lang w:val="en-GB"/>
              </w:rPr>
              <w:t>November 21</w:t>
            </w:r>
            <w:r>
              <w:rPr>
                <w:vertAlign w:val="superscript"/>
                <w:lang w:val="en-GB"/>
              </w:rPr>
              <w:t>st</w:t>
            </w:r>
          </w:p>
        </w:tc>
        <w:tc>
          <w:tcPr>
            <w:tcW w:w="1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lang w:val="en-GB"/>
              </w:rPr>
            </w:pPr>
            <w:r>
              <w:rPr>
                <w:lang w:val="en-GB"/>
              </w:rPr>
              <w:t>Complete</w:t>
            </w:r>
          </w:p>
        </w:tc>
      </w:tr>
      <w:tr>
        <w:trPr/>
        <w:tc>
          <w:tcPr>
            <w:tcW w:w="54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lang w:val="en-GB"/>
              </w:rPr>
            </w:pPr>
            <w:r>
              <w:rPr>
                <w:lang w:val="en-GB"/>
              </w:rPr>
              <w:t>Review all other positions in Houston “credit” book.</w:t>
            </w:r>
          </w:p>
        </w:tc>
        <w:tc>
          <w:tcPr>
            <w:tcW w:w="14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lang w:val="en-GB"/>
              </w:rPr>
            </w:pPr>
            <w:r>
              <w:rPr>
                <w:lang w:val="en-GB"/>
              </w:rPr>
              <w:t>David Wall</w:t>
            </w:r>
          </w:p>
        </w:tc>
        <w:tc>
          <w:tcPr>
            <w:tcW w:w="1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lang w:val="en-GB"/>
              </w:rPr>
              <w:t>November 24</w:t>
            </w:r>
            <w:r>
              <w:rPr>
                <w:vertAlign w:val="superscript"/>
                <w:lang w:val="en-GB"/>
              </w:rPr>
              <w:t>th</w:t>
            </w:r>
            <w:r>
              <w:rPr>
                <w:lang w:val="en-GB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lang w:val="en-GB"/>
              </w:rPr>
            </w:pPr>
            <w:r>
              <w:rPr>
                <w:lang w:val="en-GB"/>
              </w:rPr>
              <w:t>On-going</w:t>
            </w:r>
          </w:p>
        </w:tc>
      </w:tr>
      <w:tr>
        <w:trPr/>
        <w:tc>
          <w:tcPr>
            <w:tcW w:w="54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lang w:val="en-GB"/>
              </w:rPr>
            </w:pPr>
            <w:r>
              <w:rPr>
                <w:lang w:val="en-GB"/>
              </w:rPr>
              <w:t>Determine and circulate Roles and Responsibilities for each department.</w:t>
            </w:r>
          </w:p>
        </w:tc>
        <w:tc>
          <w:tcPr>
            <w:tcW w:w="14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lang w:val="en-GB"/>
              </w:rPr>
            </w:pPr>
            <w:r>
              <w:rPr>
                <w:lang w:val="en-GB"/>
              </w:rPr>
              <w:t>Richard Sage</w:t>
            </w:r>
          </w:p>
        </w:tc>
        <w:tc>
          <w:tcPr>
            <w:tcW w:w="1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lang w:val="en-GB"/>
              </w:rPr>
            </w:pPr>
            <w:r>
              <w:rPr>
                <w:lang w:val="en-GB"/>
              </w:rPr>
              <w:t>December 1</w:t>
            </w:r>
            <w:r>
              <w:rPr>
                <w:vertAlign w:val="superscript"/>
                <w:lang w:val="en-GB"/>
              </w:rPr>
              <w:t>st</w:t>
            </w:r>
          </w:p>
        </w:tc>
        <w:tc>
          <w:tcPr>
            <w:tcW w:w="1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lang w:val="en-GB"/>
              </w:rPr>
            </w:pPr>
            <w:r>
              <w:rPr>
                <w:lang w:val="en-GB"/>
              </w:rPr>
              <w:t>On-going</w:t>
            </w:r>
          </w:p>
        </w:tc>
      </w:tr>
      <w:tr>
        <w:trPr/>
        <w:tc>
          <w:tcPr>
            <w:tcW w:w="54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lang w:val="en-GB"/>
              </w:rPr>
            </w:pPr>
            <w:r>
              <w:rPr>
                <w:lang w:val="en-GB"/>
              </w:rPr>
              <w:t>Determine future control model for Global Credit business</w:t>
            </w:r>
          </w:p>
        </w:tc>
        <w:tc>
          <w:tcPr>
            <w:tcW w:w="14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lang w:val="en-GB"/>
              </w:rPr>
            </w:pPr>
            <w:r>
              <w:rPr>
                <w:lang w:val="en-GB"/>
              </w:rPr>
              <w:t>Mike Jordan /Sheila Glover</w:t>
            </w:r>
          </w:p>
        </w:tc>
        <w:tc>
          <w:tcPr>
            <w:tcW w:w="1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lang w:val="en-GB"/>
              </w:rPr>
            </w:pPr>
            <w:r>
              <w:rPr>
                <w:lang w:val="en-GB"/>
              </w:rPr>
              <w:t>December 1</w:t>
            </w:r>
            <w:r>
              <w:rPr>
                <w:vertAlign w:val="superscript"/>
                <w:lang w:val="en-GB"/>
              </w:rPr>
              <w:t>st</w:t>
            </w:r>
          </w:p>
        </w:tc>
        <w:tc>
          <w:tcPr>
            <w:tcW w:w="1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lang w:val="en-GB"/>
              </w:rPr>
            </w:pPr>
            <w:r>
              <w:rPr>
                <w:lang w:val="en-GB"/>
              </w:rPr>
              <w:t>On-going</w:t>
            </w:r>
          </w:p>
        </w:tc>
      </w:tr>
    </w:tbl>
    <w:p>
      <w:pPr>
        <w:pStyle w:val="Normal"/>
        <w:rPr>
          <w:lang w:val="en-GB"/>
        </w:rPr>
      </w:pPr>
      <w:r>
        <w:rPr>
          <w:lang w:val="en-GB"/>
        </w:rPr>
      </w:r>
    </w:p>
    <w:sectPr>
      <w:headerReference w:type="default" r:id="rId2"/>
      <w:footerReference w:type="default" r:id="rId3"/>
      <w:type w:val="nextPage"/>
      <w:pgSz w:w="12240" w:h="15840"/>
      <w:pgMar w:left="1134" w:right="1134" w:gutter="0" w:header="720" w:top="776" w:footer="567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fldChar w:fldCharType="begin"/>
    </w:r>
    <w:r>
      <w:rPr/>
      <w:instrText xml:space="preserve"> FILENAME \p </w:instrText>
    </w:r>
    <w:r>
      <w:rPr/>
      <w:fldChar w:fldCharType="separate"/>
    </w:r>
    <w:r>
      <w:rPr/>
      <w:t>/mnt/main-storage/datasets/enron-docs/doc/History_Issued_bs.doc</w:t>
    </w:r>
    <w:r>
      <w:rPr/>
      <w:fldChar w:fldCharType="end"/>
    </w:r>
  </w:p>
  <w:p>
    <w:pPr>
      <w:pStyle w:val="Footer"/>
      <w:rPr/>
    </w:pPr>
    <w:r>
      <w:rPr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ab/>
      <w:tab/>
      <w:tab/>
    </w:r>
    <w:r>
      <w:rPr>
        <w:rStyle w:val="PageNumber"/>
      </w:rPr>
      <w:fldChar w:fldCharType="begin"/>
    </w:r>
    <w:r>
      <w:rPr>
        <w:rStyle w:val="PageNumber"/>
      </w:rPr>
      <w:instrText xml:space="preserve"> SAVEDATE \@"yyyy\-MM\-dd\ HH:mm" </w:instrText>
    </w:r>
    <w:r>
      <w:rPr>
        <w:rStyle w:val="PageNumber"/>
      </w:rPr>
      <w:fldChar w:fldCharType="separate"/>
    </w:r>
    <w:r>
      <w:rPr>
        <w:rStyle w:val="PageNumber"/>
      </w:rPr>
      <w:t>2000-11-22 17:04</w:t>
    </w:r>
    <w:r>
      <w:rPr>
        <w:rStyle w:val="PageNumber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CCHead"/>
      <w:jc w:val="center"/>
      <w:rPr>
        <w:color w:val="000000"/>
      </w:rPr>
    </w:pPr>
    <w:r>
      <w:rPr>
        <w:color w:val="000000"/>
      </w:rPr>
      <w:t xml:space="preserve"> </w:t>
    </w:r>
    <w:r>
      <w:rPr>
        <w:color w:val="000000"/>
      </w:rPr>
      <w:t>Debt Trading Book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)"/>
      <w:lvlJc w:val="start"/>
      <w:pPr>
        <w:tabs>
          <w:tab w:val="num" w:pos="870"/>
        </w:tabs>
        <w:ind w:start="870" w:hanging="87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keepNext w:val="true"/>
      <w:widowControl/>
      <w:tabs>
        <w:tab w:val="clear" w:pos="720"/>
        <w:tab w:val="left" w:pos="144" w:leader="none"/>
        <w:tab w:val="left" w:pos="432" w:leader="none"/>
        <w:tab w:val="left" w:pos="576" w:leader="none"/>
        <w:tab w:val="left" w:pos="709" w:leader="none"/>
        <w:tab w:val="decimal" w:pos="2448" w:leader="none"/>
        <w:tab w:val="decimal" w:pos="2592" w:leader="none"/>
        <w:tab w:val="left" w:pos="3600" w:leader="none"/>
        <w:tab w:val="left" w:pos="3744" w:leader="none"/>
      </w:tabs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>
      <w:rFonts w:ascii="Times New Roman" w:hAnsi="Times New Roman" w:eastAsia="Times New Roman" w:cs="Times New Roman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144"/>
        <w:tab w:val="clear" w:pos="432"/>
        <w:tab w:val="clear" w:pos="576"/>
        <w:tab w:val="clear" w:pos="709"/>
        <w:tab w:val="clear" w:pos="2448"/>
        <w:tab w:val="clear" w:pos="2592"/>
        <w:tab w:val="clear" w:pos="3600"/>
        <w:tab w:val="clear" w:pos="3744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144"/>
        <w:tab w:val="clear" w:pos="432"/>
        <w:tab w:val="clear" w:pos="576"/>
        <w:tab w:val="clear" w:pos="709"/>
        <w:tab w:val="clear" w:pos="2448"/>
        <w:tab w:val="clear" w:pos="2592"/>
        <w:tab w:val="clear" w:pos="3600"/>
        <w:tab w:val="clear" w:pos="3744"/>
        <w:tab w:val="center" w:pos="4961" w:leader="none"/>
        <w:tab w:val="left" w:pos="9923" w:leader="none"/>
      </w:tabs>
    </w:pPr>
    <w:rPr/>
  </w:style>
  <w:style w:type="paragraph" w:styleId="Titling">
    <w:name w:val="Titling"/>
    <w:basedOn w:val="Normal"/>
    <w:qFormat/>
    <w:pPr/>
    <w:rPr>
      <w:b/>
      <w:u w:val="single"/>
    </w:rPr>
  </w:style>
  <w:style w:type="paragraph" w:styleId="Continental">
    <w:name w:val="Continental"/>
    <w:basedOn w:val="Normal"/>
    <w:qFormat/>
    <w:pPr>
      <w:tabs>
        <w:tab w:val="clear" w:pos="144"/>
        <w:tab w:val="clear" w:pos="432"/>
        <w:tab w:val="clear" w:pos="576"/>
        <w:tab w:val="clear" w:pos="2448"/>
        <w:tab w:val="clear" w:pos="2592"/>
        <w:tab w:val="clear" w:pos="3600"/>
        <w:tab w:val="clear" w:pos="3744"/>
        <w:tab w:val="decimal" w:pos="567" w:leader="none"/>
        <w:tab w:val="left" w:pos="709" w:leader="none"/>
        <w:tab w:val="left" w:pos="864" w:leader="none"/>
        <w:tab w:val="left" w:pos="2268" w:leader="none"/>
        <w:tab w:val="left" w:pos="3456" w:leader="none"/>
        <w:tab w:val="left" w:pos="4320" w:leader="none"/>
        <w:tab w:val="left" w:pos="5760" w:leader="none"/>
        <w:tab w:val="left" w:pos="7200" w:leader="none"/>
      </w:tabs>
    </w:pPr>
    <w:rPr/>
  </w:style>
  <w:style w:type="paragraph" w:styleId="Tradtional">
    <w:name w:val="Tradtional"/>
    <w:basedOn w:val="Normal"/>
    <w:qFormat/>
    <w:pPr>
      <w:tabs>
        <w:tab w:val="clear" w:pos="2592"/>
        <w:tab w:val="left" w:pos="144" w:leader="none"/>
        <w:tab w:val="left" w:pos="432" w:leader="none"/>
        <w:tab w:val="left" w:pos="576" w:leader="none"/>
        <w:tab w:val="left" w:pos="709" w:leader="none"/>
        <w:tab w:val="decimal" w:pos="2448" w:leader="none"/>
        <w:tab w:val="decimal" w:pos="2835" w:leader="none"/>
        <w:tab w:val="left" w:pos="3600" w:leader="none"/>
        <w:tab w:val="left" w:pos="3744" w:leader="none"/>
      </w:tabs>
    </w:pPr>
    <w:rPr/>
  </w:style>
  <w:style w:type="paragraph" w:styleId="Footer">
    <w:name w:val="footer"/>
    <w:basedOn w:val="Normal"/>
    <w:pPr>
      <w:tabs>
        <w:tab w:val="clear" w:pos="144"/>
        <w:tab w:val="clear" w:pos="432"/>
        <w:tab w:val="clear" w:pos="576"/>
        <w:tab w:val="clear" w:pos="2448"/>
        <w:tab w:val="clear" w:pos="2592"/>
        <w:tab w:val="clear" w:pos="3600"/>
        <w:tab w:val="clear" w:pos="3744"/>
        <w:tab w:val="left" w:pos="709" w:leader="none"/>
        <w:tab w:val="center" w:pos="4961" w:leader="none"/>
        <w:tab w:val="right" w:pos="9923" w:leader="none"/>
      </w:tabs>
    </w:pPr>
    <w:rPr/>
  </w:style>
  <w:style w:type="paragraph" w:styleId="Table1">
    <w:name w:val="Table1"/>
    <w:basedOn w:val="Normal"/>
    <w:qFormat/>
    <w:pPr>
      <w:keepLines/>
      <w:tabs>
        <w:tab w:val="clear" w:pos="144"/>
        <w:tab w:val="clear" w:pos="432"/>
        <w:tab w:val="clear" w:pos="576"/>
        <w:tab w:val="clear" w:pos="709"/>
        <w:tab w:val="clear" w:pos="2448"/>
        <w:tab w:val="clear" w:pos="2592"/>
        <w:tab w:val="clear" w:pos="3600"/>
        <w:tab w:val="clear" w:pos="3744"/>
        <w:tab w:val="decimal" w:pos="3402" w:leader="none"/>
        <w:tab w:val="decimal" w:pos="4253" w:leader="none"/>
        <w:tab w:val="decimal" w:pos="5670" w:leader="none"/>
        <w:tab w:val="decimal" w:pos="6804" w:leader="none"/>
        <w:tab w:val="decimal" w:pos="7938" w:leader="none"/>
        <w:tab w:val="decimal" w:pos="9072" w:leader="none"/>
      </w:tabs>
    </w:pPr>
    <w:rPr>
      <w:lang w:val="en-GB"/>
    </w:rPr>
  </w:style>
  <w:style w:type="paragraph" w:styleId="Bullet">
    <w:name w:val="Bullet"/>
    <w:basedOn w:val="Normal"/>
    <w:qFormat/>
    <w:pPr>
      <w:numPr>
        <w:ilvl w:val="0"/>
        <w:numId w:val="2"/>
      </w:numPr>
      <w:tabs>
        <w:tab w:val="clear" w:pos="144"/>
        <w:tab w:val="clear" w:pos="432"/>
        <w:tab w:val="clear" w:pos="576"/>
        <w:tab w:val="clear" w:pos="2448"/>
        <w:tab w:val="clear" w:pos="2592"/>
        <w:tab w:val="clear" w:pos="3600"/>
        <w:tab w:val="clear" w:pos="3744"/>
        <w:tab w:val="left" w:pos="567" w:leader="none"/>
        <w:tab w:val="left" w:pos="709" w:leader="none"/>
      </w:tabs>
      <w:ind w:hanging="567" w:start="567" w:end="0"/>
    </w:pPr>
    <w:rPr/>
  </w:style>
  <w:style w:type="paragraph" w:styleId="TableHeader1">
    <w:name w:val="TableHeader1"/>
    <w:basedOn w:val="Table1"/>
    <w:qFormat/>
    <w:pPr/>
    <w:rPr>
      <w:b/>
    </w:rPr>
  </w:style>
  <w:style w:type="paragraph" w:styleId="FootnoteText">
    <w:name w:val="footnote text"/>
    <w:basedOn w:val="Normal"/>
    <w:pPr/>
    <w:rPr/>
  </w:style>
  <w:style w:type="paragraph" w:styleId="ECCHead">
    <w:name w:val="ECCHead"/>
    <w:basedOn w:val="Normal"/>
    <w:qFormat/>
    <w:pPr/>
    <w:rPr>
      <w:b/>
      <w:i/>
      <w:color w:val="0000FF"/>
      <w:sz w:val="28"/>
      <w:lang w:val="en-GB"/>
    </w:rPr>
  </w:style>
  <w:style w:type="paragraph" w:styleId="Subject">
    <w:name w:val="Subject"/>
    <w:basedOn w:val="Header"/>
    <w:qFormat/>
    <w:pPr/>
    <w:rPr>
      <w:b/>
      <w:i/>
      <w:color w:val="00FF00"/>
    </w:rPr>
  </w:style>
  <w:style w:type="paragraph" w:styleId="DateTab">
    <w:name w:val="DateTab"/>
    <w:basedOn w:val="Bullet"/>
    <w:qFormat/>
    <w:pPr>
      <w:numPr>
        <w:ilvl w:val="0"/>
        <w:numId w:val="0"/>
      </w:numPr>
      <w:tabs>
        <w:tab w:val="clear" w:pos="567"/>
        <w:tab w:val="clear" w:pos="709"/>
        <w:tab w:val="left" w:pos="1418" w:leader="none"/>
      </w:tabs>
      <w:ind w:hanging="1418" w:start="1418" w:end="0"/>
    </w:pPr>
    <w:rPr>
      <w:lang w:val="en-GB"/>
    </w:rPr>
  </w:style>
  <w:style w:type="paragraph" w:styleId="Top">
    <w:name w:val="Top"/>
    <w:basedOn w:val="Footer"/>
    <w:qFormat/>
    <w:pPr/>
    <w:rPr>
      <w:b/>
      <w:bCs/>
      <w:color w:val="FF0000"/>
      <w:sz w:val="28"/>
      <w:lang w:val="en-GB"/>
    </w:rPr>
  </w:style>
  <w:style w:type="paragraph" w:styleId="Unlinked">
    <w:name w:val="Unlinked"/>
    <w:basedOn w:val="Normal"/>
    <w:qFormat/>
    <w:pPr>
      <w:keepNext w:val="false"/>
    </w:pPr>
    <w:rPr>
      <w:lang w:val="en-GB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ECC PA.dot</Template>
  <TotalTime>15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2000-11-22T16:50:00Z</dcterms:created>
  <dc:creator>rsage</dc:creator>
  <dc:description/>
  <dc:language>en-CA</dc:language>
  <cp:lastModifiedBy>bseyfrie</cp:lastModifiedBy>
  <cp:lastPrinted>2000-11-22T19:20:00Z</cp:lastPrinted>
  <dcterms:modified xsi:type="dcterms:W3CDTF">2000-11-22T17:04:00Z</dcterms:modified>
  <cp:revision>3</cp:revision>
  <dc:subject/>
  <dc:title>Motivation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Added</vt:lpwstr>
  </property>
</Properties>
</file>