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1st day of April, 2000, by and between, HILCORP ENERGY COMPANY, a Texas corporation, ("</w:t>
      </w:r>
      <w:r>
        <w:rPr>
          <w:rFonts w:cs="Arial Narrow" w:ascii="Arial Narrow" w:hAnsi="Arial Narrow"/>
          <w:sz w:val="18"/>
          <w:u w:val="single"/>
        </w:rPr>
        <w:t>Hilcorp</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(Hilcorp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Hilcorp owns and operates a gas processing plant and related facilities (the "</w:t>
      </w:r>
      <w:r>
        <w:rPr>
          <w:rFonts w:cs="Arial Narrow" w:ascii="Arial Narrow" w:hAnsi="Arial Narrow"/>
          <w:sz w:val="18"/>
          <w:u w:val="single"/>
        </w:rPr>
        <w:t>Hilcorp Plant</w:t>
      </w:r>
      <w:r>
        <w:rPr>
          <w:rFonts w:cs="Arial Narrow" w:ascii="Arial Narrow" w:hAnsi="Arial Narrow"/>
          <w:sz w:val="18"/>
        </w:rPr>
        <w:t xml:space="preserve">") located in Brazoria County, Texas; and </w:t>
      </w:r>
    </w:p>
    <w:p>
      <w:pPr>
        <w:pStyle w:val="Heading2"/>
        <w:widowControl/>
        <w:rPr/>
      </w:pPr>
      <w:r>
        <w:rPr>
          <w:rFonts w:cs="Arial Narrow" w:ascii="Arial Narrow" w:hAnsi="Arial Narrow"/>
          <w:sz w:val="18"/>
        </w:rPr>
        <w:tab/>
        <w:t>WHEREAS, HPL owns and operates an intrastate natural gas pipeline (12-inch Valley Line (1809))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rPr>
          <w:rFonts w:ascii="Arial Narrow" w:hAnsi="Arial Narrow" w:cs="Arial Narrow"/>
          <w:sz w:val="18"/>
        </w:rPr>
      </w:pPr>
      <w:r>
        <w:rPr>
          <w:rFonts w:cs="Arial Narrow" w:ascii="Arial Narrow" w:hAnsi="Arial Narrow"/>
          <w:sz w:val="18"/>
        </w:rPr>
        <w:tab/>
        <w:t>WHEREAS, Hilcorp and HPL desire to install, own, and operate a natural gas meter station and associated piping located at the Hilcorp Plant in Brazoria County, Texas to deliver natural gas from the HPL Pipeline to the Hilcorp Plant.</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an 8-inch orifice meter, a sampler, flow control and associated equipment, EFM/SCADA, communication equipment, over-pressure protection ("</w:t>
      </w:r>
      <w:r>
        <w:rPr>
          <w:rFonts w:cs="Arial Narrow" w:ascii="Arial Narrow" w:hAnsi="Arial Narrow"/>
          <w:sz w:val="18"/>
          <w:u w:val="single"/>
        </w:rPr>
        <w:t>OPP</w:t>
      </w:r>
      <w:r>
        <w:rPr>
          <w:rFonts w:cs="Arial Narrow" w:ascii="Arial Narrow" w:hAnsi="Arial Narrow"/>
          <w:sz w:val="18"/>
        </w:rPr>
        <w:t>") instrumentation, a hot tap and crossover piping required for the physical delivery of natural gas from the HPL Pipeline to the Hilcorp Plant (the "</w:t>
      </w:r>
      <w:r>
        <w:rPr>
          <w:rFonts w:cs="Arial Narrow" w:ascii="Arial Narrow" w:hAnsi="Arial Narrow"/>
          <w:sz w:val="18"/>
          <w:u w:val="single"/>
        </w:rPr>
        <w:t>Interconnect</w:t>
      </w:r>
      <w:r>
        <w:rPr>
          <w:rFonts w:cs="Arial Narrow" w:ascii="Arial Narrow" w:hAnsi="Arial Narrow"/>
          <w:sz w:val="18"/>
        </w:rPr>
        <w:t>").  The Interconnect shall consist of the Hilcorp Facilities and the HPL Facilities, as defined below. The layout of the Interconnect between the Hilcorp Plant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hot tap on the 12-inch HPL Pipeline, HPL’s EFM, HPL’s communication equipment and instrumentation</w:t>
      </w:r>
      <w:r>
        <w:rPr>
          <w:rFonts w:cs="Arial Narrow" w:ascii="Arial Narrow" w:hAnsi="Arial Narrow"/>
          <w:sz w:val="18"/>
        </w:rPr>
        <w:t>, 8-inch orifice meter and associated equipment, sampler and associated piping up to the insulating flange designated as the point of custody transfer as defined in Section 5(i) below as shown on Exhibit “</w:t>
      </w:r>
      <w:r>
        <w:rPr>
          <w:rFonts w:cs="Arial Narrow" w:ascii="Arial Narrow" w:hAnsi="Arial Narrow"/>
          <w:sz w:val="18"/>
          <w:u w:val="single"/>
        </w:rPr>
        <w:t>A</w:t>
      </w:r>
      <w:r>
        <w:rPr>
          <w:rFonts w:cs="Arial Narrow" w:ascii="Arial Narrow" w:hAnsi="Arial Narrow"/>
          <w:sz w:val="18"/>
        </w:rPr>
        <w:t>”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Hilcorp Ownership</w:t>
      </w:r>
      <w:r>
        <w:rPr>
          <w:rFonts w:cs="Arial Narrow" w:ascii="Arial Narrow" w:hAnsi="Arial Narrow"/>
          <w:sz w:val="18"/>
        </w:rPr>
        <w:t>.  Hilcorp shall own the tap, flow regulation, OPP and piping and pipe related facilities located on Hilcorp’s side of the insulating flange designated as the point of custody transfer as defined in Section 5(i) below (collectively the "</w:t>
      </w:r>
      <w:r>
        <w:rPr>
          <w:rFonts w:cs="Arial Narrow" w:ascii="Arial Narrow" w:hAnsi="Arial Narrow"/>
          <w:sz w:val="18"/>
          <w:u w:val="single"/>
        </w:rPr>
        <w:t>Hilcorp Facilities</w:t>
      </w:r>
      <w:r>
        <w:rPr>
          <w:rFonts w:cs="Arial Narrow" w:ascii="Arial Narrow" w:hAnsi="Arial Narrow"/>
          <w:sz w:val="18"/>
        </w:rPr>
        <w:t>").</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The Hilcorp Facilities shall be designed, installed and constructed by Hilcorp in accordance with the Standards.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Hilcorp Plant.</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Hilcorp shall reimburse HPL for all direct and indirect costs associated with the design, installation, procurement, and construction of the HPL Facilities including IRS tax gross-up.  HPL shall invoice Hilcorp for such costs and Hilcorp shall pay such invoice within 15 days of Hilcorp’s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Hilcorp shall obtain, at their sole cost and expense all clearances, permits, licenses, authorizations, easements and other land rights that may be needed for the construction, installation, maintenance, and operation of the Hilcorp Facilities and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Hilcorp shall operate and maintain the Hilcorp Facilities in accordance with sound and prudent natural gas industry practice and shall be fully responsible for the routine operation and maintenance thereof and for all cost and expense associated therewith.  Hilcorp shall be responsible for its own electric power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Hilcorp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unless otherwise agreed by the Parties in an applicable gas sales or transport agreement.   Either Party shall at all times have the right to refuse delivery of gas not meeting the quality standards set forth in the Standards.  Operation of the HPL Facilities by HPL or its designee shall include operation of the orifice meter (the "</w:t>
      </w:r>
      <w:r>
        <w:rPr>
          <w:rFonts w:cs="Arial Narrow" w:ascii="Arial Narrow" w:hAnsi="Arial Narrow"/>
          <w:sz w:val="18"/>
          <w:u w:val="single"/>
        </w:rPr>
        <w:t>Meter</w:t>
      </w:r>
      <w:r>
        <w:rPr>
          <w:rFonts w:cs="Arial Narrow" w:ascii="Arial Narrow" w:hAnsi="Arial Narrow"/>
          <w:sz w:val="18"/>
        </w:rPr>
        <w:t>") and HPL shall give Hilcorp twenty-four hour operational notice to HPL prior to any testing or calibrating of the Meter.  Hilcorp shall have the right to be present during testing or calibrating of the Meter;</w:t>
      </w:r>
      <w:r>
        <w:rPr>
          <w:rFonts w:cs="Arial Narrow" w:ascii="Arial Narrow" w:hAnsi="Arial Narrow"/>
        </w:rPr>
        <w:t xml:space="preserve"> </w:t>
      </w:r>
      <w:r>
        <w:rPr>
          <w:rFonts w:cs="Arial Narrow" w:ascii="Arial Narrow" w:hAnsi="Arial Narrow"/>
          <w:sz w:val="18"/>
        </w:rPr>
        <w:t xml:space="preserve">provided, if the HPL has given such notice to Hilcorp and Hilcorp is not present at the time specified, then HPL may proceed with the tests as though Hilcorp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sampler installed as part of the HPL Facilities shall be used to ascertain the heating content of the gas stream. </w:t>
      </w:r>
    </w:p>
    <w:p>
      <w:pPr>
        <w:pStyle w:val="Heading2"/>
        <w:widowControl/>
        <w:rPr/>
      </w:pPr>
      <w:r>
        <w:rPr>
          <w:rFonts w:cs="Arial Narrow" w:ascii="Arial Narrow" w:hAnsi="Arial Narrow"/>
          <w:sz w:val="18"/>
        </w:rPr>
        <w:tab/>
        <w:t>(iv)</w:t>
        <w:tab/>
      </w:r>
      <w:r>
        <w:rPr>
          <w:rFonts w:cs="Arial Narrow" w:ascii="Arial Narrow" w:hAnsi="Arial Narrow"/>
          <w:sz w:val="18"/>
          <w:u w:val="single"/>
        </w:rPr>
        <w:t>MAOP</w:t>
      </w:r>
      <w:r>
        <w:rPr>
          <w:rFonts w:cs="Arial Narrow" w:ascii="Arial Narrow" w:hAnsi="Arial Narrow"/>
          <w:sz w:val="18"/>
        </w:rPr>
        <w:t xml:space="preserve">.  HPL shall deliver the gas to the Hilcorp Facilities at pressures existing from time to time in the HPL Pipeline, unless otherwise agreed by the parties in an applicable gas sales or transport agreement.  The Hilcorp Facilities shall include OPP equipment which shall be set at a pressure not to exceed the MAOP of the Hilcorp Plant, as it may be modified from time to time. </w:t>
      </w:r>
    </w:p>
    <w:p>
      <w:pPr>
        <w:pStyle w:val="Heading2"/>
        <w:widowControl/>
        <w:rPr/>
      </w:pPr>
      <w:r>
        <w:rPr>
          <w:rFonts w:cs="Arial Narrow" w:ascii="Arial Narrow" w:hAnsi="Arial Narrow"/>
          <w:sz w:val="18"/>
        </w:rPr>
        <w:tab/>
        <w:t>(v)</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Hilcorp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  In the event that applicable laws, orders, directives, rules and regulations of governmental authorities having jurisdiction require the gas to be odorized, such odorization equipment will be installed, operated, maintained and performed by Hilcorp.  The costs of such odorization shall be borne solely by Hilcorp.</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thereafter for so long as gas is transported through the Interconnect.  Upon cessation of deliveries of gas through the Interconnect, any Party may terminate this agreement upon ninety days written notice to the other Parties.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Hilcorp:</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Hilcorp Energy Company</w:t>
      </w:r>
    </w:p>
    <w:p>
      <w:pPr>
        <w:pStyle w:val="Normal"/>
        <w:widowControl/>
        <w:rPr>
          <w:rFonts w:ascii="Arial Narrow" w:hAnsi="Arial Narrow" w:cs="Arial Narrow"/>
          <w:sz w:val="18"/>
        </w:rPr>
      </w:pPr>
      <w:r>
        <w:rPr>
          <w:rFonts w:cs="Arial Narrow" w:ascii="Arial Narrow" w:hAnsi="Arial Narrow"/>
          <w:sz w:val="18"/>
        </w:rPr>
        <w:t>1400 Smith St.</w:t>
        <w:tab/>
        <w:tab/>
        <w:tab/>
        <w:t>1000 Louisiana Ste 3760                    </w:t>
      </w:r>
    </w:p>
    <w:p>
      <w:pPr>
        <w:pStyle w:val="Normal"/>
        <w:widowControl/>
        <w:rPr>
          <w:rFonts w:ascii="Arial Narrow" w:hAnsi="Arial Narrow" w:cs="Arial Narrow"/>
          <w:sz w:val="18"/>
        </w:rPr>
      </w:pPr>
      <w:r>
        <w:rPr>
          <w:rFonts w:cs="Arial Narrow" w:ascii="Arial Narrow" w:hAnsi="Arial Narrow"/>
          <w:sz w:val="18"/>
        </w:rPr>
        <w:t>Houston, Texas 77002-7361</w:t>
        <w:tab/>
        <w:tab/>
        <w:t>Houston, Texas 77002</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___________</w:t>
      </w:r>
    </w:p>
    <w:p>
      <w:pPr>
        <w:pStyle w:val="Normal"/>
        <w:widowControl/>
        <w:rPr>
          <w:rFonts w:ascii="Arial Narrow" w:hAnsi="Arial Narrow" w:cs="Arial Narrow"/>
          <w:sz w:val="18"/>
        </w:rPr>
      </w:pPr>
      <w:r>
        <w:rPr>
          <w:rFonts w:cs="Arial Narrow" w:ascii="Arial Narrow" w:hAnsi="Arial Narrow"/>
          <w:sz w:val="18"/>
        </w:rPr>
        <w:t>Facsimile Number:  (713) 646-8416</w:t>
        <w:tab/>
        <w:t>Phone Number: ______________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Hilcorp Energy Company</w:t>
        <w:softHyphen/>
        <w:softHyphen/>
        <w:softHyphen/>
        <w:t xml:space="preserve"> </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___________</w:t>
      </w:r>
    </w:p>
    <w:p>
      <w:pPr>
        <w:pStyle w:val="Normal"/>
        <w:widowControl/>
        <w:rPr>
          <w:rFonts w:ascii="Arial Narrow" w:hAnsi="Arial Narrow" w:cs="Arial Narrow"/>
          <w:sz w:val="18"/>
        </w:rPr>
      </w:pPr>
      <w:r>
        <w:rPr>
          <w:rFonts w:cs="Arial Narrow" w:ascii="Arial Narrow" w:hAnsi="Arial Narrow"/>
          <w:sz w:val="18"/>
        </w:rPr>
        <w:tab/>
        <w:tab/>
        <w:tab/>
        <w:tab/>
        <w:t>Phone Number: _____________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
          <w:sz w:val="18"/>
        </w:rPr>
        <w:t>HILCORP ENERGY COMPANY</w:t>
        <w:tab/>
        <w:tab/>
        <w:tab/>
        <w:tab/>
        <w:tab/>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Stephen C. Schneider – Vice President</w:t>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Hillcorp_Interconnect_Agreement.doc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DRAFT</w:t>
    </w:r>
    <w:r>
      <w:rPr/>
      <w:t xml:space="preserve">, </w:t>
    </w:r>
    <w:r>
      <w:rPr>
        <w:i/>
        <w:iCs/>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2000-05-10T16:19:00Z</dcterms:created>
  <dc:creator>ECT</dc:creator>
  <dc:description/>
  <dc:language>en-CA</dc:language>
  <cp:lastModifiedBy>egillas</cp:lastModifiedBy>
  <cp:lastPrinted>2000-05-11T12:52:00Z</cp:lastPrinted>
  <dcterms:modified xsi:type="dcterms:W3CDTF">2000-05-11T15:58:00Z</dcterms:modified>
  <cp:revision>18</cp:revision>
  <dc:subject/>
  <dc:title>Letter format</dc:title>
</cp:coreProperties>
</file>