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December 5, 2000</w:t>
      </w:r>
    </w:p>
    <w:p>
      <w:pPr>
        <w:pStyle w:val="Normal"/>
        <w:rPr>
          <w:b/>
          <w:sz w:val="28"/>
        </w:rPr>
      </w:pPr>
      <w:r>
        <w:rPr>
          <w:b/>
          <w:sz w:val="28"/>
        </w:rPr>
      </w:r>
    </w:p>
    <w:p>
      <w:pPr>
        <w:pStyle w:val="Normal"/>
        <w:jc w:val="center"/>
        <w:rPr>
          <w:b/>
          <w:sz w:val="28"/>
        </w:rPr>
      </w:pPr>
      <w:r>
        <w:rPr>
          <w:b/>
          <w:sz w:val="28"/>
        </w:rPr>
        <w:t>Resolution of the Board of Directors</w:t>
      </w:r>
    </w:p>
    <w:p>
      <w:pPr>
        <w:pStyle w:val="Normal"/>
        <w:pBdr>
          <w:bottom w:val="single" w:sz="6" w:space="1" w:color="000000"/>
        </w:pBdr>
        <w:jc w:val="center"/>
        <w:rPr>
          <w:b/>
          <w:sz w:val="28"/>
        </w:rPr>
      </w:pPr>
      <w:r>
        <w:rPr>
          <w:b/>
          <w:sz w:val="28"/>
        </w:rPr>
        <w:t>In Support of Increased Funding for Higher Education</w:t>
      </w:r>
    </w:p>
    <w:p>
      <w:pPr>
        <w:pStyle w:val="Normal"/>
        <w:pBdr>
          <w:bottom w:val="single" w:sz="6" w:space="1" w:color="000000"/>
        </w:pBdr>
        <w:jc w:val="center"/>
        <w:rPr>
          <w:b/>
          <w:sz w:val="28"/>
        </w:rPr>
      </w:pPr>
      <w:r>
        <w:rPr>
          <w:b/>
          <w:sz w:val="28"/>
        </w:rPr>
      </w:r>
    </w:p>
    <w:p>
      <w:pPr>
        <w:pStyle w:val="Normal"/>
        <w:rPr/>
      </w:pPr>
      <w:r>
        <w:rPr/>
      </w:r>
    </w:p>
    <w:p>
      <w:pPr>
        <w:pStyle w:val="Normal"/>
        <w:autoSpaceDE w:val="false"/>
        <w:rPr>
          <w:szCs w:val="24"/>
        </w:rPr>
      </w:pPr>
      <w:r>
        <w:rPr>
          <w:szCs w:val="24"/>
        </w:rPr>
        <w:t>The Greater Houston Partnership supports increased appropriations for higher education to enhance the quality of educational services, effectively manage the state’s enrollment growth, expand access to higher educational opportunities and strengthen the connection between the private sector and research activities being conducted at Texas’ public universities, colleges and health-related institutions.  The Partnership also supports special item funding and the use of tuition revenue bonds for programs/infrastructure that are not adequately covered by formula allocation.</w:t>
      </w:r>
    </w:p>
    <w:p>
      <w:pPr>
        <w:pStyle w:val="Normal"/>
        <w:autoSpaceDE w:val="false"/>
        <w:rPr>
          <w:szCs w:val="24"/>
        </w:rPr>
      </w:pPr>
      <w:r>
        <w:rPr>
          <w:szCs w:val="24"/>
        </w:rPr>
      </w:r>
    </w:p>
    <w:p>
      <w:pPr>
        <w:pStyle w:val="Normal"/>
        <w:rPr/>
      </w:pPr>
      <w:r>
        <w:rPr/>
        <w:t>In addition, the Greater Houston Partnership supports the Texas Higher Education Coordinating Board’s (THECB) long-term strategic plan for higher education in Texas.  THECB’s goals include by 2015:  (1) closing the gaps in enrollment rates across Texas to add 500,000 more students; (2) increasing by 50 percent the number of degrees, certificates and other identifiable indicators of student success from high quality programs; (3) substantially increasing the number of nationally recognized programs or services at colleges and universities in Texas; and (4) increasing the level of federal science and engineering research funding to Texas institutions by 50 percent to $1.3 billion.  Furthermore, THECB plans to develop benchmarks and measures to assess progress toward goals of the plan by each institution and by higher education as a whole.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James R. Royer,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R. Bruce LaBoon,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sectPr>
          <w:type w:val="nextPage"/>
          <w:pgSz w:w="12240" w:h="15840"/>
          <w:pgMar w:left="1680" w:right="1680" w:gutter="0" w:header="0" w:top="1440" w:footer="0" w:bottom="1440"/>
          <w:pgNumType w:fmt="decimal"/>
          <w:formProt w:val="false"/>
          <w:textDirection w:val="lrTb"/>
          <w:docGrid w:type="default" w:linePitch="360" w:charSpace="0"/>
        </w:sectPr>
        <w:pStyle w:val="Normal"/>
        <w:rPr/>
      </w:pPr>
      <w:r>
        <w:rPr/>
      </w:r>
    </w:p>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December 5, 2000</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Board of Directors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Robert Mosbacher, Jr., Chairman</w:t>
            </w:r>
          </w:p>
          <w:p>
            <w:pPr>
              <w:pStyle w:val="Normal"/>
              <w:rPr/>
            </w:pPr>
            <w:r>
              <w:rPr/>
              <w:t>Education and Workforce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Resolution in Support of Increased Finding for Higher Education</w:t>
            </w:r>
          </w:p>
        </w:tc>
      </w:tr>
    </w:tbl>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Heading1"/>
        <w:ind w:hanging="0" w:start="0"/>
        <w:rPr/>
      </w:pPr>
      <w:r>
        <w:rPr/>
        <w:t>RECOMMENDATION</w:t>
      </w:r>
    </w:p>
    <w:p>
      <w:pPr>
        <w:pStyle w:val="Normal"/>
        <w:tabs>
          <w:tab w:val="clear" w:pos="720"/>
          <w:tab w:val="left" w:pos="1440" w:leader="none"/>
        </w:tabs>
        <w:jc w:val="both"/>
        <w:rPr/>
      </w:pPr>
      <w:r>
        <w:rPr/>
      </w:r>
    </w:p>
    <w:p>
      <w:pPr>
        <w:pStyle w:val="Normal"/>
        <w:autoSpaceDE w:val="false"/>
        <w:jc w:val="both"/>
        <w:rPr>
          <w:szCs w:val="24"/>
        </w:rPr>
      </w:pPr>
      <w:r>
        <w:rPr>
          <w:szCs w:val="24"/>
        </w:rPr>
        <w:t>The Greater Houston Partnership supports increased appropriations for higher education to enhance the quality of educational services, effectively manage the state’s enrollment growth, expand access to higher educational opportunities and strengthen the connection between the private sector and research activities being conducted at Texas’ public universities, colleges and health-related institutions.  In addition, the Partnership supports special item funding and the use of tuition revenue bonds for programs/infrastructure that are not adequately covered by formula allocation.</w:t>
      </w:r>
    </w:p>
    <w:p>
      <w:pPr>
        <w:pStyle w:val="Normal"/>
        <w:autoSpaceDE w:val="false"/>
        <w:jc w:val="both"/>
        <w:rPr>
          <w:szCs w:val="24"/>
        </w:rPr>
      </w:pPr>
      <w:r>
        <w:rPr>
          <w:szCs w:val="24"/>
        </w:rPr>
      </w:r>
    </w:p>
    <w:p>
      <w:pPr>
        <w:pStyle w:val="Normal"/>
        <w:rPr/>
      </w:pPr>
      <w:r>
        <w:rPr/>
        <w:t xml:space="preserve">In addition, the Greater Houston Partnership supports the Texas Higher Education Coordinating Board’s (THECB) long-term strategic plan for higher education in Texas.  THECB’s goals include by 2015:  (1) closing the gaps in enrollment rates across Texas to add 500,000 more students; (2) increasing by 50 percent the number of degrees, certificates and other identifiable indicators of student success from high quality programs; (3) substantially increasing the number of nationally recognized programs or services at colleges and universities in Texas; and (4) increasing the level of federal science and engineering research funding to Texas institutions by 50 percent to $1.3 billion.  Furthermore, THECB plans to develop benchmarks and measures to assess progress toward goals of the plan by each institution and by higher education as a whole. </w:t>
      </w:r>
    </w:p>
    <w:p>
      <w:pPr>
        <w:pStyle w:val="Normal"/>
        <w:tabs>
          <w:tab w:val="clear" w:pos="720"/>
          <w:tab w:val="left" w:pos="1440" w:leader="none"/>
        </w:tabs>
        <w:jc w:val="both"/>
        <w:rPr/>
      </w:pPr>
      <w:r>
        <w:rPr/>
      </w:r>
    </w:p>
    <w:p>
      <w:pPr>
        <w:pStyle w:val="Heading1"/>
        <w:ind w:hanging="0" w:start="0"/>
        <w:rPr/>
      </w:pPr>
      <w:r>
        <w:rPr/>
        <w:t>BACKGROUND</w:t>
      </w:r>
    </w:p>
    <w:p>
      <w:pPr>
        <w:pStyle w:val="Normal"/>
        <w:tabs>
          <w:tab w:val="clear" w:pos="720"/>
          <w:tab w:val="left" w:pos="1440" w:leader="none"/>
        </w:tabs>
        <w:jc w:val="both"/>
        <w:rPr/>
      </w:pPr>
      <w:r>
        <w:rPr/>
      </w:r>
    </w:p>
    <w:p>
      <w:pPr>
        <w:pStyle w:val="Normal"/>
        <w:autoSpaceDE w:val="false"/>
        <w:rPr>
          <w:szCs w:val="24"/>
        </w:rPr>
      </w:pPr>
      <w:r>
        <w:rPr>
          <w:szCs w:val="24"/>
        </w:rPr>
        <w:t>Last session, higher education received $4,475,788,232 in all funds, an increase of $445,106,493 or 11% over the 1998-99 biennium.  However, demographers have painted a gloomy picture of what Texas would look like in the next century if we do not do a better job of educating all Texans.  Trends of a growing unskilled and under-educated workforce will mean more spending on social programs, higher rates of crime and a reduced ability to compete successfully with other states and globally.  Currently, only about 20% or one in five Texans earn undergraduate or graduate degrees resulting in a growing education/earnings gap that could mean fewer jobs, less innovation and host of other social</w:t>
      </w:r>
    </w:p>
    <w:p>
      <w:pPr>
        <w:sectPr>
          <w:headerReference w:type="default" r:id="rId2"/>
          <w:headerReference w:type="first" r:id="rId3"/>
          <w:footerReference w:type="default" r:id="rId4"/>
          <w:footerReference w:type="first" r:id="rId5"/>
          <w:type w:val="nextPage"/>
          <w:pgSz w:w="12240" w:h="15840"/>
          <w:pgMar w:left="1685" w:right="1685" w:gutter="0" w:header="720" w:top="1440" w:footer="965" w:bottom="1440"/>
          <w:pgNumType w:fmt="decimal"/>
          <w:formProt w:val="false"/>
          <w:titlePg/>
          <w:textDirection w:val="lrTb"/>
          <w:docGrid w:type="default" w:linePitch="360" w:charSpace="0"/>
        </w:sectPr>
      </w:pPr>
    </w:p>
    <w:p>
      <w:pPr>
        <w:pStyle w:val="Normal"/>
        <w:autoSpaceDE w:val="false"/>
        <w:rPr>
          <w:szCs w:val="24"/>
        </w:rPr>
      </w:pPr>
      <w:r>
        <w:rPr>
          <w:szCs w:val="24"/>
        </w:rPr>
      </w:r>
      <w:r>
        <w:br w:type="page"/>
      </w:r>
    </w:p>
    <w:p>
      <w:pPr>
        <w:pStyle w:val="Normal"/>
        <w:autoSpaceDE w:val="false"/>
        <w:rPr>
          <w:szCs w:val="24"/>
        </w:rPr>
      </w:pPr>
      <w:r>
        <w:rPr>
          <w:szCs w:val="24"/>
        </w:rPr>
        <w:t xml:space="preserve">challenges in an increasingly competitive world.  The more formal education people have on the average, the more lifetime earnings they will have, translating to better benefits for our state and nation. </w:t>
      </w:r>
    </w:p>
    <w:p>
      <w:pPr>
        <w:pStyle w:val="Normal"/>
        <w:autoSpaceDE w:val="false"/>
        <w:rPr>
          <w:szCs w:val="24"/>
        </w:rPr>
      </w:pPr>
      <w:r>
        <w:rPr>
          <w:szCs w:val="24"/>
        </w:rPr>
      </w:r>
    </w:p>
    <w:p>
      <w:pPr>
        <w:pStyle w:val="Normal"/>
        <w:autoSpaceDE w:val="false"/>
        <w:rPr>
          <w:rFonts w:ascii="Arial" w:hAnsi="Arial" w:cs="Arial"/>
          <w:sz w:val="20"/>
        </w:rPr>
      </w:pPr>
      <w:r>
        <w:rPr>
          <w:szCs w:val="24"/>
        </w:rPr>
        <w:t>The Texas Higher Education Coordinating Board (THECB) notes that there is a growing unskilled, under-educated population that cannot meet the demands of a technology-based workplace resulting in lost ground in our highly competitive global marketplace.  Other trends show the average household income in Texas is expected to decline by $3,000 in constant dollars by 2030, and data shows that annual personal income increases substantially with post-secondary education.  A one percent increase in higher education participation would produce 190,000 more Texas students.  Overall, 5.3 percent of the Texas population participated in higher education in 1990 and the number dropped to 5.0 percent in 1999.  Texas’ median household income is 9 percent lower than the average for the 10 most populous states.</w:t>
      </w:r>
    </w:p>
    <w:p>
      <w:pPr>
        <w:pStyle w:val="Normal"/>
        <w:rPr>
          <w:rFonts w:ascii="Arial" w:hAnsi="Arial" w:cs="Arial"/>
          <w:sz w:val="20"/>
        </w:rPr>
      </w:pPr>
      <w:r>
        <w:rPr>
          <w:rFonts w:cs="Arial" w:ascii="Arial" w:hAnsi="Arial"/>
          <w:sz w:val="20"/>
        </w:rPr>
      </w:r>
    </w:p>
    <w:p>
      <w:pPr>
        <w:pStyle w:val="Header"/>
        <w:tabs>
          <w:tab w:val="clear" w:pos="4320"/>
          <w:tab w:val="clear" w:pos="8640"/>
        </w:tabs>
        <w:rPr/>
      </w:pPr>
      <w:r>
        <w:rPr/>
        <w:t>The Metro 8 Chambers of Commerce, representing Houston, Dallas, Fort Worth, Arlington, Austin, San Antonio, El Paso and Corpus Christi is considering including these higher education positions in its joint statement of priority legislative issues for the 77</w:t>
      </w:r>
      <w:r>
        <w:rPr>
          <w:vertAlign w:val="superscript"/>
        </w:rPr>
        <w:t>th</w:t>
      </w:r>
      <w:r>
        <w:rPr/>
        <w:t xml:space="preserve"> legislature.</w:t>
      </w:r>
    </w:p>
    <w:p>
      <w:pPr>
        <w:pStyle w:val="Normal"/>
        <w:rPr/>
      </w:pPr>
      <w:r>
        <w:rPr/>
      </w:r>
    </w:p>
    <w:p>
      <w:pPr>
        <w:pStyle w:val="Heading2"/>
        <w:ind w:hanging="0" w:start="0"/>
        <w:rPr>
          <w:sz w:val="20"/>
        </w:rPr>
      </w:pPr>
      <w:r>
        <w:rPr/>
        <w:t>IMPLEMENTATION</w:t>
      </w:r>
    </w:p>
    <w:p>
      <w:pPr>
        <w:pStyle w:val="Header"/>
        <w:tabs>
          <w:tab w:val="clear" w:pos="4320"/>
          <w:tab w:val="clear" w:pos="8640"/>
        </w:tabs>
        <w:rPr>
          <w:sz w:val="20"/>
        </w:rPr>
      </w:pPr>
      <w:r>
        <w:rPr>
          <w:sz w:val="20"/>
        </w:rPr>
      </w:r>
    </w:p>
    <w:p>
      <w:pPr>
        <w:pStyle w:val="Header"/>
        <w:tabs>
          <w:tab w:val="clear" w:pos="4320"/>
          <w:tab w:val="clear" w:pos="8640"/>
        </w:tabs>
        <w:rPr/>
      </w:pPr>
      <w:r>
        <w:rPr/>
        <w:t>Communicate this position to members of the area legislative delegation and appropriate legislative leaders.  Include the position in summaries of the Partnership’s legislative program for the 77</w:t>
      </w:r>
      <w:r>
        <w:rPr>
          <w:vertAlign w:val="superscript"/>
        </w:rPr>
        <w:t>th</w:t>
      </w:r>
      <w:r>
        <w:rPr/>
        <w:t xml:space="preserve"> Legislative Session. Review proposed legislation on these issues during the legislative session.</w:t>
      </w:r>
    </w:p>
    <w:p>
      <w:pPr>
        <w:pStyle w:val="Header"/>
        <w:tabs>
          <w:tab w:val="clear" w:pos="4320"/>
          <w:tab w:val="clear" w:pos="8640"/>
        </w:tabs>
        <w:rPr/>
      </w:pPr>
      <w:r>
        <w:rPr/>
      </w:r>
    </w:p>
    <w:p>
      <w:pPr>
        <w:pStyle w:val="Header"/>
        <w:tabs>
          <w:tab w:val="clear" w:pos="4320"/>
          <w:tab w:val="clear" w:pos="8640"/>
        </w:tabs>
        <w:rPr>
          <w:b/>
          <w:bCs/>
          <w:sz w:val="20"/>
        </w:rPr>
      </w:pPr>
      <w:r>
        <w:rPr>
          <w:b/>
          <w:bCs/>
        </w:rPr>
        <w:t>RESOURCES REQUIRED</w:t>
      </w:r>
    </w:p>
    <w:p>
      <w:pPr>
        <w:pStyle w:val="Header"/>
        <w:tabs>
          <w:tab w:val="clear" w:pos="4320"/>
          <w:tab w:val="clear" w:pos="8640"/>
        </w:tabs>
        <w:rPr>
          <w:b/>
          <w:bCs/>
          <w:sz w:val="20"/>
        </w:rPr>
      </w:pPr>
      <w:r>
        <w:rPr>
          <w:b/>
          <w:bCs/>
          <w:sz w:val="20"/>
        </w:rPr>
      </w:r>
    </w:p>
    <w:p>
      <w:pPr>
        <w:pStyle w:val="Normal"/>
        <w:rPr/>
      </w:pPr>
      <w:r>
        <w:rPr/>
        <w:t xml:space="preserve">This resolution can be implemented within current budgetary constraints.  </w:t>
      </w:r>
    </w:p>
    <w:sectPr>
      <w:type w:val="continuous"/>
      <w:pgSz w:w="12240" w:h="15840"/>
      <w:pgMar w:left="1685" w:right="1685" w:gutter="0" w:header="720" w:top="1440" w:footer="965"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2">
              <wp:simplePos x="0" y="0"/>
              <wp:positionH relativeFrom="page">
                <wp:posOffset>594995</wp:posOffset>
              </wp:positionH>
              <wp:positionV relativeFrom="page">
                <wp:posOffset>457835</wp:posOffset>
              </wp:positionV>
              <wp:extent cx="3606165" cy="472440"/>
              <wp:effectExtent l="0" t="0" r="0" b="0"/>
              <wp:wrapTopAndBottom/>
              <wp:docPr id="1" name="Frame1"/>
              <a:graphic xmlns:a="http://schemas.openxmlformats.org/drawingml/2006/main">
                <a:graphicData uri="http://schemas.microsoft.com/office/word/2010/wordprocessingShape">
                  <wps:wsp>
                    <wps:cNvSpPr txBox="1"/>
                    <wps:spPr>
                      <a:xfrm>
                        <a:off x="0" y="0"/>
                        <a:ext cx="3606165" cy="472440"/>
                      </a:xfrm>
                      <a:prstGeom prst="rect"/>
                      <a:solidFill>
                        <a:srgbClr val="FFFFFF">
                          <a:alpha val="0"/>
                        </a:srgbClr>
                      </a:solidFill>
                    </wps:spPr>
                    <wps:txbx>
                      <w:txbxContent>
                        <w:p>
                          <w:pPr>
                            <w:pStyle w:val="Normal"/>
                            <w:rPr/>
                          </w:pPr>
                          <w:r>
                            <w:rPr/>
                            <w:drawing>
                              <wp:inline distT="0" distB="0" distL="0" distR="0">
                                <wp:extent cx="3605530" cy="4724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8" t="-62" r="-8" b="-62"/>
                                        <a:stretch>
                                          <a:fillRect/>
                                        </a:stretch>
                                      </pic:blipFill>
                                      <pic:spPr bwMode="auto">
                                        <a:xfrm>
                                          <a:off x="0" y="0"/>
                                          <a:ext cx="3605530" cy="47244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283.95pt;height:37.2pt;mso-wrap-distance-left:9.35pt;mso-wrap-distance-right:9.35pt;mso-wrap-distance-top:0pt;mso-wrap-distance-bottom:0pt;margin-top:36.05pt;mso-position-vertical-relative:page;margin-left:46.85pt;mso-position-horizontal-relative:page">
              <v:fill opacity="0f"/>
              <v:textbox inset="0in,0in,0in,0in">
                <w:txbxContent>
                  <w:p>
                    <w:pPr>
                      <w:pStyle w:val="Normal"/>
                      <w:rPr/>
                    </w:pPr>
                    <w:r>
                      <w:rPr/>
                      <w:drawing>
                        <wp:inline distT="0" distB="0" distL="0" distR="0">
                          <wp:extent cx="3605530" cy="47244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8" t="-62" r="-8" b="-62"/>
                                  <a:stretch>
                                    <a:fillRect/>
                                  </a:stretch>
                                </pic:blipFill>
                                <pic:spPr bwMode="auto">
                                  <a:xfrm>
                                    <a:off x="0" y="0"/>
                                    <a:ext cx="3605530" cy="472440"/>
                                  </a:xfrm>
                                  <a:prstGeom prst="rect">
                                    <a:avLst/>
                                  </a:prstGeom>
                                  <a:noFill/>
                                </pic:spPr>
                              </pic:pic>
                            </a:graphicData>
                          </a:graphic>
                        </wp:inline>
                      </w:drawing>
                    </w:r>
                  </w:p>
                </w:txbxContent>
              </v:textbox>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2000 Resolution.dot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2000-11-30T18:04:00Z</dcterms:created>
  <dc:creator>Christina A. Foley</dc:creator>
  <dc:description/>
  <dc:language>en-CA</dc:language>
  <cp:lastModifiedBy>Arlene McCarty</cp:lastModifiedBy>
  <cp:lastPrinted>2000-11-30T14:33:00Z</cp:lastPrinted>
  <dcterms:modified xsi:type="dcterms:W3CDTF">2000-11-30T18:04:00Z</dcterms:modified>
  <cp:revision>2</cp:revision>
  <dc:subject/>
  <dc:title>Greater Houston Partnership							February 4, 1997</dc:title>
</cp:coreProperties>
</file>