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leftFromText="180" w:rightFromText="180" w:tblpY="165"/>
        <w:tblW w:w="12000" w:type="dxa"/>
        <w:jc w:val="start"/>
        <w:tblInd w:w="0" w:type="dxa"/>
        <w:tblLayout w:type="fixed"/>
        <w:tblCellMar>
          <w:top w:w="0" w:type="dxa"/>
          <w:start w:w="0" w:type="dxa"/>
          <w:bottom w:w="0" w:type="dxa"/>
          <w:end w:w="0" w:type="dxa"/>
        </w:tblCellMar>
      </w:tblPr>
      <w:tblGrid>
        <w:gridCol w:w="587"/>
        <w:gridCol w:w="11413"/>
      </w:tblGrid>
      <w:tr>
        <w:trPr>
          <w:trHeight w:val="15465" w:hRule="atLeast"/>
        </w:trPr>
        <w:tc>
          <w:tcPr>
            <w:tcW w:w="587"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11413" w:type="dxa"/>
            <w:tcBorders/>
          </w:tcPr>
          <w:p>
            <w:pPr>
              <w:pStyle w:val="Normal"/>
              <w:rPr/>
            </w:pPr>
            <w:r>
              <w:rPr>
                <w:rFonts w:cs="Verdana" w:ascii="Verdana" w:hAnsi="Verdana"/>
                <w:b/>
                <w:bCs/>
                <w:sz w:val="20"/>
                <w:szCs w:val="20"/>
              </w:rPr>
              <w:t>Tuesday, November 7,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3228975" cy="1524000"/>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1" t="-24" r="-11" b="-24"/>
                          <a:stretch>
                            <a:fillRect/>
                          </a:stretch>
                        </pic:blipFill>
                        <pic:spPr bwMode="auto">
                          <a:xfrm>
                            <a:off x="0" y="0"/>
                            <a:ext cx="3228975" cy="1524000"/>
                          </a:xfrm>
                          <a:prstGeom prst="rect">
                            <a:avLst/>
                          </a:prstGeom>
                          <a:noFill/>
                        </pic:spPr>
                      </pic:pic>
                    </a:graphicData>
                  </a:graphic>
                </wp:inline>
              </w:drawing>
            </w:r>
            <w:r>
              <w:rPr>
                <w:rFonts w:cs="Verdana" w:ascii="Verdana" w:hAnsi="Verdana"/>
                <w:sz w:val="20"/>
                <w:szCs w:val="20"/>
              </w:rPr>
              <w:br/>
              <w:br/>
              <w:t xml:space="preserve">By Kathleen McFall </w:t>
              <w:br/>
            </w:r>
            <w:hyperlink r:id="rId3">
              <w:r>
                <w:rPr>
                  <w:rStyle w:val="Hyperlink"/>
                  <w:rFonts w:cs="Verdana" w:ascii="Verdana" w:hAnsi="Verdana"/>
                  <w:sz w:val="20"/>
                  <w:szCs w:val="20"/>
                </w:rPr>
                <w:t>kmcfall@ftenergy.com</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Grid-ties. That's about as much jargon as one can muster in two syllables. But the concept is trickling down into the mainstream consciousness. </w:t>
            </w:r>
          </w:p>
          <w:p>
            <w:pPr>
              <w:pStyle w:val="NormalWeb"/>
              <w:rPr>
                <w:rFonts w:ascii="Verdana" w:hAnsi="Verdana" w:cs="Verdana"/>
                <w:sz w:val="20"/>
                <w:szCs w:val="20"/>
              </w:rPr>
            </w:pPr>
            <w:r>
              <w:rPr>
                <w:rFonts w:cs="Verdana" w:ascii="Verdana" w:hAnsi="Verdana"/>
                <w:sz w:val="20"/>
                <w:szCs w:val="20"/>
              </w:rPr>
              <w:t xml:space="preserve">Indeed, with recent projections that the California power supply deficit is likely to grow next summer, residential grid-tie applications — especially wind and solar — are shaping up to be a ripe target for many companies. </w:t>
            </w:r>
          </w:p>
          <w:p>
            <w:pPr>
              <w:pStyle w:val="NormalWeb"/>
              <w:rPr>
                <w:rFonts w:ascii="Verdana" w:hAnsi="Verdana" w:cs="Verdana"/>
                <w:sz w:val="20"/>
                <w:szCs w:val="20"/>
              </w:rPr>
            </w:pPr>
            <w:r>
              <w:rPr>
                <w:rFonts w:cs="Verdana" w:ascii="Verdana" w:hAnsi="Verdana"/>
                <w:sz w:val="20"/>
                <w:szCs w:val="20"/>
              </w:rPr>
              <w:t xml:space="preserve">According to the American Wind Energy Association (AWEA), California consumer interest in home wind energy generators has recently surged. The Sacramento Municipal Utility District (SMUD) is jumping on the bandwagon with some 8 MW of customer-owned solar power in place and another 7 MW planned by mid-2003. Fuel cells continue to move forward and, despite some near-term commercial applicability setbacks, are expected to have a role in the energy future. </w:t>
            </w:r>
          </w:p>
          <w:p>
            <w:pPr>
              <w:pStyle w:val="NormalWeb"/>
              <w:rPr>
                <w:rFonts w:ascii="Verdana" w:hAnsi="Verdana" w:cs="Verdana"/>
                <w:sz w:val="20"/>
                <w:szCs w:val="20"/>
              </w:rPr>
            </w:pPr>
            <w:r>
              <w:rPr>
                <w:rFonts w:cs="Verdana" w:ascii="Verdana" w:hAnsi="Verdana"/>
                <w:sz w:val="20"/>
                <w:szCs w:val="20"/>
              </w:rPr>
              <w:t xml:space="preserve">Clearly, these efforts won't make up the projected power deficit in California, but the market niche is becoming increasingly well-defined. For utilities, the trend has a definite upside. With the emerging emphasis on building value through customer equity, investments in grid-ties for motivated customers can strengthen loyalty and brand recognition not to mention shaving peak loads. </w:t>
            </w:r>
          </w:p>
          <w:p>
            <w:pPr>
              <w:pStyle w:val="NormalWeb"/>
              <w:rPr/>
            </w:pPr>
            <w:r>
              <w:rPr>
                <w:rFonts w:cs="Verdana" w:ascii="Verdana" w:hAnsi="Verdana"/>
                <w:b/>
                <w:bCs/>
                <w:sz w:val="20"/>
                <w:szCs w:val="20"/>
              </w:rPr>
              <w:t>Residential Wind Freshens</w:t>
            </w:r>
            <w:r>
              <w:rPr>
                <w:rFonts w:cs="Verdana" w:ascii="Verdana" w:hAnsi="Verdana"/>
                <w:sz w:val="20"/>
                <w:szCs w:val="20"/>
              </w:rPr>
              <w:br/>
              <w:t xml:space="preserve">"We have seen sales in California double over the last four months," said Michael Bergey, president of Bergey Windpower, an Oklahoma-based company that manufactures a 10 kW wind turbine. "This increase in business is directly attributable to the rate shock experienced by customers." </w:t>
            </w:r>
          </w:p>
          <w:p>
            <w:pPr>
              <w:pStyle w:val="NormalWeb"/>
              <w:rPr>
                <w:rFonts w:ascii="Verdana" w:hAnsi="Verdana" w:cs="Verdana"/>
                <w:sz w:val="20"/>
                <w:szCs w:val="20"/>
              </w:rPr>
            </w:pPr>
            <w:r>
              <w:rPr>
                <w:rFonts w:cs="Verdana" w:ascii="Verdana" w:hAnsi="Verdana"/>
                <w:sz w:val="20"/>
                <w:szCs w:val="20"/>
              </w:rPr>
              <w:t xml:space="preserve">The U.S. has about 15 MW of nameplate capacity of small wind turbines. During 1999, the market for small wind systems (those with less than 100 kW of generating capacity) grew more than 35%. </w:t>
            </w:r>
          </w:p>
          <w:p>
            <w:pPr>
              <w:pStyle w:val="NormalWeb"/>
              <w:rPr>
                <w:rFonts w:ascii="Verdana" w:hAnsi="Verdana" w:cs="Verdana"/>
                <w:sz w:val="20"/>
                <w:szCs w:val="20"/>
              </w:rPr>
            </w:pPr>
            <w:r>
              <w:rPr>
                <w:rFonts w:cs="Verdana" w:ascii="Verdana" w:hAnsi="Verdana"/>
                <w:sz w:val="20"/>
                <w:szCs w:val="20"/>
              </w:rPr>
              <w:t xml:space="preserve">"Our office is overwhelmed with information requests," said Andy Kruse, vice president of Southwest Windpower, distributor of small wind turbines. "When California deregulated its electricity markets, we all wondered which way rates would go, and what that would do for sales. It's clear now that with rates going up as they have, small wind systems make more economic sense than ever before." </w:t>
            </w:r>
          </w:p>
          <w:p>
            <w:pPr>
              <w:pStyle w:val="NormalWeb"/>
              <w:rPr>
                <w:rFonts w:ascii="Verdana" w:hAnsi="Verdana" w:cs="Verdana"/>
                <w:sz w:val="20"/>
                <w:szCs w:val="20"/>
              </w:rPr>
            </w:pPr>
            <w:r>
              <w:rPr>
                <w:rFonts w:cs="Verdana" w:ascii="Verdana" w:hAnsi="Verdana"/>
                <w:sz w:val="20"/>
                <w:szCs w:val="20"/>
              </w:rPr>
              <w:t xml:space="preserve">In California, the market is primed by regulations and buy-down programs. For example, California utilities are required to offer net metering to residential and small commercial customers with solar and wind generating facilities sized less than 10 kW. Also, the California Energy Commission provides a rebate of up to 50% on wind energy systems to customers of Pacific Gas and Electric, San Diego Gas &amp; Electric, Southern California Edison, and Bear Valley Electric Co. A fee imposed on utilities funds the rebate. </w:t>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r>
          </w:p>
          <w:p>
            <w:pPr>
              <w:pStyle w:val="NormalWeb"/>
              <w:rPr>
                <w:rFonts w:ascii="Verdana" w:hAnsi="Verdana" w:cs="Verdana"/>
                <w:sz w:val="20"/>
                <w:szCs w:val="20"/>
              </w:rPr>
            </w:pPr>
            <w:r>
              <w:rPr>
                <w:rFonts w:cs="Verdana" w:ascii="Verdana" w:hAnsi="Verdana"/>
                <w:sz w:val="20"/>
                <w:szCs w:val="20"/>
              </w:rPr>
              <w:t xml:space="preserve">. </w:t>
            </w:r>
          </w:p>
          <w:p>
            <w:pPr>
              <w:pStyle w:val="NormalWeb"/>
              <w:rPr>
                <w:rFonts w:ascii="Verdana" w:hAnsi="Verdana" w:cs="Verdana"/>
                <w:b/>
                <w:bCs/>
                <w:sz w:val="20"/>
                <w:szCs w:val="20"/>
              </w:rPr>
            </w:pPr>
            <w:r>
              <w:rPr>
                <w:rFonts w:cs="Verdana" w:ascii="Verdana" w:hAnsi="Verdana"/>
                <w:b/>
                <w:bCs/>
                <w:sz w:val="20"/>
                <w:szCs w:val="20"/>
              </w:rPr>
            </w:r>
          </w:p>
          <w:p>
            <w:pPr>
              <w:pStyle w:val="NormalWeb"/>
              <w:rPr/>
            </w:pPr>
            <w:r>
              <w:rPr>
                <w:rFonts w:cs="Verdana" w:ascii="Verdana" w:hAnsi="Verdana"/>
                <w:b/>
                <w:bCs/>
                <w:sz w:val="20"/>
                <w:szCs w:val="20"/>
              </w:rPr>
              <w:t>Sacramento's Solar Lead</w:t>
            </w:r>
            <w:r>
              <w:rPr>
                <w:rFonts w:cs="Verdana" w:ascii="Verdana" w:hAnsi="Verdana"/>
                <w:sz w:val="20"/>
                <w:szCs w:val="20"/>
              </w:rPr>
              <w:br/>
              <w:t xml:space="preserve">While solar generates less power than wind, it also presents fewer physical constraints, at least in sunny California. The SMUD program, initiated in 1993, requires only available south-facing roof space — an area unlikely to experience much in the way of competing uses. Already, SMUD has about 8 MW of customer-owned solar power, with another 7 MW expected to come on line by 2003. </w:t>
            </w:r>
          </w:p>
          <w:p>
            <w:pPr>
              <w:pStyle w:val="NormalWeb"/>
              <w:rPr>
                <w:rFonts w:ascii="Verdana" w:hAnsi="Verdana" w:cs="Verdana"/>
                <w:sz w:val="20"/>
                <w:szCs w:val="20"/>
              </w:rPr>
            </w:pPr>
            <w:r>
              <w:rPr>
                <w:rFonts w:cs="Verdana" w:ascii="Verdana" w:hAnsi="Verdana"/>
                <w:sz w:val="20"/>
                <w:szCs w:val="20"/>
              </w:rPr>
              <w:drawing>
                <wp:anchor behindDoc="0" distT="0" distB="0" distL="0" distR="0" simplePos="0" locked="0" layoutInCell="1" allowOverlap="1" relativeHeight="4">
                  <wp:simplePos x="0" y="0"/>
                  <wp:positionH relativeFrom="column">
                    <wp:posOffset>-1515745</wp:posOffset>
                  </wp:positionH>
                  <wp:positionV relativeFrom="line">
                    <wp:posOffset>-3309620</wp:posOffset>
                  </wp:positionV>
                  <wp:extent cx="1943100" cy="790575"/>
                  <wp:effectExtent l="0" t="0" r="0" b="0"/>
                  <wp:wrapSquare wrapText="bothSides"/>
                  <wp:docPr id="2" name="pi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 descr="" title=""/>
                          <pic:cNvPicPr>
                            <a:picLocks noChangeAspect="1" noChangeArrowheads="1"/>
                          </pic:cNvPicPr>
                        </pic:nvPicPr>
                        <pic:blipFill>
                          <a:blip r:embed="rId4"/>
                          <a:srcRect l="-19" t="-46" r="-19" b="-46"/>
                          <a:stretch>
                            <a:fillRect/>
                          </a:stretch>
                        </pic:blipFill>
                        <pic:spPr bwMode="auto">
                          <a:xfrm>
                            <a:off x="0" y="0"/>
                            <a:ext cx="1943100" cy="790575"/>
                          </a:xfrm>
                          <a:prstGeom prst="rect">
                            <a:avLst/>
                          </a:prstGeom>
                          <a:noFill/>
                        </pic:spPr>
                      </pic:pic>
                    </a:graphicData>
                  </a:graphic>
                </wp:anchor>
              </w:drawing>
              <w:t xml:space="preserve">SMUD contributes about half of the cost of purchasing and installing the residential solar units. The utility is also experimenting with providing financing for the remainder of the cost. </w:t>
            </w:r>
          </w:p>
          <w:p>
            <w:pPr>
              <w:pStyle w:val="NormalWeb"/>
              <w:rPr>
                <w:rFonts w:ascii="Verdana" w:hAnsi="Verdana" w:cs="Verdana"/>
                <w:sz w:val="20"/>
                <w:szCs w:val="20"/>
              </w:rPr>
            </w:pPr>
            <w:r>
              <w:rPr>
                <w:rFonts w:cs="Verdana" w:ascii="Verdana" w:hAnsi="Verdana"/>
                <w:sz w:val="20"/>
                <w:szCs w:val="20"/>
              </w:rPr>
              <w:t xml:space="preserve">According to SMUD, the program meets legislative requirements while also supporting customers who want this type of system. In this way, the company shaves peak loads while investing in customer equity and goodwill. Currently, the utility can serve about 2,300 households with its solar units. When the solar systems produce more energy than the customer can use at a given time, the excess is sold back to SMUD at retail value. </w:t>
            </w:r>
          </w:p>
          <w:p>
            <w:pPr>
              <w:pStyle w:val="NormalWeb"/>
              <w:rPr>
                <w:rFonts w:ascii="Verdana" w:hAnsi="Verdana" w:cs="Verdana"/>
                <w:sz w:val="20"/>
                <w:szCs w:val="20"/>
              </w:rPr>
            </w:pPr>
            <w:r>
              <w:rPr>
                <w:rFonts w:cs="Verdana" w:ascii="Verdana" w:hAnsi="Verdana"/>
                <w:sz w:val="20"/>
                <w:szCs w:val="20"/>
              </w:rPr>
              <w:t xml:space="preserve">Despite the growing interest in grid-tie applications, nobody, not even SMUD, believes that customer-owned solar power will make up for projected power deficits. To meet growing demand, SMUD is negotiating with two private companies to build a natural gas-fired power plant at Rancho Seco, and is working to get a new transmission line built connecting SMUD to a new power plant under construction in Sutter County. </w:t>
            </w:r>
          </w:p>
          <w:p>
            <w:pPr>
              <w:pStyle w:val="NormalWeb"/>
              <w:rPr>
                <w:rFonts w:ascii="Verdana" w:hAnsi="Verdana" w:cs="Verdana"/>
                <w:sz w:val="20"/>
                <w:szCs w:val="20"/>
              </w:rPr>
            </w:pPr>
            <w:r>
              <w:rPr>
                <w:rFonts w:cs="Verdana" w:ascii="Verdana" w:hAnsi="Verdana"/>
                <w:sz w:val="20"/>
                <w:szCs w:val="20"/>
              </w:rPr>
              <w:t xml:space="preserve">Thus, even for utilities investing in the residential grid-tie market, the centralized electric power delivery model remains the means to meet growing demand. The reason for grid-tie investment, therefore, lies outside of this traditional business model and reflects future trends. </w:t>
            </w:r>
          </w:p>
          <w:p>
            <w:pPr>
              <w:pStyle w:val="NormalWeb"/>
              <w:rPr>
                <w:rFonts w:ascii="Verdana" w:hAnsi="Verdana" w:cs="Verdana"/>
                <w:sz w:val="20"/>
                <w:szCs w:val="20"/>
              </w:rPr>
            </w:pPr>
            <w:r>
              <w:rPr>
                <w:rFonts w:cs="Verdana" w:ascii="Verdana" w:hAnsi="Verdana"/>
                <w:sz w:val="20"/>
                <w:szCs w:val="20"/>
              </w:rPr>
              <w:t xml:space="preserve">What has been considered a radical, unprofitable generation alternative may prove its value as a customer equity-building strategy for energy companies seeking to define themselves in changing circumstances. In this way, grid-tie applications may have a small but growing role to play. </w:t>
            </w:r>
          </w:p>
          <w:p>
            <w:pPr>
              <w:pStyle w:val="NormalWeb"/>
              <w:jc w:val="center"/>
              <w:rPr/>
            </w:pPr>
            <w:hyperlink r:id="rId5">
              <w:r>
                <w:rPr>
                  <w:rStyle w:val="Hyperlink"/>
                  <w:rFonts w:cs="Verdana" w:ascii="Verdana" w:hAnsi="Verdana"/>
                  <w:b/>
                  <w:bCs/>
                  <w:sz w:val="20"/>
                  <w:szCs w:val="20"/>
                </w:rPr>
                <w:t>Previous Analysis</w:t>
              </w:r>
              <w:r>
                <w:rPr>
                  <w:rStyle w:val="Hyperlink"/>
                  <w:rFonts w:cs="Verdana" w:ascii="Verdana" w:hAnsi="Verdana"/>
                  <w:sz w:val="20"/>
                  <w:szCs w:val="20"/>
                </w:rPr>
                <w:t xml:space="preserve"> </w:t>
              </w:r>
            </w:hyperlink>
          </w:p>
          <w:tbl>
            <w:tblPr>
              <w:tblW w:w="11367" w:type="dxa"/>
              <w:jc w:val="start"/>
              <w:tblInd w:w="8" w:type="dxa"/>
              <w:tblLayout w:type="fixed"/>
              <w:tblCellMar>
                <w:top w:w="15" w:type="dxa"/>
                <w:start w:w="15" w:type="dxa"/>
                <w:bottom w:w="15" w:type="dxa"/>
                <w:end w:w="15" w:type="dxa"/>
              </w:tblCellMar>
            </w:tblPr>
            <w:tblGrid>
              <w:gridCol w:w="11367"/>
            </w:tblGrid>
            <w:tr>
              <w:trPr/>
              <w:tc>
                <w:tcPr>
                  <w:tcW w:w="11367" w:type="dxa"/>
                  <w:tcBorders/>
                  <w:vAlign w:val="center"/>
                </w:tcPr>
                <w:p>
                  <w:pPr>
                    <w:pStyle w:val="Normal"/>
                    <w:jc w:val="center"/>
                    <w:rPr>
                      <w:rFonts w:ascii="Arial Unicode MS" w:hAnsi="Arial Unicode MS" w:eastAsia="Arial Unicode MS" w:cs="Arial Unicode MS"/>
                    </w:rPr>
                  </w:pPr>
                  <w:r>
                    <w:fldChar w:fldCharType="begin"/>
                  </w:r>
                  <w:r>
                    <w:rPr>
                      <w:rStyle w:val="Hyperlink"/>
                      <w:sz w:val="20"/>
                      <w:b/>
                      <w:szCs w:val="20"/>
                      <w:bCs/>
                      <w:rFonts w:cs="Verdana" w:ascii="Verdana" w:hAnsi="Verdana"/>
                    </w:rPr>
                    <w:instrText xml:space="preserve"> HYPERLINK "http://public.resdata.com/ei_modules/current/main.asp" \l "top"</w:instrText>
                  </w:r>
                  <w:r>
                    <w:rPr>
                      <w:rStyle w:val="Hyperlink"/>
                      <w:sz w:val="20"/>
                      <w:b/>
                      <w:szCs w:val="20"/>
                      <w:bCs/>
                      <w:rFonts w:cs="Verdana" w:ascii="Verdana" w:hAnsi="Verdana"/>
                    </w:rPr>
                    <w:fldChar w:fldCharType="separate"/>
                  </w:r>
                  <w:r>
                    <w:rPr>
                      <w:rStyle w:val="Hyperlink"/>
                      <w:rFonts w:cs="Verdana" w:ascii="Verdana" w:hAnsi="Verdana"/>
                      <w:b/>
                      <w:bCs/>
                      <w:sz w:val="20"/>
                      <w:szCs w:val="20"/>
                    </w:rPr>
                    <w:t>Beginning of Story</w:t>
                  </w:r>
                  <w:r>
                    <w:rPr>
                      <w:rStyle w:val="Hyperlink"/>
                      <w:sz w:val="20"/>
                      <w:b/>
                      <w:szCs w:val="20"/>
                      <w:bCs/>
                      <w:rFonts w:cs="Verdana" w:ascii="Verdana" w:hAnsi="Verdana"/>
                    </w:rPr>
                    <w:fldChar w:fldCharType="end"/>
                  </w:r>
                  <w:r>
                    <w:rPr>
                      <w:rFonts w:cs="Verdana" w:ascii="Verdana" w:hAnsi="Verdana"/>
                      <w:sz w:val="20"/>
                      <w:szCs w:val="20"/>
                    </w:rPr>
                    <w:t xml:space="preserve"> </w:t>
                    <w:br/>
                    <w:br/>
                  </w:r>
                  <w:r>
                    <w:rPr>
                      <w:rFonts w:cs="Verdana" w:ascii="Verdana" w:hAnsi="Verdana"/>
                      <w:b/>
                      <w:bCs/>
                      <w:sz w:val="20"/>
                      <w:szCs w:val="20"/>
                    </w:rPr>
                    <w:t xml:space="preserve">Please </w:t>
                  </w:r>
                  <w:hyperlink r:id="rId6">
                    <w:r>
                      <w:rPr>
                        <w:rStyle w:val="Hyperlink"/>
                        <w:rFonts w:cs="Verdana" w:ascii="Verdana" w:hAnsi="Verdana"/>
                        <w:b/>
                        <w:bCs/>
                        <w:sz w:val="20"/>
                        <w:szCs w:val="20"/>
                      </w:rPr>
                      <w:t>let us know</w:t>
                    </w:r>
                  </w:hyperlink>
                  <w:r>
                    <w:rPr>
                      <w:rFonts w:cs="Verdana" w:ascii="Verdana" w:hAnsi="Verdana"/>
                      <w:b/>
                      <w:bCs/>
                      <w:sz w:val="20"/>
                      <w:szCs w:val="20"/>
                    </w:rPr>
                    <w:t xml:space="preserve"> what you think of Energy Insight. Your feedback is always appreciated.</w:t>
                  </w:r>
                  <w:r>
                    <w:rPr>
                      <w:rFonts w:cs="Verdana" w:ascii="Verdana" w:hAnsi="Verdana"/>
                      <w:sz w:val="20"/>
                      <w:szCs w:val="20"/>
                    </w:rPr>
                    <w:t xml:space="preserve"> </w:t>
                  </w:r>
                </w:p>
              </w:tc>
            </w:tr>
          </w:tbl>
          <w:p>
            <w:pPr>
              <w:pStyle w:val="Normal"/>
              <w:spacing w:before="0" w:after="240"/>
              <w:rPr/>
            </w:pPr>
            <w:r>
              <w:rPr/>
            </w:r>
          </w:p>
          <w:p>
            <w:pPr>
              <w:pStyle w:val="NormalWeb"/>
              <w:spacing w:before="280" w:after="0"/>
              <w:jc w:val="center"/>
              <w:rPr/>
            </w:pPr>
            <w:hyperlink r:id="rId7">
              <w:r>
                <w:rPr>
                  <w:rStyle w:val="Hyperlink"/>
                  <w:rFonts w:cs="Verdana" w:ascii="Verdana" w:hAnsi="Verdana"/>
                  <w:sz w:val="15"/>
                  <w:szCs w:val="15"/>
                </w:rPr>
                <w:t>Copyright © 2000 - Financial Times Energy. All Rights Reserved</w:t>
              </w:r>
            </w:hyperlink>
            <w:r>
              <w:rPr>
                <w:rFonts w:cs="Verdana" w:ascii="Verdana" w:hAnsi="Verdana"/>
                <w:sz w:val="15"/>
                <w:szCs w:val="15"/>
              </w:rPr>
              <w:t xml:space="preserve"> </w:t>
            </w:r>
          </w:p>
        </w:tc>
      </w:tr>
    </w:tbl>
    <w:p>
      <w:pPr>
        <w:pStyle w:val="NormalWeb"/>
        <w:spacing w:before="280" w:after="280"/>
        <w:rPr>
          <w:rFonts w:ascii="Verdana" w:hAnsi="Verdana" w:cs="Verdana"/>
          <w:sz w:val="20"/>
          <w:szCs w:val="20"/>
        </w:rPr>
      </w:pPr>
      <w:r/>
      <w:r>
        <w:rPr>
          <w:rFonts w:cs="Verdana" w:ascii="Verdana" w:hAnsi="Verdana"/>
          <w:sz w:val="20"/>
          <w:szCs w:val="20"/>
        </w:rPr>
        <w:t xml:space="preserve">"Each home or small business running on wind energy helps reduce overall electricity demand and the need for new power plants and transmission lines," said AWEA Executive Director Randall Swisher. </w:t>
      </w:r>
    </w:p>
    <w:p>
      <w:pPr>
        <w:pStyle w:val="NormalWeb"/>
        <w:rPr>
          <w:rFonts w:ascii="Verdana" w:hAnsi="Verdana" w:cs="Verdana"/>
          <w:sz w:val="20"/>
          <w:szCs w:val="20"/>
        </w:rPr>
      </w:pPr>
      <w:r>
        <w:rPr>
          <w:rFonts w:cs="Verdana" w:ascii="Verdana" w:hAnsi="Verdana"/>
          <w:sz w:val="20"/>
          <w:szCs w:val="20"/>
        </w:rPr>
        <w:t xml:space="preserve">But there are constraints with small wind power. The residential property must be at least a half-acre to effectively harness the wind, a situation that rules out densely populated areas. Also, local county ordinances often prohibit the tall towers required for wind power. "Getting a variance is a costly process which discourages many potential customers in L.A. County," said Debby Greer, of Specialized Turbine Services, a wind energy service company and dealer based in Tehachapi, CA. </w:t>
      </w:r>
    </w:p>
    <w:p>
      <w:pPr>
        <w:pStyle w:val="NormalWeb"/>
        <w:rPr/>
      </w:pPr>
      <w:r>
        <w:rPr>
          <w:rFonts w:cs="Verdana" w:ascii="Verdana" w:hAnsi="Verdana"/>
          <w:b/>
          <w:bCs/>
          <w:sz w:val="20"/>
          <w:szCs w:val="20"/>
        </w:rPr>
        <w:t>Sacramento's Solar Lead</w:t>
      </w:r>
      <w:r>
        <w:rPr>
          <w:rFonts w:cs="Verdana" w:ascii="Verdana" w:hAnsi="Verdana"/>
          <w:sz w:val="20"/>
          <w:szCs w:val="20"/>
        </w:rPr>
        <w:br/>
        <w:t xml:space="preserve">While solar generates less power than wind, it also presents fewer physical constraints, at least in sunny California. The SMUD program, initiated in 1993, requires only available south-facing roof space — an area unlikely to experience much in the way of competing uses. Already, SMUD has about 8 MW of customer-owned solar power, with another 7 MW expected to come on line by 2003. </w:t>
      </w:r>
    </w:p>
    <w:p>
      <w:pPr>
        <w:pStyle w:val="NormalWeb"/>
        <w:rPr>
          <w:rFonts w:ascii="Verdana" w:hAnsi="Verdana" w:cs="Verdana"/>
          <w:sz w:val="20"/>
          <w:szCs w:val="20"/>
        </w:rPr>
      </w:pPr>
      <w:r>
        <w:rPr>
          <w:rFonts w:cs="Verdana" w:ascii="Verdana" w:hAnsi="Verdana"/>
          <w:sz w:val="20"/>
          <w:szCs w:val="20"/>
        </w:rPr>
        <w:t xml:space="preserve">SMUD contributes about half of the cost of purchasing and installing the residential solar units. The utility is also experimenting with providing financing for the remainder of the cost. </w:t>
      </w:r>
    </w:p>
    <w:p>
      <w:pPr>
        <w:pStyle w:val="NormalWeb"/>
        <w:rPr>
          <w:rFonts w:ascii="Verdana" w:hAnsi="Verdana" w:cs="Verdana"/>
          <w:sz w:val="20"/>
          <w:szCs w:val="20"/>
        </w:rPr>
      </w:pPr>
      <w:r>
        <w:rPr>
          <w:rFonts w:cs="Verdana" w:ascii="Verdana" w:hAnsi="Verdana"/>
          <w:sz w:val="20"/>
          <w:szCs w:val="20"/>
        </w:rPr>
        <w:t xml:space="preserve">According to SMUD, the program meets legislative requirements while also supporting customers who want this type of system. In this way, the company shaves peak loads while investing in customer equity and goodwill. Currently, the utility can serve about 2,300 households with its solar units. When the solar systems produce more energy than the customer can use at a given time, the excess is sold back to SMUD at retail value. </w:t>
      </w:r>
    </w:p>
    <w:p>
      <w:pPr>
        <w:pStyle w:val="NormalWeb"/>
        <w:rPr>
          <w:rFonts w:ascii="Verdana" w:hAnsi="Verdana" w:cs="Verdana"/>
          <w:sz w:val="20"/>
          <w:szCs w:val="20"/>
        </w:rPr>
      </w:pPr>
      <w:r>
        <w:rPr>
          <w:rFonts w:cs="Verdana" w:ascii="Verdana" w:hAnsi="Verdana"/>
          <w:sz w:val="20"/>
          <w:szCs w:val="20"/>
        </w:rPr>
        <w:t xml:space="preserve">Despite the growing interest in grid-tie applications, nobody, not even SMUD, believes that customer-owned solar power will make up for projected power deficits. To meet growing demand, SMUD is negotiating with two private companies to build a natural gas-fired power plant at Rancho Seco, and is working to get a new transmission line built connecting SMUD to a new power plant under construction in Sutter County. </w:t>
      </w:r>
    </w:p>
    <w:p>
      <w:pPr>
        <w:pStyle w:val="NormalWeb"/>
        <w:rPr>
          <w:rFonts w:ascii="Verdana" w:hAnsi="Verdana" w:cs="Verdana"/>
          <w:sz w:val="20"/>
          <w:szCs w:val="20"/>
        </w:rPr>
      </w:pPr>
      <w:r>
        <w:rPr>
          <w:rFonts w:cs="Verdana" w:ascii="Verdana" w:hAnsi="Verdana"/>
          <w:sz w:val="20"/>
          <w:szCs w:val="20"/>
        </w:rPr>
        <w:t xml:space="preserve">Thus, even for utilities investing in the residential grid-tie market, the centralized electric power delivery model remains the means to meet growing demand. The reason for grid-tie investment, therefore, lies outside of this traditional business model and reflects future trends. </w:t>
      </w:r>
    </w:p>
    <w:p>
      <w:pPr>
        <w:pStyle w:val="NormalWeb"/>
        <w:rPr>
          <w:rFonts w:ascii="Verdana" w:hAnsi="Verdana" w:cs="Verdana"/>
          <w:sz w:val="20"/>
          <w:szCs w:val="20"/>
        </w:rPr>
      </w:pPr>
      <w:r>
        <w:rPr>
          <w:rFonts w:cs="Verdana" w:ascii="Verdana" w:hAnsi="Verdana"/>
          <w:sz w:val="20"/>
          <w:szCs w:val="20"/>
        </w:rPr>
        <w:t>What has been considered a radical, unprofitable generation alternative may prove its value as a customer equity-building strategy for energy companies seeking to define themselves in changing circumstances. In this way, grid-tie applications may have a small but growing role to play.</w:t>
      </w:r>
    </w:p>
    <w:p>
      <w:pPr>
        <w:pStyle w:val="Normal"/>
        <w:rPr>
          <w:rFonts w:ascii="Verdana" w:hAnsi="Verdana" w:cs="Verdana"/>
          <w:sz w:val="20"/>
          <w:szCs w:val="20"/>
        </w:rPr>
      </w:pPr>
      <w:r>
        <w:rPr>
          <w:rFonts w:cs="Verdana" w:ascii="Verdana" w:hAnsi="Verdana"/>
          <w:sz w:val="20"/>
          <w:szCs w:val="20"/>
        </w:rPr>
      </w:r>
    </w:p>
    <w:sectPr>
      <w:type w:val="nextPage"/>
      <w:pgSz w:w="12240" w:h="15840"/>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mcfall@ftenergy.com" TargetMode="External"/><Relationship Id="rId4" Type="http://schemas.openxmlformats.org/officeDocument/2006/relationships/image" Target="media/image2.png"/><Relationship Id="rId5" Type="http://schemas.openxmlformats.org/officeDocument/2006/relationships/hyperlink" Target="http://public.resdata.com/archive/2000/11/06/main.asp" TargetMode="External"/><Relationship Id="rId6" Type="http://schemas.openxmlformats.org/officeDocument/2006/relationships/hyperlink" Target="http://public.resdata.com/ei_modules/Essentials/feedback.asp" TargetMode="External"/><Relationship Id="rId7" Type="http://schemas.openxmlformats.org/officeDocument/2006/relationships/hyperlink" Target="http://public.resdata.com/ei_modules/Essentials/copyright.asp"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2000-11-07T12:28:00Z</dcterms:created>
  <dc:creator>mbuster</dc:creator>
  <dc:description/>
  <dc:language>en-CA</dc:language>
  <cp:lastModifiedBy>mbuster</cp:lastModifiedBy>
  <dcterms:modified xsi:type="dcterms:W3CDTF">2000-11-07T12:45:00Z</dcterms:modified>
  <cp:revision>1</cp:revision>
  <dc:subject/>
  <dc:title>Tuesday, November 7, 2000 </dc:title>
</cp:coreProperties>
</file>