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Fonts w:eastAsia="Arial"/>
          <w:sz w:val="20"/>
        </w:rPr>
        <w:t xml:space="preserve">      </w:t>
      </w:r>
      <w:r>
        <w:rPr>
          <w:sz w:val="20"/>
        </w:rPr>
        <w:drawing>
          <wp:inline distT="0" distB="0" distL="0" distR="0">
            <wp:extent cx="1096010" cy="11296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96010" cy="112966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5860"/>
        <w:gridCol w:w="2070"/>
        <w:gridCol w:w="2070"/>
      </w:tblGrid>
      <w:tr>
        <w:trPr>
          <w:trHeight w:val="300"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To:</w:t>
            </w:r>
          </w:p>
        </w:tc>
        <w:tc>
          <w:tcPr>
            <w:tcW w:w="5860" w:type="dxa"/>
            <w:tcBorders/>
          </w:tcPr>
          <w:p>
            <w:pPr>
              <w:pStyle w:val="To"/>
              <w:widowControl/>
              <w:rPr>
                <w:rFonts w:ascii="Arial Narrow" w:hAnsi="Arial Narrow" w:cs="Arial Narrow"/>
              </w:rPr>
            </w:pPr>
            <w:r>
              <w:rPr>
                <w:rFonts w:cs="Arial Narrow" w:ascii="Arial Narrow" w:hAnsi="Arial Narrow"/>
              </w:rPr>
              <w:t>Gary Hickerson</w:t>
            </w:r>
          </w:p>
          <w:p>
            <w:pPr>
              <w:pStyle w:val="To"/>
              <w:widowControl/>
              <w:rPr>
                <w:rFonts w:ascii="Arial Narrow" w:hAnsi="Arial Narrow" w:cs="Arial Narrow"/>
              </w:rPr>
            </w:pPr>
            <w:r>
              <w:rPr>
                <w:rFonts w:cs="Arial Narrow" w:ascii="Arial Narrow" w:hAnsi="Arial Narrow"/>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216" w:hRule="exact"/>
        </w:trPr>
        <w:tc>
          <w:tcPr>
            <w:tcW w:w="708" w:type="dxa"/>
            <w:tcBorders/>
          </w:tcPr>
          <w:p>
            <w:pPr>
              <w:pStyle w:val="Normal"/>
              <w:widowControl/>
              <w:snapToGrid w:val="false"/>
              <w:ind w:start="-180" w:end="0"/>
              <w:jc w:val="end"/>
              <w:rPr>
                <w:rFonts w:ascii="Arial Narrow" w:hAnsi="Arial Narrow" w:cs="Arial Narrow"/>
                <w:sz w:val="20"/>
              </w:rPr>
            </w:pPr>
            <w:r>
              <w:rPr>
                <w:rFonts w:cs="Arial Narrow" w:ascii="Arial Narrow" w:hAnsi="Arial Narrow"/>
                <w:sz w:val="20"/>
              </w:rPr>
            </w:r>
          </w:p>
        </w:tc>
        <w:tc>
          <w:tcPr>
            <w:tcW w:w="5860" w:type="dxa"/>
            <w:tcBorders/>
          </w:tcPr>
          <w:p>
            <w:pPr>
              <w:pStyle w:val="Normal"/>
              <w:widowControl/>
              <w:snapToGrid w:val="false"/>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300"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From:</w:t>
            </w:r>
          </w:p>
        </w:tc>
        <w:tc>
          <w:tcPr>
            <w:tcW w:w="5860" w:type="dxa"/>
            <w:tcBorders/>
          </w:tcPr>
          <w:p>
            <w:pPr>
              <w:pStyle w:val="From"/>
              <w:widowControl/>
              <w:rPr>
                <w:rFonts w:ascii="Arial Narrow" w:hAnsi="Arial Narrow" w:cs="Arial Narrow"/>
              </w:rPr>
            </w:pPr>
            <w:r>
              <w:rPr>
                <w:rFonts w:cs="Arial Narrow" w:ascii="Arial Narrow" w:hAnsi="Arial Narrow"/>
              </w:rPr>
              <w:t>Shari Stack, Alan Aronowitz</w:t>
            </w:r>
          </w:p>
          <w:p>
            <w:pPr>
              <w:pStyle w:val="From"/>
              <w:widowControl/>
              <w:rPr>
                <w:rFonts w:ascii="Arial Narrow" w:hAnsi="Arial Narrow" w:cs="Arial Narrow"/>
              </w:rPr>
            </w:pPr>
            <w:r>
              <w:rPr>
                <w:rFonts w:cs="Arial Narrow" w:ascii="Arial Narrow" w:hAnsi="Arial Narrow"/>
              </w:rPr>
            </w:r>
          </w:p>
          <w:p>
            <w:pPr>
              <w:pStyle w:val="From"/>
              <w:widowControl/>
              <w:rPr>
                <w:rFonts w:ascii="Arial Narrow" w:hAnsi="Arial Narrow" w:cs="Arial Narrow"/>
              </w:rPr>
            </w:pPr>
            <w:r>
              <w:rPr>
                <w:rFonts w:cs="Arial Narrow" w:ascii="Arial Narrow" w:hAnsi="Arial Narrow"/>
              </w:rPr>
            </w:r>
          </w:p>
        </w:tc>
        <w:tc>
          <w:tcPr>
            <w:tcW w:w="2070" w:type="dxa"/>
            <w:tcBorders/>
          </w:tcPr>
          <w:p>
            <w:pPr>
              <w:pStyle w:val="Normal"/>
              <w:widowControl/>
              <w:ind w:start="-558" w:end="0"/>
              <w:jc w:val="end"/>
              <w:rPr>
                <w:rFonts w:ascii="Arial Narrow" w:hAnsi="Arial Narrow" w:cs="Arial Narrow"/>
                <w:sz w:val="20"/>
              </w:rPr>
            </w:pPr>
            <w:r>
              <w:rPr>
                <w:rFonts w:cs="Arial Narrow" w:ascii="Arial Narrow" w:hAnsi="Arial Narrow"/>
                <w:sz w:val="20"/>
              </w:rPr>
              <w:t>Department:</w:t>
            </w:r>
          </w:p>
        </w:tc>
        <w:tc>
          <w:tcPr>
            <w:tcW w:w="2070" w:type="dxa"/>
            <w:tcBorders/>
          </w:tcPr>
          <w:p>
            <w:pPr>
              <w:pStyle w:val="Department"/>
              <w:widowControl/>
              <w:rPr>
                <w:rFonts w:ascii="Arial Narrow" w:hAnsi="Arial Narrow" w:cs="Arial Narrow"/>
              </w:rPr>
            </w:pPr>
            <w:bookmarkStart w:id="0" w:name="From"/>
            <w:bookmarkEnd w:id="0"/>
            <w:r>
              <w:rPr>
                <w:rFonts w:cs="Arial Narrow" w:ascii="Arial Narrow" w:hAnsi="Arial Narrow"/>
              </w:rPr>
              <w:t>Legal</w:t>
            </w:r>
          </w:p>
        </w:tc>
      </w:tr>
      <w:tr>
        <w:trPr>
          <w:trHeight w:val="216" w:hRule="exact"/>
        </w:trPr>
        <w:tc>
          <w:tcPr>
            <w:tcW w:w="708" w:type="dxa"/>
            <w:tcBorders/>
          </w:tcPr>
          <w:p>
            <w:pPr>
              <w:pStyle w:val="Normal"/>
              <w:widowControl/>
              <w:ind w:start="-180" w:end="0"/>
              <w:jc w:val="end"/>
              <w:rPr>
                <w:rFonts w:ascii="Arial Narrow" w:hAnsi="Arial Narrow" w:cs="Arial Narrow"/>
                <w:sz w:val="20"/>
              </w:rPr>
            </w:pPr>
            <w:r>
              <w:rPr>
                <w:rFonts w:cs="Arial Narrow" w:ascii="Arial Narrow" w:hAnsi="Arial Narrow"/>
                <w:sz w:val="20"/>
              </w:rPr>
              <w:t xml:space="preserve">CC: </w:t>
            </w:r>
          </w:p>
        </w:tc>
        <w:tc>
          <w:tcPr>
            <w:tcW w:w="5860" w:type="dxa"/>
            <w:tcBorders/>
          </w:tcPr>
          <w:p>
            <w:pPr>
              <w:pStyle w:val="Subject"/>
              <w:widowControl/>
              <w:tabs>
                <w:tab w:val="left" w:pos="540" w:leader="none"/>
              </w:tabs>
              <w:rPr>
                <w:rFonts w:ascii="Arial Narrow" w:hAnsi="Arial Narrow" w:cs="Arial Narrow"/>
              </w:rPr>
            </w:pPr>
            <w:r>
              <w:rPr>
                <w:rFonts w:cs="Arial Narrow" w:ascii="Arial Narrow" w:hAnsi="Arial Narrow"/>
              </w:rPr>
              <w:t xml:space="preserve">Paul Quilkey, David Minns </w:t>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216" w:hRule="exact"/>
        </w:trPr>
        <w:tc>
          <w:tcPr>
            <w:tcW w:w="708" w:type="dxa"/>
            <w:tcBorders/>
          </w:tcPr>
          <w:p>
            <w:pPr>
              <w:pStyle w:val="Normal"/>
              <w:widowControl/>
              <w:snapToGrid w:val="false"/>
              <w:ind w:start="-180" w:end="0"/>
              <w:jc w:val="end"/>
              <w:rPr>
                <w:rFonts w:ascii="Arial Narrow" w:hAnsi="Arial Narrow" w:cs="Arial Narrow"/>
                <w:sz w:val="20"/>
              </w:rPr>
            </w:pPr>
            <w:r>
              <w:rPr>
                <w:rFonts w:cs="Arial Narrow" w:ascii="Arial Narrow" w:hAnsi="Arial Narrow"/>
                <w:sz w:val="20"/>
              </w:rPr>
            </w:r>
          </w:p>
        </w:tc>
        <w:tc>
          <w:tcPr>
            <w:tcW w:w="5860" w:type="dxa"/>
            <w:tcBorders/>
          </w:tcPr>
          <w:p>
            <w:pPr>
              <w:pStyle w:val="Subject"/>
              <w:widowControl/>
              <w:tabs>
                <w:tab w:val="left" w:pos="540" w:leader="none"/>
              </w:tabs>
              <w:snapToGrid w:val="false"/>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ind w:start="-180" w:end="0"/>
              <w:rPr>
                <w:rFonts w:ascii="Arial Narrow" w:hAnsi="Arial Narrow" w:cs="Arial Narrow"/>
                <w:sz w:val="20"/>
              </w:rPr>
            </w:pPr>
            <w:r>
              <w:rPr>
                <w:rFonts w:cs="Arial Narrow" w:ascii="Arial Narrow" w:hAnsi="Arial Narrow"/>
                <w:sz w:val="20"/>
              </w:rPr>
            </w:r>
          </w:p>
        </w:tc>
        <w:tc>
          <w:tcPr>
            <w:tcW w:w="2070" w:type="dxa"/>
            <w:tcBorders/>
          </w:tcPr>
          <w:p>
            <w:pPr>
              <w:pStyle w:val="Normal"/>
              <w:widowControl/>
              <w:snapToGrid w:val="false"/>
              <w:rPr>
                <w:rFonts w:ascii="Arial Narrow" w:hAnsi="Arial Narrow" w:cs="Arial Narrow"/>
                <w:sz w:val="20"/>
              </w:rPr>
            </w:pPr>
            <w:r>
              <w:rPr>
                <w:rFonts w:cs="Arial Narrow" w:ascii="Arial Narrow" w:hAnsi="Arial Narrow"/>
                <w:sz w:val="20"/>
              </w:rPr>
            </w:r>
          </w:p>
        </w:tc>
      </w:tr>
      <w:tr>
        <w:trPr>
          <w:trHeight w:val="600" w:hRule="exact"/>
        </w:trPr>
        <w:tc>
          <w:tcPr>
            <w:tcW w:w="708" w:type="dxa"/>
            <w:tcBorders>
              <w:bottom w:val="single" w:sz="12" w:space="0" w:color="000000"/>
            </w:tcBorders>
          </w:tcPr>
          <w:p>
            <w:pPr>
              <w:pStyle w:val="Normal"/>
              <w:widowControl/>
              <w:ind w:start="-180" w:end="0"/>
              <w:jc w:val="end"/>
              <w:rPr>
                <w:rFonts w:ascii="Arial Narrow" w:hAnsi="Arial Narrow" w:cs="Arial Narrow"/>
                <w:sz w:val="20"/>
              </w:rPr>
            </w:pPr>
            <w:r>
              <w:rPr>
                <w:rFonts w:cs="Arial Narrow" w:ascii="Arial Narrow" w:hAnsi="Arial Narrow"/>
                <w:sz w:val="20"/>
              </w:rPr>
              <w:t>Subject:</w:t>
            </w:r>
          </w:p>
        </w:tc>
        <w:tc>
          <w:tcPr>
            <w:tcW w:w="5860" w:type="dxa"/>
            <w:tcBorders>
              <w:bottom w:val="single" w:sz="12" w:space="0" w:color="000000"/>
            </w:tcBorders>
          </w:tcPr>
          <w:p>
            <w:pPr>
              <w:pStyle w:val="Subject"/>
              <w:widowControl/>
              <w:rPr>
                <w:rFonts w:ascii="Arial Narrow" w:hAnsi="Arial Narrow" w:cs="Arial Narrow"/>
              </w:rPr>
            </w:pPr>
            <w:r>
              <w:rPr>
                <w:rFonts w:cs="Arial Narrow" w:ascii="Arial Narrow" w:hAnsi="Arial Narrow"/>
              </w:rPr>
              <w:t xml:space="preserve">Financial Trading in Australia </w:t>
            </w:r>
          </w:p>
        </w:tc>
        <w:tc>
          <w:tcPr>
            <w:tcW w:w="2070" w:type="dxa"/>
            <w:tcBorders>
              <w:bottom w:val="single" w:sz="12" w:space="0" w:color="000000"/>
            </w:tcBorders>
          </w:tcPr>
          <w:p>
            <w:pPr>
              <w:pStyle w:val="Normal"/>
              <w:widowControl/>
              <w:ind w:start="-180" w:end="0"/>
              <w:jc w:val="end"/>
              <w:rPr>
                <w:rFonts w:ascii="Arial Narrow" w:hAnsi="Arial Narrow" w:cs="Arial Narrow"/>
                <w:sz w:val="20"/>
              </w:rPr>
            </w:pPr>
            <w:r>
              <w:rPr>
                <w:rFonts w:cs="Arial Narrow" w:ascii="Arial Narrow" w:hAnsi="Arial Narrow"/>
                <w:sz w:val="20"/>
              </w:rPr>
              <w:t>Date:</w:t>
            </w:r>
          </w:p>
        </w:tc>
        <w:tc>
          <w:tcPr>
            <w:tcW w:w="2070" w:type="dxa"/>
            <w:tcBorders>
              <w:bottom w:val="single" w:sz="12" w:space="0" w:color="000000"/>
            </w:tcBorders>
          </w:tcPr>
          <w:p>
            <w:pPr>
              <w:pStyle w:val="Date"/>
              <w:widowControl/>
              <w:rPr>
                <w:rFonts w:ascii="Arial Narrow" w:hAnsi="Arial Narrow" w:cs="Arial Narrow"/>
              </w:rPr>
            </w:pPr>
            <w:r>
              <w:rPr>
                <w:rFonts w:cs="Arial Narrow" w:ascii="Arial Narrow" w:hAnsi="Arial Narrow"/>
              </w:rPr>
              <w:t>July 29, 1999</w:t>
            </w:r>
          </w:p>
        </w:tc>
      </w:tr>
    </w:tbl>
    <w:p>
      <w:pPr>
        <w:pStyle w:val="Body"/>
        <w:widowControl/>
        <w:ind w:start="270" w:end="0"/>
        <w:rPr/>
      </w:pPr>
      <w:r>
        <w:rPr/>
      </w:r>
      <w:bookmarkStart w:id="1" w:name="StartOfMemo"/>
      <w:bookmarkStart w:id="2" w:name="StartOfMemo"/>
      <w:bookmarkEnd w:id="2"/>
    </w:p>
    <w:p>
      <w:pPr>
        <w:pStyle w:val="BodyText"/>
        <w:widowControl/>
        <w:rPr/>
      </w:pPr>
      <w:r>
        <w:rPr/>
        <w:t>The purpose of this Memo is to summarize our advice to you regarding the legal aspects of financial trading in Australia. This Memo incorporates and supercedes our prior memo of July 13, 1999.</w:t>
      </w:r>
    </w:p>
    <w:p>
      <w:pPr>
        <w:pStyle w:val="BodyText"/>
        <w:widowControl/>
        <w:rPr/>
      </w:pPr>
      <w:r>
        <w:rPr/>
      </w:r>
    </w:p>
    <w:p>
      <w:pPr>
        <w:pStyle w:val="Heading2"/>
        <w:ind w:hanging="0" w:start="0"/>
        <w:rPr>
          <w:rFonts w:ascii="Arial Narrow" w:hAnsi="Arial Narrow" w:cs="Arial Narrow"/>
        </w:rPr>
      </w:pPr>
      <w:r>
        <w:rPr>
          <w:rFonts w:cs="Arial Narrow" w:ascii="Arial Narrow" w:hAnsi="Arial Narrow"/>
        </w:rPr>
        <w:t>Background</w:t>
      </w:r>
    </w:p>
    <w:p>
      <w:pPr>
        <w:pStyle w:val="BodyText"/>
        <w:rPr/>
      </w:pPr>
      <w:r>
        <w:rPr/>
        <w:t>You asked us to investigate the possibility of setting up a trading operation in the Sydney office whereby a trader located there would enter into non-commodity hedging transactions such as the purchase/sale and repurchase of governmental and corporate debt obligations (“Bonds”) as well as futures, forwards and derivatives on Bonds, interest rates, currencies, foreign exchange and equities (“Transactions”) on behalf of wholly-owned non-resident Enron affiliates (e.g., ECT Houston). The Transactions could be cash or physically settled. The primary purpose would be to hedge the interest rate, equity, foreign exchange and currency risks of these companies whilst Enron operations in Houston and Europe are closed as well as the same risks of the Enron Australia companies.</w:t>
      </w:r>
    </w:p>
    <w:p>
      <w:pPr>
        <w:pStyle w:val="Normal"/>
        <w:rPr>
          <w:rFonts w:ascii="Arial Narrow" w:hAnsi="Arial Narrow" w:cs="Arial Narrow"/>
          <w:sz w:val="20"/>
        </w:rPr>
      </w:pPr>
      <w:r>
        <w:rPr>
          <w:rFonts w:cs="Arial Narrow" w:ascii="Arial Narrow" w:hAnsi="Arial Narrow"/>
          <w:sz w:val="20"/>
        </w:rPr>
      </w:r>
    </w:p>
    <w:p>
      <w:pPr>
        <w:pStyle w:val="BodyText"/>
        <w:widowControl/>
        <w:rPr/>
      </w:pPr>
      <w:r>
        <w:rPr/>
        <w:t xml:space="preserve">Other than the futures transactions, the counterparties to these transactions would be banks and other dealer institutions operating in Australia as well as foreign banks and dealer institutions with no presence in Australia.    </w:t>
      </w:r>
    </w:p>
    <w:p>
      <w:pPr>
        <w:pStyle w:val="BodyText"/>
        <w:widowControl/>
        <w:rPr/>
      </w:pPr>
      <w:r>
        <w:rPr/>
      </w:r>
    </w:p>
    <w:p>
      <w:pPr>
        <w:pStyle w:val="BodyText"/>
        <w:widowControl/>
        <w:rPr>
          <w:b/>
          <w:u w:val="single"/>
        </w:rPr>
      </w:pPr>
      <w:r>
        <w:rPr>
          <w:b/>
          <w:u w:val="single"/>
        </w:rPr>
        <w:t>Legal Advice</w:t>
      </w:r>
    </w:p>
    <w:p>
      <w:pPr>
        <w:pStyle w:val="BodyText"/>
        <w:widowControl/>
        <w:rPr/>
      </w:pPr>
      <w:r>
        <w:rPr/>
        <w:t xml:space="preserve">Based on the above and advice of local counsel, our advice is that there are no Australian legal or regulatory restrictions to entering into such Transactions so long as: </w:t>
      </w:r>
    </w:p>
    <w:p>
      <w:pPr>
        <w:pStyle w:val="BodyText"/>
        <w:widowControl/>
        <w:rPr/>
      </w:pPr>
      <w:r>
        <w:rPr/>
      </w:r>
    </w:p>
    <w:p>
      <w:pPr>
        <w:pStyle w:val="BodyText"/>
        <w:widowControl/>
        <w:numPr>
          <w:ilvl w:val="0"/>
          <w:numId w:val="2"/>
        </w:numPr>
        <w:rPr/>
      </w:pPr>
      <w:r>
        <w:rPr/>
        <w:t xml:space="preserve">the purpose is to </w:t>
      </w:r>
      <w:r>
        <w:rPr>
          <w:u w:val="single"/>
        </w:rPr>
        <w:t>hedge existing risks</w:t>
      </w:r>
      <w:r>
        <w:rPr/>
        <w:t xml:space="preserve"> to which the Enron entity is exposed as a result of its other business activities.</w:t>
      </w:r>
    </w:p>
    <w:p>
      <w:pPr>
        <w:pStyle w:val="BodyText"/>
        <w:widowControl/>
        <w:numPr>
          <w:ilvl w:val="0"/>
          <w:numId w:val="2"/>
        </w:numPr>
        <w:rPr/>
      </w:pPr>
      <w:r>
        <w:rPr/>
        <w:t xml:space="preserve">the Enron entity for which the hedge is being implemented transacts as </w:t>
      </w:r>
      <w:r>
        <w:rPr>
          <w:u w:val="single"/>
        </w:rPr>
        <w:t>principal</w:t>
      </w:r>
      <w:r>
        <w:rPr/>
        <w:t xml:space="preserve"> (and not as broker, agent or trustee for a non-Enron entity).</w:t>
      </w:r>
    </w:p>
    <w:p>
      <w:pPr>
        <w:pStyle w:val="BodyText"/>
        <w:widowControl/>
        <w:numPr>
          <w:ilvl w:val="0"/>
          <w:numId w:val="2"/>
        </w:numPr>
        <w:rPr/>
      </w:pPr>
      <w:r>
        <w:rPr/>
        <w:t xml:space="preserve">all futures trading must be done through a </w:t>
      </w:r>
      <w:r>
        <w:rPr>
          <w:u w:val="single"/>
        </w:rPr>
        <w:t>broker</w:t>
      </w:r>
      <w:r>
        <w:rPr/>
        <w:t xml:space="preserve">.  </w:t>
      </w:r>
    </w:p>
    <w:p>
      <w:pPr>
        <w:pStyle w:val="BodyText"/>
        <w:widowControl/>
        <w:numPr>
          <w:ilvl w:val="0"/>
          <w:numId w:val="2"/>
        </w:numPr>
        <w:rPr/>
      </w:pPr>
      <w:r>
        <w:rPr/>
        <w:t xml:space="preserve">the Transactions are </w:t>
      </w:r>
      <w:r>
        <w:rPr>
          <w:u w:val="single"/>
        </w:rPr>
        <w:t>individually tailored</w:t>
      </w:r>
      <w:r>
        <w:rPr/>
        <w:t xml:space="preserve"> to the risk profile of the Enron entity and not “standardized”.  </w:t>
      </w:r>
    </w:p>
    <w:p>
      <w:pPr>
        <w:pStyle w:val="BodyText"/>
        <w:widowControl/>
        <w:numPr>
          <w:ilvl w:val="0"/>
          <w:numId w:val="2"/>
        </w:numPr>
        <w:rPr/>
      </w:pPr>
      <w:r>
        <w:rPr/>
        <w:t xml:space="preserve">any equity derivatives transaction would be </w:t>
      </w:r>
      <w:r>
        <w:rPr>
          <w:u w:val="single"/>
        </w:rPr>
        <w:t>cash-settled</w:t>
      </w:r>
      <w:r>
        <w:rPr/>
        <w:t xml:space="preserve">. (Please note that a physically-settled equity option would be considered a “security” under Australian Corporations Law and may require us to obtain a local securities license and implement certain procedures/training. You indicated at the meeting that in light of this advice, you would not be entering into such transactions.)  </w:t>
      </w:r>
    </w:p>
    <w:p>
      <w:pPr>
        <w:pStyle w:val="BodyText"/>
        <w:widowControl/>
        <w:rPr>
          <w:rFonts w:eastAsia="Arial Narrow"/>
        </w:rPr>
      </w:pPr>
      <w:r>
        <w:rPr>
          <w:rFonts w:eastAsia="Arial Narrow"/>
        </w:rPr>
        <w:t xml:space="preserve"> </w:t>
      </w:r>
    </w:p>
    <w:p>
      <w:pPr>
        <w:pStyle w:val="BodyText"/>
        <w:widowControl/>
        <w:rPr/>
      </w:pPr>
      <w:r>
        <w:rPr/>
        <w:t xml:space="preserve">Please be advised that if Transactions are entered into other than to hedge existing risks, Enron could be considered to be conducting a “business of dealing in securities” and thus be required to obtain an Australian Securities Dealer’s License. </w:t>
      </w:r>
    </w:p>
    <w:p>
      <w:pPr>
        <w:pStyle w:val="BodyText"/>
        <w:widowControl/>
        <w:rPr>
          <w:b/>
          <w:u w:val="single"/>
        </w:rPr>
      </w:pPr>
      <w:r>
        <w:rPr>
          <w:b/>
          <w:u w:val="single"/>
        </w:rPr>
      </w:r>
    </w:p>
    <w:p>
      <w:pPr>
        <w:pStyle w:val="BodyText"/>
        <w:widowControl/>
        <w:rPr>
          <w:b/>
          <w:u w:val="single"/>
        </w:rPr>
      </w:pPr>
      <w:r>
        <w:rPr>
          <w:b/>
          <w:u w:val="single"/>
        </w:rPr>
        <w:t>Equity Securities</w:t>
      </w:r>
    </w:p>
    <w:p>
      <w:pPr>
        <w:pStyle w:val="BodyText"/>
        <w:widowControl/>
        <w:rPr/>
      </w:pPr>
      <w:r>
        <w:rPr/>
        <w:t xml:space="preserve">With regard to the purchase/sale of physically-delivered equity securities, at your instruction we will not look into these until advised otherwise.  </w:t>
      </w:r>
    </w:p>
    <w:p>
      <w:pPr>
        <w:pStyle w:val="BodyText"/>
        <w:widowControl/>
        <w:rPr/>
      </w:pPr>
      <w:r>
        <w:rPr/>
      </w:r>
    </w:p>
    <w:p>
      <w:pPr>
        <w:pStyle w:val="BodyText"/>
        <w:widowControl/>
        <w:rPr>
          <w:b/>
          <w:u w:val="single"/>
        </w:rPr>
      </w:pPr>
      <w:r>
        <w:rPr>
          <w:b/>
          <w:u w:val="single"/>
        </w:rPr>
        <w:t>Tax Advice</w:t>
      </w:r>
    </w:p>
    <w:p>
      <w:pPr>
        <w:pStyle w:val="BodyText"/>
        <w:widowControl/>
        <w:rPr/>
      </w:pPr>
      <w:r>
        <w:rPr/>
        <w:t xml:space="preserve">Susan Musch (EI Tax) will advise you separately on this.     </w:t>
      </w:r>
    </w:p>
    <w:p>
      <w:pPr>
        <w:pStyle w:val="BodyText"/>
        <w:widowControl/>
        <w:rPr/>
      </w:pPr>
      <w:r>
        <w:rPr/>
      </w:r>
    </w:p>
    <w:p>
      <w:pPr>
        <w:pStyle w:val="BodyText"/>
        <w:widowControl/>
        <w:rPr/>
      </w:pPr>
      <w:r>
        <w:rPr/>
      </w:r>
    </w:p>
    <w:p>
      <w:pPr>
        <w:pStyle w:val="BodyText"/>
        <w:widowControl/>
        <w:rPr/>
      </w:pPr>
      <w:r>
        <w:rPr/>
        <w:t xml:space="preserve">Please let me or Alan know if we can be of further assistance.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 w:val="right" w:pos="10800" w:leader="none"/>
      </w:tabs>
      <w:jc w:val="center"/>
      <w:rPr>
        <w:sz w:val="22"/>
      </w:rPr>
    </w:pPr>
    <w:r>
      <w:rPr>
        <w:sz w:val="22"/>
      </w:rPr>
      <w:t>Natural gas.  Electricity.  Endless possibilities.</w:t>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/mnt/main-storage/datasets/enron-docs/doc/Hickerson2.doc</w:t>
    </w:r>
    <w:r>
      <w:rPr>
        <w:sz w:val="12"/>
      </w:rPr>
      <w:fldChar w:fldCharType="end"/>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r>
  </w:p>
  <w:p>
    <w:pPr>
      <w:pStyle w:val="Footer"/>
      <w:widowControl/>
      <w:tabs>
        <w:tab w:val="clear" w:pos="4320"/>
        <w:tab w:val="left" w:pos="3780" w:leader="none"/>
        <w:tab w:val="center" w:pos="7560" w:leader="none"/>
        <w:tab w:val="right" w:pos="8640" w:leader="none"/>
        <w:tab w:val="right" w:pos="10800" w:leader="none"/>
      </w:tabs>
      <w:jc w:val="center"/>
      <w:rPr>
        <w:sz w:val="22"/>
      </w:rPr>
    </w:pPr>
    <w:r>
      <w:rPr>
        <w:sz w:val="22"/>
      </w:rPr>
      <w:t>Natural gas.  Electricity.  Endless possibilities.</w:t>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p>
    <w:pPr>
      <w:pStyle w:val="Footer"/>
      <w:widowControl/>
      <w:tabs>
        <w:tab w:val="clear" w:pos="4320"/>
        <w:tab w:val="left" w:pos="3780" w:leader="none"/>
        <w:tab w:val="center" w:pos="7560" w:leader="none"/>
        <w:tab w:val="right" w:pos="8640" w:leader="none"/>
        <w:tab w:val="right" w:pos="10800" w:leader="none"/>
      </w:tabs>
      <w:rPr>
        <w:sz w:val="22"/>
      </w:rPr>
    </w:pPr>
    <w:r>
      <w:rPr>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-360680</wp:posOffset>
              </wp:positionV>
              <wp:extent cx="3877310" cy="11747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1174750"/>
                      </a:xfrm>
                      <a:prstGeom prst="rect"/>
                      <a:solidFill>
                        <a:srgbClr val="FFFFFF">
                          <a:alpha val="0"/>
                        </a:srgbClr>
                      </a:solidFill>
                    </wps:spPr>
                    <wps:txbx>
                      <w:txbxContent>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t>InterofficeMemorandum</w:t>
                          </w:r>
                        </w:p>
                      </w:txbxContent>
                    </wps:txbx>
                    <wps:bodyPr anchor="t" lIns="0" tIns="0" rIns="0" bIns="0">
                      <a:noAutofit/>
                    </wps:bodyPr>
                  </wps:wsp>
                </a:graphicData>
              </a:graphic>
            </wp:anchor>
          </w:drawing>
        </mc:Choice>
        <mc:Fallback>
          <w:pict>
            <v:rect fillcolor="#FFFFFF" style="position:absolute;rotation:-0;width:305.3pt;height:92.5pt;mso-wrap-distance-left:9.35pt;mso-wrap-distance-right:9.35pt;mso-wrap-distance-top:0pt;mso-wrap-distance-bottom:0pt;margin-top:-28.4pt;mso-position-vertical-relative:text;margin-left:201.3pt;mso-position-horizontal-relative:page">
              <v:fill opacity="0f"/>
              <v:textbox inset="0in,0in,0in,0in">
                <w:txbxContent>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r>
                  </w:p>
                  <w:p>
                    <w:pPr>
                      <w:pStyle w:val="Normal"/>
                      <w:widowControl/>
                      <w:ind w:start="3600" w:end="0"/>
                      <w:rPr>
                        <w:sz w:val="32"/>
                      </w:rPr>
                    </w:pPr>
                    <w:r>
                      <w:rPr>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b/>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Arial Narrow" w:hAnsi="Arial Narrow" w:cs="LinePrinter"/>
      <w:b w:val="false"/>
      <w:i w:val="false"/>
      <w:sz w:val="20"/>
      <w:u w:val="non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Arial Narrow" w:hAnsi="Arial Narrow" w:cs="LinePrinter"/>
      <w:b w:val="false"/>
      <w:i w:val="false"/>
      <w:sz w:val="20"/>
      <w:u w:val="none"/>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1999-07-28T17:20:00Z</dcterms:created>
  <dc:creator>ECT</dc:creator>
  <dc:description/>
  <dc:language>en-CA</dc:language>
  <cp:lastModifiedBy>sstack</cp:lastModifiedBy>
  <cp:lastPrinted>1999-07-29T12:48:00Z</cp:lastPrinted>
  <dcterms:modified xsi:type="dcterms:W3CDTF">1999-07-29T15:18:00Z</dcterms:modified>
  <cp:revision>5</cp:revision>
  <dc:subject/>
  <dc:title>       </dc:title>
</cp:coreProperties>
</file>