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smallCaps/>
          <w:sz w:val="22"/>
        </w:rPr>
      </w:pPr>
      <w:r>
        <w:rPr>
          <w:smallCaps/>
          <w:sz w:val="22"/>
        </w:rPr>
        <w:t>Proposal To Fix California’s Broken Electricity Market</w:t>
      </w:r>
    </w:p>
    <w:p>
      <w:pPr>
        <w:pStyle w:val="Heading4"/>
        <w:ind w:hanging="0" w:start="0"/>
        <w:rPr>
          <w:smallCaps/>
          <w:sz w:val="22"/>
        </w:rPr>
      </w:pPr>
      <w:r>
        <w:rPr>
          <w:smallCaps/>
          <w:sz w:val="22"/>
        </w:rPr>
      </w:r>
    </w:p>
    <w:p>
      <w:pPr>
        <w:pStyle w:val="Heading4"/>
        <w:ind w:hanging="0" w:start="0"/>
        <w:rPr>
          <w:b w:val="false"/>
          <w:bCs w:val="false"/>
          <w:u w:val="single"/>
        </w:rPr>
      </w:pPr>
      <w:r>
        <w:rPr>
          <w:u w:val="single"/>
        </w:rPr>
        <w:t>The Situation</w:t>
      </w:r>
    </w:p>
    <w:p>
      <w:pPr>
        <w:pStyle w:val="Normal"/>
        <w:rPr>
          <w:b/>
          <w:bCs/>
          <w:u w:val="single"/>
        </w:rPr>
      </w:pPr>
      <w:r>
        <w:rPr>
          <w:b/>
          <w:bCs/>
          <w:u w:val="single"/>
        </w:rPr>
      </w:r>
    </w:p>
    <w:p>
      <w:pPr>
        <w:pStyle w:val="Heading4"/>
        <w:ind w:hanging="0" w:start="0"/>
        <w:rPr/>
      </w:pPr>
      <w:r>
        <w:rPr/>
        <w:t xml:space="preserve">The Likelihood of Supply Disruptions in California this Summer Is Extremely High </w:t>
      </w:r>
    </w:p>
    <w:p>
      <w:pPr>
        <w:pStyle w:val="Normal"/>
        <w:autoSpaceDE w:val="false"/>
        <w:spacing w:lineRule="atLeast" w:line="240"/>
        <w:rPr>
          <w:color w:val="000000"/>
          <w:sz w:val="20"/>
          <w:szCs w:val="20"/>
        </w:rPr>
      </w:pPr>
      <w:r>
        <w:rPr>
          <w:color w:val="000000"/>
          <w:sz w:val="20"/>
          <w:szCs w:val="20"/>
        </w:rPr>
        <w:t xml:space="preserve">Both the California Energy Commission and Cambridge Energy Research Associates (CERA) have issued reports showing that California faces a severe supply-demand imbalance.  They differ only on how much and how soon additional supply will be made available.  All credible sources agree that supply will be very tight throughout the Summer of 2001, and that unless a solution is found immediately, blackouts are now almost inevitable.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CERA predicts that California is likely to face approximately 20 hours of rolling black outs this summer.  The CEC paints a considerably more optimistic scenario, betting that California will bring an additional 5,000 MWs on line to meet peaking summer demand.  It is our view that California should view the CEC's "rosy scenario" with considerable skepticism.</w:t>
      </w:r>
    </w:p>
    <w:p>
      <w:pPr>
        <w:pStyle w:val="Normal"/>
        <w:autoSpaceDE w:val="false"/>
        <w:spacing w:lineRule="atLeast" w:line="240"/>
        <w:rPr>
          <w:color w:val="000000"/>
          <w:sz w:val="20"/>
          <w:szCs w:val="20"/>
        </w:rPr>
      </w:pPr>
      <w:r>
        <w:rPr>
          <w:color w:val="000000"/>
          <w:sz w:val="20"/>
          <w:szCs w:val="20"/>
        </w:rPr>
      </w:r>
    </w:p>
    <w:p>
      <w:pPr>
        <w:pStyle w:val="BodyText"/>
        <w:autoSpaceDE w:val="false"/>
        <w:spacing w:lineRule="atLeast" w:line="240"/>
        <w:rPr/>
      </w:pPr>
      <w:r>
        <w:rPr/>
        <w:t xml:space="preserve">CEC and CERA both forecast that California will fall short of supply this summer by approximately 5,000 MW.   These numbers are in line with our estimates.  California’s supply base currently has a 6% capacity margin, well below the average 15-20%, which is recommended for reliable system operation in the West.  Since the West relies more heavily upon hydroelectric power than other regions, reserves are particularly important, owing to the unpredictability of the weather and the dry year the West has experienced to date. In the event of a low rain and snow period, the system must possess the flexibility to respond to the reduced availability of power supply.  California’s very low reserve margin makes it especially susceptible to this requirement.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Other reasons for reduced supply for the Summer of 2001 include the early draw-down of reservoirs in the continual effort to manage California's severe supply-demand gap; emissions restrictions on existing plants; and a reduced number of customers who can be curtailed under their contracts with the utilities.  Cambridge Energy Research Associates asserts that at the current pace of siting, permitting and construction, adequate supplies will not be added to correct the market imbalance until 2003 at the earliest.</w:t>
      </w:r>
    </w:p>
    <w:p>
      <w:pPr>
        <w:pStyle w:val="Normal"/>
        <w:autoSpaceDE w:val="false"/>
        <w:spacing w:lineRule="atLeast" w:line="240"/>
        <w:rPr>
          <w:color w:val="000000"/>
          <w:sz w:val="20"/>
          <w:szCs w:val="20"/>
        </w:rPr>
      </w:pPr>
      <w:r>
        <w:rPr>
          <w:color w:val="000000"/>
          <w:sz w:val="20"/>
          <w:szCs w:val="20"/>
        </w:rPr>
      </w:r>
    </w:p>
    <w:p>
      <w:pPr>
        <w:pStyle w:val="Heading5"/>
        <w:ind w:hanging="0" w:start="0"/>
        <w:rPr/>
      </w:pPr>
      <w:r>
        <w:rPr/>
        <w:t>Suggested Package of Legislative Proposals Designed to Solve California’s Electricity Crisis</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As we have stated throughout the crisis, California must act swiftly; and any solution to California's crisis must focus on four issues:</w:t>
      </w:r>
    </w:p>
    <w:p>
      <w:pPr>
        <w:pStyle w:val="Normal"/>
        <w:autoSpaceDE w:val="false"/>
        <w:spacing w:lineRule="atLeast" w:line="240"/>
        <w:ind w:hanging="1440" w:start="1440" w:end="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Increase supply</w:t>
      </w:r>
    </w:p>
    <w:p>
      <w:pPr>
        <w:pStyle w:val="Normal"/>
        <w:autoSpaceDE w:val="false"/>
        <w:spacing w:lineRule="atLeast" w:line="240"/>
        <w:ind w:start="360" w:end="0"/>
        <w:rPr>
          <w:b/>
          <w:bCs/>
          <w:color w:val="000000"/>
          <w:sz w:val="20"/>
          <w:szCs w:val="20"/>
        </w:rPr>
      </w:pPr>
      <w:r>
        <w:rPr>
          <w:b/>
          <w:bCs/>
          <w:color w:val="000000"/>
          <w:sz w:val="20"/>
          <w:szCs w:val="20"/>
        </w:rPr>
        <w:t>Decrease demand</w:t>
      </w:r>
    </w:p>
    <w:p>
      <w:pPr>
        <w:pStyle w:val="Normal"/>
        <w:autoSpaceDE w:val="false"/>
        <w:spacing w:lineRule="atLeast" w:line="240"/>
        <w:ind w:start="360" w:end="0"/>
        <w:rPr>
          <w:b/>
          <w:bCs/>
          <w:color w:val="000000"/>
          <w:sz w:val="20"/>
          <w:szCs w:val="20"/>
        </w:rPr>
      </w:pPr>
      <w:r>
        <w:rPr>
          <w:b/>
          <w:bCs/>
          <w:color w:val="000000"/>
          <w:sz w:val="20"/>
          <w:szCs w:val="20"/>
        </w:rPr>
        <w:t>Establish a truly competitive retail electricity market</w:t>
      </w:r>
    </w:p>
    <w:p>
      <w:pPr>
        <w:pStyle w:val="Normal"/>
        <w:autoSpaceDE w:val="false"/>
        <w:spacing w:lineRule="atLeast" w:line="240"/>
        <w:ind w:start="360" w:end="0"/>
        <w:rPr>
          <w:b/>
          <w:bCs/>
          <w:color w:val="000000"/>
          <w:sz w:val="20"/>
          <w:szCs w:val="20"/>
        </w:rPr>
      </w:pPr>
      <w:r>
        <w:rPr>
          <w:b/>
          <w:bCs/>
          <w:color w:val="000000"/>
          <w:sz w:val="20"/>
          <w:szCs w:val="20"/>
        </w:rPr>
        <w:t>Return California’s Investor-owned utilities to solvency</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numPr>
          <w:ilvl w:val="0"/>
          <w:numId w:val="9"/>
        </w:numPr>
        <w:autoSpaceDE w:val="false"/>
        <w:spacing w:lineRule="atLeast" w:line="240"/>
        <w:rPr>
          <w:b/>
          <w:bCs/>
          <w:color w:val="000000"/>
          <w:sz w:val="20"/>
          <w:szCs w:val="20"/>
        </w:rPr>
      </w:pPr>
      <w:r>
        <w:rPr>
          <w:b/>
          <w:bCs/>
          <w:color w:val="000000"/>
          <w:sz w:val="20"/>
          <w:szCs w:val="20"/>
        </w:rPr>
        <w:t>Increase supply--Legislative vehicle:</w:t>
        <w:tab/>
        <w:t xml:space="preserve">SB28X </w:t>
      </w:r>
    </w:p>
    <w:p>
      <w:pPr>
        <w:pStyle w:val="Normal"/>
        <w:autoSpaceDE w:val="false"/>
        <w:spacing w:lineRule="atLeast" w:line="240"/>
        <w:rPr>
          <w:color w:val="000000"/>
          <w:sz w:val="20"/>
          <w:szCs w:val="20"/>
        </w:rPr>
      </w:pPr>
      <w:r>
        <w:rPr>
          <w:color w:val="000000"/>
          <w:sz w:val="20"/>
          <w:szCs w:val="20"/>
        </w:rPr>
        <w:t>To site and construct a power plant in Texas takes approximately 2 years.  Enron and others have completed the entire process in other states in less than a year.  In California, it takes about six years, or longer.</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The Governor’s executive orders and Senator Sher’s siting reform legislation are steps in the right direction.  Our suggested amendments can improve those efforts by further addressing the difficulties that project developers face in securing air emission reduction credits to meet the air permit requirements included in the CEC's certification requirements.  Enron’s proposal seeks to streamline the process for 1) obtaining credits and 2) transfering credits between air districts.  In addition, it creates an innovative emissions reduction bank to allow project sponsors to fund emissions in advance of obtaining certification, and permits the affected air districts to use those funds to finance projects that will produce the required reductions in pollution emissions.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California can close the supply-demand gap further by facilitating the rapid development of distributed generation technologies.  A more detailed description of the impediments facing DG development and proposals to remove those impediments is attached.</w:t>
      </w:r>
    </w:p>
    <w:p>
      <w:pPr>
        <w:pStyle w:val="Normal"/>
        <w:autoSpaceDE w:val="false"/>
        <w:spacing w:lineRule="atLeast" w:line="240"/>
        <w:rPr>
          <w:color w:val="000000"/>
          <w:sz w:val="20"/>
          <w:szCs w:val="20"/>
        </w:rPr>
      </w:pPr>
      <w:r>
        <w:rPr>
          <w:color w:val="000000"/>
          <w:sz w:val="20"/>
          <w:szCs w:val="20"/>
        </w:rPr>
      </w:r>
    </w:p>
    <w:p>
      <w:pPr>
        <w:pStyle w:val="Normal"/>
        <w:numPr>
          <w:ilvl w:val="0"/>
          <w:numId w:val="9"/>
        </w:numPr>
        <w:autoSpaceDE w:val="false"/>
        <w:spacing w:lineRule="atLeast" w:line="240"/>
        <w:rPr>
          <w:b/>
          <w:bCs/>
          <w:color w:val="000000"/>
          <w:sz w:val="20"/>
          <w:szCs w:val="20"/>
        </w:rPr>
      </w:pPr>
      <w:r>
        <w:rPr>
          <w:b/>
          <w:bCs/>
          <w:color w:val="000000"/>
          <w:sz w:val="20"/>
          <w:szCs w:val="20"/>
        </w:rPr>
        <w:t xml:space="preserve">Decrease demand—Legislative Vehicle:  AB31X </w:t>
      </w:r>
    </w:p>
    <w:p>
      <w:pPr>
        <w:pStyle w:val="Normal"/>
        <w:autoSpaceDE w:val="false"/>
        <w:spacing w:lineRule="atLeast" w:line="240"/>
        <w:rPr>
          <w:color w:val="000000"/>
          <w:sz w:val="20"/>
          <w:szCs w:val="20"/>
        </w:rPr>
      </w:pPr>
      <w:r>
        <w:rPr>
          <w:color w:val="000000"/>
          <w:sz w:val="20"/>
          <w:szCs w:val="20"/>
        </w:rPr>
        <w:t>Because of the delay in getting a solution in place in California, closing the supply-demand gap through energy conservation and efficiency offers the best chance of avoiding blackouts this summer.  This can be accomplished most effectively and quickly in two ways: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a) Buy-down demand</w:t>
      </w:r>
    </w:p>
    <w:p>
      <w:pPr>
        <w:pStyle w:val="Normal"/>
        <w:autoSpaceDE w:val="false"/>
        <w:spacing w:lineRule="atLeast" w:line="240"/>
        <w:rPr>
          <w:color w:val="000000"/>
          <w:sz w:val="20"/>
          <w:szCs w:val="20"/>
        </w:rPr>
      </w:pPr>
      <w:r>
        <w:rPr>
          <w:color w:val="000000"/>
          <w:sz w:val="2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Enron has developed an on-line auction software package, “Deal Bench,” that it would be willing to contribute to the effort.  A more detailed description of the “buy-down” proposal is attached.</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b) Use Price Signals to Incent Voluntary Curtailment</w:t>
      </w:r>
    </w:p>
    <w:p>
      <w:pPr>
        <w:pStyle w:val="Normal"/>
        <w:autoSpaceDE w:val="false"/>
        <w:spacing w:lineRule="atLeast" w:line="240"/>
        <w:rPr>
          <w:color w:val="000000"/>
          <w:sz w:val="20"/>
          <w:szCs w:val="20"/>
        </w:rPr>
      </w:pPr>
      <w:r>
        <w:rPr>
          <w:color w:val="000000"/>
          <w:sz w:val="20"/>
          <w:szCs w:val="20"/>
        </w:rPr>
        <w:t>To be successful, customers need access to the following key elements:</w:t>
      </w:r>
    </w:p>
    <w:p>
      <w:pPr>
        <w:pStyle w:val="Normal"/>
        <w:autoSpaceDE w:val="false"/>
        <w:spacing w:lineRule="atLeast" w:line="240"/>
        <w:rPr>
          <w:color w:val="000000"/>
          <w:sz w:val="20"/>
          <w:szCs w:val="20"/>
        </w:rPr>
      </w:pPr>
      <w:r>
        <w:rPr>
          <w:color w:val="000000"/>
          <w:sz w:val="20"/>
          <w:szCs w:val="20"/>
        </w:rPr>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 xml:space="preserve">An internet based hour-ahead price posting system to track the market price for hour-ahead power in real time. </w:t>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Real-time metering systems for baseline demand and voluntarily curtailment verification.</w:t>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Settlement process that allows for market clearing prices of energy to be paid for load reduction (“Negawatts”).</w:t>
      </w:r>
    </w:p>
    <w:p>
      <w:pPr>
        <w:pStyle w:val="Normal"/>
        <w:tabs>
          <w:tab w:val="clear" w:pos="720"/>
          <w:tab w:val="left" w:pos="1080" w:leader="none"/>
        </w:tabs>
        <w:autoSpaceDE w:val="false"/>
        <w:spacing w:lineRule="atLeast" w:line="240"/>
        <w:rPr>
          <w:color w:val="000000"/>
          <w:sz w:val="20"/>
          <w:szCs w:val="20"/>
        </w:rPr>
      </w:pPr>
      <w:r>
        <w:rPr>
          <w:color w:val="000000"/>
          <w:sz w:val="20"/>
          <w:szCs w:val="20"/>
        </w:rPr>
      </w:r>
    </w:p>
    <w:p>
      <w:pPr>
        <w:pStyle w:val="BodyText"/>
        <w:keepNext w:val="true"/>
        <w:autoSpaceDE w:val="false"/>
        <w:spacing w:lineRule="atLeast" w:line="240"/>
        <w:rPr/>
      </w:pPr>
      <w:r>
        <w:rPr/>
        <w:t>The potential benefits of an effective demand response program would include:</w:t>
      </w:r>
    </w:p>
    <w:p>
      <w:pPr>
        <w:pStyle w:val="Normal"/>
        <w:keepNext w:val="true"/>
        <w:autoSpaceDE w:val="false"/>
        <w:spacing w:lineRule="atLeast" w:line="240"/>
        <w:rPr>
          <w:color w:val="000000"/>
          <w:sz w:val="20"/>
          <w:szCs w:val="20"/>
        </w:rPr>
      </w:pPr>
      <w:r>
        <w:rPr>
          <w:color w:val="000000"/>
          <w:sz w:val="20"/>
          <w:szCs w:val="20"/>
        </w:rPr>
      </w:r>
    </w:p>
    <w:p>
      <w:pPr>
        <w:pStyle w:val="Normal"/>
        <w:keepNext w:val="true"/>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w:t>
      </w:r>
      <w:r>
        <w:rPr>
          <w:color w:val="000000"/>
          <w:sz w:val="20"/>
          <w:szCs w:val="20"/>
        </w:rPr>
        <w:t>creation” of additional summer peaking capacity in California, particularly in the short term, without requiring construction of additional generation resources.</w:t>
      </w:r>
    </w:p>
    <w:p>
      <w:pPr>
        <w:pStyle w:val="Normal"/>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reduction of  peak or super-peak load on the over-stressed California electric system, thus potentially reducing the overall cost of electricity in the state.</w:t>
      </w:r>
    </w:p>
    <w:p>
      <w:pPr>
        <w:pStyle w:val="Normal"/>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We estimate that we could generate a summer 2001 on-peak demand response in excess of 400 MW during certain high cost hours, and a demand response for summer 2002 on-peak hours that could exceed 1000 MW.  We further estimate that the market response to this program from all ESPs could be 2 to 3 times that amount.  We recommend that the State of California provide rebates directly to customers to fund the installation of advanced metering and control systems to support voluntary load curtailment.</w:t>
      </w:r>
    </w:p>
    <w:p>
      <w:pPr>
        <w:pStyle w:val="Normal"/>
        <w:autoSpaceDE w:val="false"/>
        <w:spacing w:lineRule="atLeast" w:line="240"/>
        <w:ind w:hanging="1440" w:start="1440" w:end="0"/>
        <w:rPr>
          <w:color w:val="000000"/>
          <w:sz w:val="20"/>
          <w:szCs w:val="20"/>
        </w:rPr>
      </w:pPr>
      <w:r>
        <w:rPr>
          <w:color w:val="000000"/>
          <w:sz w:val="20"/>
          <w:szCs w:val="20"/>
        </w:rPr>
      </w:r>
    </w:p>
    <w:p>
      <w:pPr>
        <w:pStyle w:val="Normal"/>
        <w:numPr>
          <w:ilvl w:val="0"/>
          <w:numId w:val="4"/>
        </w:numPr>
        <w:autoSpaceDE w:val="false"/>
        <w:spacing w:lineRule="atLeast" w:line="240"/>
        <w:rPr>
          <w:b/>
          <w:bCs/>
          <w:color w:val="000000"/>
          <w:sz w:val="20"/>
          <w:szCs w:val="20"/>
        </w:rPr>
      </w:pPr>
      <w:r>
        <w:rPr>
          <w:b/>
          <w:bCs/>
          <w:color w:val="000000"/>
          <w:sz w:val="20"/>
          <w:szCs w:val="20"/>
        </w:rPr>
        <w:t>Establish a truly competitive retail electricity market—Legislative vehicle: SB27X</w:t>
      </w:r>
    </w:p>
    <w:p>
      <w:pPr>
        <w:pStyle w:val="Normal"/>
        <w:autoSpaceDE w:val="false"/>
        <w:spacing w:lineRule="atLeast" w:line="240"/>
        <w:rPr>
          <w:color w:val="000000"/>
          <w:sz w:val="20"/>
          <w:szCs w:val="20"/>
        </w:rPr>
      </w:pPr>
      <w:r>
        <w:rPr>
          <w:color w:val="000000"/>
          <w:sz w:val="20"/>
          <w:szCs w:val="20"/>
        </w:rPr>
        <w:t>The only customers who were protected from price volatility in San Diego were customers who chose Direct Access and signed fixed price deals with energy service providers.  Ironically, AB1X takes that important option away from customers and businesses.  It is critical that AB1X be amended to remove the prohibition against Direct Access.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 xml:space="preserve">Enron's legislative proposal would give customers freedom to enter into a direct access transaction, while simultaneously addressing the Department of Water Resources' concerns about stranded power costs that might result from customer migration.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In addition, California will only achieve a competitive retail market when the utility is removed completely from the procurement function.  Procurement is not a utility core competency, as evidenced by the dire financial condition in which the utilities now find themselves.  California should therefore begin immediately to phase the utility out of the procurement function entirely, with the goal of having all customers served by a non-utility provider within 36 months.  To execute the transition, California should hold a series of competitive solicitations over the 36-month period in which competing service providers would bid for the right to serve segments of utility load.</w:t>
      </w:r>
    </w:p>
    <w:p>
      <w:pPr>
        <w:pStyle w:val="Normal"/>
        <w:autoSpaceDE w:val="false"/>
        <w:spacing w:lineRule="atLeast" w:line="240"/>
        <w:ind w:hanging="1440" w:start="1440" w:end="0"/>
        <w:rPr>
          <w:color w:val="000000"/>
          <w:sz w:val="20"/>
          <w:szCs w:val="20"/>
        </w:rPr>
      </w:pPr>
      <w:r>
        <w:rPr>
          <w:color w:val="000000"/>
          <w:sz w:val="20"/>
          <w:szCs w:val="20"/>
        </w:rPr>
      </w:r>
    </w:p>
    <w:p>
      <w:pPr>
        <w:pStyle w:val="Normal"/>
        <w:numPr>
          <w:ilvl w:val="0"/>
          <w:numId w:val="4"/>
        </w:numPr>
        <w:autoSpaceDE w:val="false"/>
        <w:spacing w:lineRule="atLeast" w:line="240"/>
        <w:rPr>
          <w:b/>
          <w:bCs/>
          <w:color w:val="000000"/>
          <w:sz w:val="20"/>
          <w:szCs w:val="20"/>
        </w:rPr>
      </w:pPr>
      <w:r>
        <w:rPr>
          <w:b/>
          <w:bCs/>
          <w:color w:val="000000"/>
          <w:sz w:val="20"/>
          <w:szCs w:val="20"/>
        </w:rPr>
        <w:t>Return California’s Investor-owned utilities to solvency—Legislative vehicle: AB18X</w:t>
      </w:r>
    </w:p>
    <w:p>
      <w:pPr>
        <w:pStyle w:val="Normal"/>
        <w:autoSpaceDE w:val="false"/>
        <w:spacing w:lineRule="atLeast" w:line="240"/>
        <w:rPr>
          <w:color w:val="000000"/>
          <w:sz w:val="20"/>
          <w:szCs w:val="20"/>
        </w:rPr>
      </w:pPr>
      <w:r>
        <w:rPr>
          <w:color w:val="000000"/>
          <w:sz w:val="20"/>
          <w:szCs w:val="20"/>
        </w:rPr>
        <w:t>Utility bankruptcy will not increase supply and it will not decrease demand.  In short, bankruptcy does nothing to solve California’s supply-demand imbalance.  In addition, bankruptcy increases the likelihood that consumers and businesses will bear the significant financial risks of having California State government occupy the role of “electricity buyer” for an extended period of time.  Finally, bankruptcy will undermine both investor confidence in California's energy markets and the private sector's willingness to participate in that market.</w:t>
      </w:r>
    </w:p>
    <w:p>
      <w:pPr>
        <w:pStyle w:val="Normal"/>
        <w:autoSpaceDE w:val="false"/>
        <w:spacing w:lineRule="atLeast" w:line="240"/>
        <w:rPr>
          <w:color w:val="000000"/>
          <w:sz w:val="20"/>
          <w:szCs w:val="20"/>
        </w:rPr>
      </w:pPr>
      <w:r>
        <w:rPr>
          <w:color w:val="000000"/>
          <w:sz w:val="20"/>
          <w:szCs w:val="20"/>
        </w:rPr>
      </w:r>
    </w:p>
    <w:p>
      <w:pPr>
        <w:pStyle w:val="BodyText"/>
        <w:rPr/>
      </w:pPr>
      <w:r>
        <w:rPr/>
        <w:t xml:space="preserve">California does not need to, and should not, purchase the utilities’ transmission system in order to return the utilities to solvency.  A vastly superior option is one that returns the utilities to financial solvency by implementing modest rate increases.  California should design those rate increases with the dual goal of returning the utilities to solvency without “shocking” the economy or household budgets.  We estimate that PG&amp;E and Edison could collect $10 billion in additional revenues simply by raising average rates by approximately 10% over a 10-year period.  This 10 percent average increase would translate to an increase of approximately 6% for residential customers and 16% for large industrial customers.  </w:t>
      </w:r>
    </w:p>
    <w:p>
      <w:pPr>
        <w:pStyle w:val="BodyText"/>
        <w:rPr/>
      </w:pPr>
      <w:r>
        <w:rPr/>
      </w:r>
    </w:p>
    <w:p>
      <w:pPr>
        <w:pStyle w:val="BodyText"/>
        <w:rPr/>
      </w:pPr>
      <w:r>
        <w:rPr/>
        <w:t>This modest increase in rates could return the utilities to solvency while simultaneously beginning to provide the price signals necessary to incent consumers to conserve electricity and help close the state’s supply-demand gap.</w:t>
      </w:r>
    </w:p>
    <w:p>
      <w:pPr>
        <w:pStyle w:val="BodyText"/>
        <w:rPr>
          <w:b/>
          <w:smallCaps/>
        </w:rPr>
      </w:pPr>
      <w:r>
        <w:rPr>
          <w:b/>
          <w:smallCaps/>
        </w:rPr>
      </w:r>
      <w:r>
        <w:br w:type="page"/>
      </w:r>
    </w:p>
    <w:p>
      <w:pPr>
        <w:pStyle w:val="Normal"/>
        <w:rPr>
          <w:b/>
          <w:smallCaps/>
        </w:rPr>
      </w:pPr>
      <w:r>
        <w:rPr>
          <w:b/>
          <w:smallCaps/>
        </w:rPr>
      </w:r>
    </w:p>
    <w:p>
      <w:pPr>
        <w:pStyle w:val="Heading6"/>
        <w:ind w:hanging="0" w:start="0"/>
        <w:rPr/>
      </w:pPr>
      <w:r>
        <w:rPr/>
        <w:t>Proposal to Alleviate California’s Electricity Shortage</w:t>
      </w:r>
    </w:p>
    <w:p>
      <w:pPr>
        <w:pStyle w:val="Heading1"/>
        <w:ind w:hanging="0" w:start="0"/>
        <w:rPr>
          <w:bCs/>
          <w:sz w:val="22"/>
        </w:rPr>
      </w:pPr>
      <w:r>
        <w:rPr>
          <w:sz w:val="22"/>
        </w:rPr>
        <w:t>Through Incentives to Reduce Demand</w:t>
      </w:r>
    </w:p>
    <w:p>
      <w:pPr>
        <w:pStyle w:val="Normal"/>
        <w:jc w:val="center"/>
        <w:rPr>
          <w:bCs/>
          <w:sz w:val="20"/>
        </w:rPr>
      </w:pPr>
      <w:r>
        <w:rPr>
          <w:bCs/>
          <w:sz w:val="20"/>
        </w:rPr>
      </w:r>
    </w:p>
    <w:p>
      <w:pPr>
        <w:pStyle w:val="Heading2"/>
        <w:ind w:hanging="0" w:start="0"/>
        <w:rPr/>
      </w:pPr>
      <w:r>
        <w:rPr/>
        <w:t>Objective</w:t>
      </w:r>
    </w:p>
    <w:p>
      <w:pPr>
        <w:pStyle w:val="Normal"/>
        <w:numPr>
          <w:ilvl w:val="0"/>
          <w:numId w:val="3"/>
        </w:numPr>
        <w:tabs>
          <w:tab w:val="clear" w:pos="720"/>
        </w:tabs>
        <w:rPr>
          <w:bCs/>
          <w:sz w:val="20"/>
        </w:rPr>
      </w:pPr>
      <w:r>
        <w:rPr>
          <w:bCs/>
          <w:sz w:val="20"/>
        </w:rPr>
        <w:t>Provide consumers with financial incentives to reduce demand in anticipation of Summer 2001 electricity demand</w:t>
      </w:r>
    </w:p>
    <w:p>
      <w:pPr>
        <w:pStyle w:val="Normal"/>
        <w:rPr>
          <w:bCs/>
          <w:sz w:val="20"/>
        </w:rPr>
      </w:pPr>
      <w:r>
        <w:rPr>
          <w:bCs/>
          <w:sz w:val="20"/>
        </w:rPr>
      </w:r>
    </w:p>
    <w:p>
      <w:pPr>
        <w:pStyle w:val="Heading2"/>
        <w:ind w:hanging="0" w:start="0"/>
        <w:rPr/>
      </w:pPr>
      <w:r>
        <w:rPr/>
        <w:t>Proposal</w:t>
      </w:r>
    </w:p>
    <w:p>
      <w:pPr>
        <w:pStyle w:val="Normal"/>
        <w:numPr>
          <w:ilvl w:val="0"/>
          <w:numId w:val="3"/>
        </w:numPr>
        <w:tabs>
          <w:tab w:val="clear" w:pos="720"/>
        </w:tabs>
        <w:rPr>
          <w:bCs/>
          <w:sz w:val="20"/>
        </w:rPr>
      </w:pPr>
      <w:r>
        <w:rPr>
          <w:bCs/>
          <w:sz w:val="20"/>
        </w:rPr>
        <w:t>The California PUC should require the utilities to immediately conduct on-line auctions for demand reductions totaling at least 2,000 MWs</w:t>
      </w:r>
    </w:p>
    <w:p>
      <w:pPr>
        <w:pStyle w:val="Normal"/>
        <w:numPr>
          <w:ilvl w:val="0"/>
          <w:numId w:val="3"/>
        </w:numPr>
        <w:tabs>
          <w:tab w:val="clear" w:pos="720"/>
        </w:tabs>
        <w:rPr>
          <w:bCs/>
          <w:sz w:val="20"/>
        </w:rPr>
      </w:pPr>
      <w:r>
        <w:rPr>
          <w:bCs/>
          <w:sz w:val="20"/>
        </w:rPr>
        <w:t>Alternatively, DWR could run the auction and implement the buy-down program.  However, if it is determined that DWR requires additional authority to execute the auction, the State should avoid any further delays and direct the CPUC to order the utilities to implement the buy-down program immediately.</w:t>
      </w:r>
    </w:p>
    <w:p>
      <w:pPr>
        <w:pStyle w:val="Normal"/>
        <w:rPr>
          <w:bCs/>
          <w:sz w:val="20"/>
        </w:rPr>
      </w:pPr>
      <w:r>
        <w:rPr>
          <w:bCs/>
          <w:sz w:val="20"/>
        </w:rPr>
      </w:r>
    </w:p>
    <w:p>
      <w:pPr>
        <w:pStyle w:val="Normal"/>
        <w:rPr>
          <w:b/>
          <w:i/>
          <w:i/>
          <w:iCs/>
          <w:sz w:val="20"/>
        </w:rPr>
      </w:pPr>
      <w:r>
        <w:rPr>
          <w:b/>
          <w:i/>
          <w:iCs/>
          <w:sz w:val="20"/>
        </w:rPr>
        <w:t>The Auction Process (assuming the utilities implement the program)</w:t>
      </w:r>
    </w:p>
    <w:p>
      <w:pPr>
        <w:pStyle w:val="Normal"/>
        <w:numPr>
          <w:ilvl w:val="0"/>
          <w:numId w:val="3"/>
        </w:numPr>
        <w:tabs>
          <w:tab w:val="clear" w:pos="720"/>
        </w:tabs>
        <w:rPr>
          <w:bCs/>
          <w:sz w:val="20"/>
        </w:rPr>
      </w:pPr>
      <w:r>
        <w:rPr>
          <w:bCs/>
          <w:sz w:val="20"/>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3"/>
        </w:numPr>
        <w:tabs>
          <w:tab w:val="clear" w:pos="720"/>
        </w:tabs>
        <w:rPr>
          <w:bCs/>
          <w:sz w:val="20"/>
        </w:rPr>
      </w:pPr>
      <w:r>
        <w:rPr>
          <w:bCs/>
          <w:sz w:val="20"/>
        </w:rPr>
        <w:t xml:space="preserve">If the “supply” of available reductions offered in the auction exceeds 2,000 MWs, the utility should accept them, or explain to the Commission why they chose not to accept them </w:t>
      </w:r>
    </w:p>
    <w:p>
      <w:pPr>
        <w:pStyle w:val="Normal"/>
        <w:numPr>
          <w:ilvl w:val="0"/>
          <w:numId w:val="3"/>
        </w:numPr>
        <w:tabs>
          <w:tab w:val="clear" w:pos="720"/>
        </w:tabs>
        <w:rPr>
          <w:bCs/>
          <w:sz w:val="20"/>
        </w:rPr>
      </w:pPr>
      <w:r>
        <w:rPr>
          <w:bCs/>
          <w:sz w:val="20"/>
        </w:rPr>
        <w:t>Businesses should be permitted to include in their bids the continued payment of wages to compensate employees for hours of employment foregone due to demand reductions</w:t>
      </w:r>
    </w:p>
    <w:p>
      <w:pPr>
        <w:pStyle w:val="Normal"/>
        <w:numPr>
          <w:ilvl w:val="0"/>
          <w:numId w:val="3"/>
        </w:numPr>
        <w:tabs>
          <w:tab w:val="clear" w:pos="720"/>
        </w:tabs>
        <w:rPr>
          <w:bCs/>
          <w:sz w:val="20"/>
        </w:rPr>
      </w:pPr>
      <w:r>
        <w:rPr>
          <w:bCs/>
          <w:sz w:val="20"/>
        </w:rPr>
        <w:t>The costs of the incentive program should be paid for by all consumers, since all consumers will benefit from the decreased risk of service interruptions caused by the demand reductions</w:t>
      </w:r>
    </w:p>
    <w:p>
      <w:pPr>
        <w:pStyle w:val="Normal"/>
        <w:numPr>
          <w:ilvl w:val="0"/>
          <w:numId w:val="3"/>
        </w:numPr>
        <w:tabs>
          <w:tab w:val="clear" w:pos="720"/>
        </w:tabs>
        <w:rPr>
          <w:bCs/>
          <w:sz w:val="20"/>
        </w:rPr>
      </w:pPr>
      <w:r>
        <w:rPr>
          <w:bCs/>
          <w:sz w:val="20"/>
        </w:rPr>
        <w:t>If DWR implements the program, DWR’ would recover its costs through rates, similar to the cost recovery mechanism used to recover power purchase costs.</w:t>
      </w:r>
    </w:p>
    <w:p>
      <w:pPr>
        <w:pStyle w:val="Normal"/>
        <w:numPr>
          <w:ilvl w:val="0"/>
          <w:numId w:val="3"/>
        </w:numPr>
        <w:tabs>
          <w:tab w:val="clear" w:pos="720"/>
        </w:tabs>
        <w:rPr>
          <w:bCs/>
          <w:sz w:val="20"/>
        </w:rPr>
      </w:pPr>
      <w:r>
        <w:rPr>
          <w:bCs/>
          <w:sz w:val="20"/>
        </w:rPr>
        <w:t>If the utilities implement the program, the California PUC would include program costs in rates collected from customers</w:t>
      </w:r>
    </w:p>
    <w:p>
      <w:pPr>
        <w:pStyle w:val="Normal"/>
        <w:rPr>
          <w:bCs/>
          <w:sz w:val="20"/>
        </w:rPr>
      </w:pPr>
      <w:r>
        <w:rPr>
          <w:bCs/>
          <w:sz w:val="20"/>
        </w:rPr>
      </w:r>
    </w:p>
    <w:p>
      <w:pPr>
        <w:pStyle w:val="Heading2"/>
        <w:ind w:hanging="0" w:start="0"/>
        <w:rPr>
          <w:b w:val="false"/>
          <w:bCs/>
          <w:i w:val="false"/>
          <w:i w:val="false"/>
          <w:iCs w:val="false"/>
        </w:rPr>
      </w:pPr>
      <w:r>
        <w:rPr/>
        <w:t>Hazards to Avoid</w:t>
      </w:r>
    </w:p>
    <w:p>
      <w:pPr>
        <w:pStyle w:val="Normal"/>
        <w:numPr>
          <w:ilvl w:val="0"/>
          <w:numId w:val="5"/>
        </w:numPr>
        <w:tabs>
          <w:tab w:val="clear" w:pos="720"/>
        </w:tabs>
        <w:rPr>
          <w:sz w:val="20"/>
        </w:rPr>
      </w:pPr>
      <w:r>
        <w:rPr>
          <w:sz w:val="20"/>
        </w:rPr>
        <w:t>Avoid allowing lengthy utility and/or PUC review to delay implementation of the reductions</w:t>
      </w:r>
    </w:p>
    <w:p>
      <w:pPr>
        <w:pStyle w:val="Normal"/>
        <w:numPr>
          <w:ilvl w:val="0"/>
          <w:numId w:val="2"/>
        </w:numPr>
        <w:rPr>
          <w:sz w:val="20"/>
        </w:rPr>
      </w:pPr>
      <w:r>
        <w:rPr>
          <w:sz w:val="20"/>
        </w:rPr>
        <w:t>Any unnecessary delay increases the chance that California will fail to achieve the reductions needed to help avoid severe shortages in Summer 2001</w:t>
      </w:r>
    </w:p>
    <w:p>
      <w:pPr>
        <w:pStyle w:val="Normal"/>
        <w:numPr>
          <w:ilvl w:val="0"/>
          <w:numId w:val="2"/>
        </w:numPr>
        <w:rPr>
          <w:sz w:val="20"/>
        </w:rPr>
      </w:pPr>
      <w:r>
        <w:rPr>
          <w:sz w:val="20"/>
        </w:rPr>
        <w:t>There are numerous firms offering moderately-priced on-line auction services that can quickly provide auction services to the utility</w:t>
      </w:r>
    </w:p>
    <w:p>
      <w:pPr>
        <w:pStyle w:val="Normal"/>
        <w:numPr>
          <w:ilvl w:val="0"/>
          <w:numId w:val="2"/>
        </w:numPr>
        <w:rPr>
          <w:sz w:val="20"/>
        </w:rPr>
      </w:pPr>
      <w:r>
        <w:rPr>
          <w:sz w:val="20"/>
        </w:rPr>
        <w:t>The utility should immediately contract for on-line services and present the contract to the California PUC for prompt approval</w:t>
      </w:r>
    </w:p>
    <w:p>
      <w:pPr>
        <w:pStyle w:val="Normal"/>
        <w:numPr>
          <w:ilvl w:val="0"/>
          <w:numId w:val="2"/>
        </w:numPr>
        <w:rPr>
          <w:sz w:val="20"/>
        </w:rPr>
      </w:pPr>
      <w:r>
        <w:rPr>
          <w:sz w:val="20"/>
        </w:rPr>
        <w:t>The utilities should also include in their submittal to the PUC a simple, streamlined set of pre-qualification criteria that would apply to bidders</w:t>
      </w:r>
    </w:p>
    <w:p>
      <w:pPr>
        <w:pStyle w:val="Normal"/>
        <w:numPr>
          <w:ilvl w:val="0"/>
          <w:numId w:val="2"/>
        </w:numPr>
        <w:rPr>
          <w:sz w:val="20"/>
        </w:rPr>
      </w:pPr>
      <w:r>
        <w:rPr>
          <w:sz w:val="20"/>
        </w:rPr>
        <w:t>The pre-qualification criteria should be designed with the goal of making participation as easy and expansive as possible</w:t>
      </w:r>
    </w:p>
    <w:p>
      <w:pPr>
        <w:pStyle w:val="Normal"/>
        <w:numPr>
          <w:ilvl w:val="0"/>
          <w:numId w:val="2"/>
        </w:numPr>
        <w:rPr>
          <w:sz w:val="20"/>
        </w:rPr>
      </w:pPr>
      <w:r>
        <w:rPr>
          <w:sz w:val="20"/>
        </w:rPr>
        <w:t>Pre-qualification will encourage legitimate offers and reduce transaction time</w:t>
      </w:r>
    </w:p>
    <w:p>
      <w:pPr>
        <w:pStyle w:val="Normal"/>
        <w:numPr>
          <w:ilvl w:val="0"/>
          <w:numId w:val="2"/>
        </w:numPr>
        <w:rPr>
          <w:sz w:val="20"/>
        </w:rPr>
      </w:pPr>
      <w:r>
        <w:rPr>
          <w:sz w:val="20"/>
        </w:rPr>
        <w:t>Once the PUC has approved the auction process, the PUC should not apply any additional review to the auction results</w:t>
      </w:r>
    </w:p>
    <w:p>
      <w:pPr>
        <w:pStyle w:val="Normal"/>
        <w:numPr>
          <w:ilvl w:val="0"/>
          <w:numId w:val="2"/>
        </w:numPr>
        <w:rPr>
          <w:sz w:val="20"/>
        </w:rPr>
      </w:pPr>
      <w:r>
        <w:rPr>
          <w:sz w:val="20"/>
        </w:rPr>
        <w:t>Auction “pre-approval” will ensure that the utilities are actively and constructively engaged</w:t>
      </w:r>
    </w:p>
    <w:p>
      <w:pPr>
        <w:pStyle w:val="Normal"/>
        <w:rPr>
          <w:sz w:val="20"/>
        </w:rPr>
      </w:pPr>
      <w:r>
        <w:rPr>
          <w:sz w:val="20"/>
        </w:rPr>
      </w:r>
    </w:p>
    <w:p>
      <w:pPr>
        <w:pStyle w:val="Heading2"/>
        <w:ind w:hanging="0" w:start="0"/>
        <w:rPr>
          <w:bCs/>
        </w:rPr>
      </w:pPr>
      <w:r>
        <w:rPr>
          <w:bCs/>
        </w:rPr>
        <w:t>Actions</w:t>
      </w:r>
    </w:p>
    <w:p>
      <w:pPr>
        <w:pStyle w:val="Normal"/>
        <w:numPr>
          <w:ilvl w:val="0"/>
          <w:numId w:val="8"/>
        </w:numPr>
        <w:tabs>
          <w:tab w:val="clear" w:pos="720"/>
        </w:tabs>
        <w:ind w:hanging="360" w:start="360" w:end="0"/>
        <w:rPr>
          <w:sz w:val="20"/>
        </w:rPr>
      </w:pPr>
      <w:r>
        <w:rPr>
          <w:sz w:val="20"/>
        </w:rPr>
        <w:t>Governor’s office directs PUC to initiate auction</w:t>
      </w:r>
    </w:p>
    <w:p>
      <w:pPr>
        <w:pStyle w:val="Normal"/>
        <w:numPr>
          <w:ilvl w:val="0"/>
          <w:numId w:val="8"/>
        </w:numPr>
        <w:tabs>
          <w:tab w:val="clear" w:pos="720"/>
        </w:tabs>
        <w:ind w:hanging="360" w:start="360" w:end="0"/>
        <w:rPr>
          <w:sz w:val="20"/>
        </w:rPr>
      </w:pPr>
      <w:r>
        <w:rPr>
          <w:sz w:val="20"/>
        </w:rPr>
        <w:t>CPUC directs utility to submit auction proposal within 30 days</w:t>
      </w:r>
    </w:p>
    <w:p>
      <w:pPr>
        <w:pStyle w:val="Normal"/>
        <w:numPr>
          <w:ilvl w:val="0"/>
          <w:numId w:val="6"/>
        </w:numPr>
        <w:rPr>
          <w:sz w:val="20"/>
        </w:rPr>
      </w:pPr>
      <w:r>
        <w:rPr>
          <w:sz w:val="20"/>
        </w:rPr>
        <w:t>Establish abbreviated schedule</w:t>
      </w:r>
    </w:p>
    <w:p>
      <w:pPr>
        <w:pStyle w:val="Normal"/>
        <w:numPr>
          <w:ilvl w:val="0"/>
          <w:numId w:val="6"/>
        </w:numPr>
        <w:rPr>
          <w:sz w:val="20"/>
        </w:rPr>
      </w:pPr>
      <w:r>
        <w:rPr>
          <w:sz w:val="20"/>
        </w:rPr>
        <w:t>Provide parties with abbreviated opportunity to comment</w:t>
      </w:r>
    </w:p>
    <w:p>
      <w:pPr>
        <w:pStyle w:val="Normal"/>
        <w:numPr>
          <w:ilvl w:val="0"/>
          <w:numId w:val="6"/>
        </w:numPr>
        <w:rPr>
          <w:sz w:val="20"/>
        </w:rPr>
      </w:pPr>
      <w:r>
        <w:rPr>
          <w:sz w:val="20"/>
        </w:rPr>
        <w:t>Finalize decision approving auction proposal within 15 days of utility submission</w:t>
      </w:r>
    </w:p>
    <w:p>
      <w:pPr>
        <w:pStyle w:val="Normal"/>
        <w:numPr>
          <w:ilvl w:val="0"/>
          <w:numId w:val="8"/>
        </w:numPr>
        <w:tabs>
          <w:tab w:val="clear" w:pos="720"/>
        </w:tabs>
        <w:ind w:hanging="360" w:start="360" w:end="0"/>
        <w:rPr>
          <w:sz w:val="20"/>
        </w:rPr>
      </w:pPr>
      <w:r>
        <w:rPr>
          <w:sz w:val="20"/>
        </w:rPr>
        <w:t>CPUC rules in advance that results of auction are prudent, and utilities conduct auction by May 1</w:t>
      </w:r>
      <w:r>
        <w:br w:type="page"/>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BodyText3"/>
        <w:rPr/>
      </w:pPr>
      <w:r>
        <w:rPr/>
        <w:t>Key Barriers to the Development of Distributed Generation and Proposals to Remove the Barriers</w:t>
      </w:r>
    </w:p>
    <w:p>
      <w:pPr>
        <w:pStyle w:val="Normal"/>
        <w:autoSpaceDE w:val="false"/>
        <w:spacing w:lineRule="atLeast" w:line="240"/>
        <w:rPr>
          <w:b/>
          <w:bCs/>
          <w:color w:val="000000"/>
          <w:sz w:val="20"/>
          <w:szCs w:val="20"/>
        </w:rPr>
      </w:pPr>
      <w:r>
        <w:rPr>
          <w:b/>
          <w:bCs/>
          <w:color w:val="000000"/>
          <w:sz w:val="20"/>
          <w:szCs w:val="20"/>
        </w:rPr>
      </w:r>
    </w:p>
    <w:p>
      <w:pPr>
        <w:pStyle w:val="Heading3"/>
        <w:ind w:hanging="0" w:start="0"/>
        <w:rPr>
          <w:b/>
          <w:bCs/>
          <w:i w:val="false"/>
          <w:i w:val="false"/>
          <w:iCs w:val="false"/>
        </w:rPr>
      </w:pPr>
      <w:r>
        <w:rPr>
          <w:b/>
          <w:bCs/>
          <w:i w:val="false"/>
          <w:iCs w:val="false"/>
        </w:rPr>
        <w:t>Barrier:</w:t>
        <w:tab/>
        <w:tab/>
        <w:t>Excessive and Unnecessary Utility Stand-by Charges</w:t>
      </w:r>
    </w:p>
    <w:p>
      <w:pPr>
        <w:pStyle w:val="Normal"/>
        <w:autoSpaceDE w:val="false"/>
        <w:spacing w:lineRule="atLeast" w:line="240"/>
        <w:rPr>
          <w:b/>
          <w:bCs/>
          <w:i/>
          <w:i/>
          <w:iCs/>
          <w:color w:val="000000"/>
          <w:sz w:val="20"/>
          <w:szCs w:val="20"/>
        </w:rPr>
      </w:pPr>
      <w:r>
        <w:rPr>
          <w:b/>
          <w:bCs/>
          <w:i/>
          <w:iCs/>
          <w:color w:val="000000"/>
          <w:sz w:val="20"/>
          <w:szCs w:val="20"/>
        </w:rPr>
      </w:r>
    </w:p>
    <w:p>
      <w:pPr>
        <w:pStyle w:val="Heading4"/>
        <w:ind w:hanging="0" w:start="0"/>
        <w:rPr/>
      </w:pPr>
      <w:r>
        <w:rPr/>
        <w:t>Solution</w:t>
      </w:r>
    </w:p>
    <w:p>
      <w:pPr>
        <w:pStyle w:val="Normal"/>
        <w:autoSpaceDE w:val="false"/>
        <w:spacing w:lineRule="atLeast" w:line="240"/>
        <w:rPr>
          <w:color w:val="000000"/>
          <w:sz w:val="20"/>
          <w:szCs w:val="20"/>
        </w:rPr>
      </w:pPr>
      <w:r>
        <w:rPr>
          <w:color w:val="000000"/>
          <w:sz w:val="20"/>
          <w:szCs w:val="20"/>
        </w:rPr>
        <w:t xml:space="preserve">The executive orders issued by the Governor on February 14th took a step in the right direction, but don’t go nearly far enough.  Utility stand-by charges have always been designed by the utilities to protect their monopoly position, extract monopoly prices from customers, or both.  They must be eliminated for all distributed generation applications.  There is no reason to limit the elimination of these charges to generation facilities that are less than 1MW.  These limits will only lengthen unnecessarily the time it takes for California to close the significant gap between supply and demand and reduce the risk of black outs this summer. </w:t>
      </w:r>
    </w:p>
    <w:p>
      <w:pPr>
        <w:pStyle w:val="Normal"/>
        <w:autoSpaceDE w:val="false"/>
        <w:spacing w:lineRule="atLeast" w:line="240"/>
        <w:rPr>
          <w:color w:val="000000"/>
          <w:sz w:val="20"/>
          <w:szCs w:val="20"/>
        </w:rPr>
      </w:pPr>
      <w:r>
        <w:rPr>
          <w:color w:val="000000"/>
          <w:sz w:val="20"/>
          <w:szCs w:val="20"/>
        </w:rPr>
      </w:r>
    </w:p>
    <w:p>
      <w:pPr>
        <w:pStyle w:val="BodyText"/>
        <w:autoSpaceDE w:val="false"/>
        <w:spacing w:lineRule="atLeast" w:line="240"/>
        <w:rPr/>
      </w:pPr>
      <w:r>
        <w:rPr/>
        <w:t>The provisions of SB27X eliminating stand-by charges were stripped from the bill.  This will likely thwart any attempts to encourage the near-term development of distributed generation and reduce the severe supply-demand imbalance in California.</w:t>
      </w:r>
    </w:p>
    <w:p>
      <w:pPr>
        <w:pStyle w:val="Normal"/>
        <w:autoSpaceDE w:val="false"/>
        <w:spacing w:lineRule="atLeast" w:line="240"/>
        <w:ind w:hanging="1440" w:start="1440" w:end="0"/>
        <w:rPr>
          <w:color w:val="000000"/>
          <w:sz w:val="20"/>
          <w:szCs w:val="20"/>
        </w:rPr>
      </w:pPr>
      <w:r>
        <w:rPr>
          <w:color w:val="000000"/>
          <w:sz w:val="20"/>
          <w:szCs w:val="20"/>
        </w:rPr>
      </w:r>
    </w:p>
    <w:p>
      <w:pPr>
        <w:pStyle w:val="BodyText2"/>
        <w:rPr/>
      </w:pPr>
      <w:r>
        <w:rPr/>
        <w:t xml:space="preserve">The language eliminating stand-by charges should be re-inserted into SB27X and modified to remove all caps on plant size. </w:t>
      </w:r>
    </w:p>
    <w:p>
      <w:pPr>
        <w:pStyle w:val="Normal"/>
        <w:autoSpaceDE w:val="false"/>
        <w:spacing w:lineRule="atLeast" w:line="240"/>
        <w:rPr>
          <w:color w:val="000000"/>
          <w:sz w:val="20"/>
          <w:szCs w:val="20"/>
        </w:rPr>
      </w:pPr>
      <w:r>
        <w:rPr>
          <w:color w:val="000000"/>
          <w:sz w:val="20"/>
          <w:szCs w:val="20"/>
        </w:rPr>
        <w:t xml:space="preserve"> </w:t>
      </w:r>
    </w:p>
    <w:p>
      <w:pPr>
        <w:pStyle w:val="BodyTextIndent"/>
        <w:rPr/>
      </w:pPr>
      <w:r>
        <w:rPr/>
        <w:t>Barrier:</w:t>
        <w:tab/>
        <w:t>Excessive delays and costs related to interconnecting facilities with investor-owned and municipal utilities</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ind w:hanging="1440" w:start="1440" w:end="0"/>
        <w:rPr/>
      </w:pPr>
      <w:r>
        <w:rPr>
          <w:b/>
          <w:bCs/>
          <w:color w:val="000000"/>
          <w:sz w:val="20"/>
          <w:szCs w:val="20"/>
        </w:rPr>
        <w:t>Solution</w:t>
      </w:r>
      <w:r>
        <w:rPr>
          <w:color w:val="000000"/>
          <w:sz w:val="20"/>
          <w:szCs w:val="20"/>
        </w:rPr>
        <w:t xml:space="preserve">:  </w:t>
        <w:tab/>
      </w:r>
    </w:p>
    <w:p>
      <w:pPr>
        <w:pStyle w:val="Normal"/>
        <w:autoSpaceDE w:val="false"/>
        <w:spacing w:lineRule="atLeast" w:line="240"/>
        <w:rPr>
          <w:color w:val="000000"/>
          <w:sz w:val="20"/>
          <w:szCs w:val="20"/>
        </w:rPr>
      </w:pPr>
      <w:r>
        <w:rPr>
          <w:color w:val="000000"/>
          <w:sz w:val="20"/>
          <w:szCs w:val="20"/>
        </w:rPr>
        <w:t xml:space="preserve">The Governor’s executive order regarding interconnection is a step in the right direction—D-D-26-01 requires utilities to complete interconnection studies within 7 days.  California should ensure that this requirement applies to all generation facilities, including distributed generation.  In addition, the financial conflicts the utilities face when interconnecting generation facilities are simply too powerful to overcome through executive orders or other regulations.  </w:t>
      </w:r>
    </w:p>
    <w:p>
      <w:pPr>
        <w:pStyle w:val="Normal"/>
        <w:autoSpaceDE w:val="false"/>
        <w:spacing w:lineRule="atLeast" w:line="240"/>
        <w:rPr>
          <w:color w:val="000000"/>
          <w:sz w:val="20"/>
          <w:szCs w:val="20"/>
        </w:rPr>
      </w:pPr>
      <w:r>
        <w:rPr>
          <w:color w:val="000000"/>
          <w:sz w:val="20"/>
          <w:szCs w:val="20"/>
        </w:rPr>
      </w:r>
    </w:p>
    <w:p>
      <w:pPr>
        <w:pStyle w:val="BodyText2"/>
        <w:rPr/>
      </w:pPr>
      <w:r>
        <w:rPr/>
        <w:t>To the greatest extent possible, California should shift control over interconnection away from the utility and place that control with the California ISO.  This could be accomplished through amendments to SB 27X.</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b/>
          <w:bCs/>
          <w:color w:val="000000"/>
          <w:sz w:val="20"/>
          <w:szCs w:val="20"/>
        </w:rPr>
      </w:pPr>
      <w:r>
        <w:rPr>
          <w:b/>
          <w:bCs/>
          <w:color w:val="000000"/>
          <w:sz w:val="20"/>
          <w:szCs w:val="20"/>
        </w:rPr>
        <w:t>Barrier:</w:t>
        <w:tab/>
        <w:tab/>
        <w:t>Permitting and Air Quality Issues</w:t>
      </w:r>
    </w:p>
    <w:p>
      <w:pPr>
        <w:pStyle w:val="Normal"/>
        <w:autoSpaceDE w:val="false"/>
        <w:spacing w:lineRule="atLeast" w:line="240"/>
        <w:rPr>
          <w:color w:val="000000"/>
          <w:sz w:val="20"/>
          <w:szCs w:val="20"/>
        </w:rPr>
      </w:pPr>
      <w:r>
        <w:rPr>
          <w:color w:val="000000"/>
          <w:sz w:val="20"/>
          <w:szCs w:val="20"/>
        </w:rPr>
        <w:t xml:space="preserve">Developers of distributed (i.e., “on-site”) generation that is 50 MWs or greater must receive certification from the California Energy Commission and therefore face all of the impediments to development that large-scale generation faces.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hanging="1440" w:start="1440" w:end="0"/>
        <w:rPr/>
      </w:pPr>
      <w:r>
        <w:rPr>
          <w:b/>
          <w:bCs/>
          <w:color w:val="000000"/>
          <w:sz w:val="20"/>
          <w:szCs w:val="20"/>
        </w:rPr>
        <w:t>Solution:</w:t>
      </w:r>
      <w:r>
        <w:rPr>
          <w:color w:val="000000"/>
          <w:sz w:val="20"/>
          <w:szCs w:val="20"/>
        </w:rPr>
        <w:tab/>
      </w:r>
    </w:p>
    <w:p>
      <w:pPr>
        <w:pStyle w:val="BodyText"/>
        <w:autoSpaceDE w:val="false"/>
        <w:spacing w:lineRule="atLeast" w:line="240"/>
        <w:rPr/>
      </w:pPr>
      <w:r>
        <w:rPr/>
        <w:t xml:space="preserve">California should ensure that the executive orders (D-22-01 thru D-26-01) issued by the Governor to expedite plant siting and maximize plant output apply equally to smaller scale, “distributed generation” facilities. In addition, distributed generation that is less than 50 MWs continues to face local opposition.  The State should ensure that local, parochial interests cannot block otherwise beneficial distributed generation projects.  </w:t>
      </w:r>
    </w:p>
    <w:p>
      <w:pPr>
        <w:pStyle w:val="Normal"/>
        <w:autoSpaceDE w:val="false"/>
        <w:spacing w:lineRule="atLeast" w:line="240"/>
        <w:rPr>
          <w:color w:val="000000"/>
          <w:sz w:val="20"/>
          <w:szCs w:val="20"/>
        </w:rPr>
      </w:pPr>
      <w:r>
        <w:rPr>
          <w:color w:val="000000"/>
          <w:sz w:val="20"/>
          <w:szCs w:val="20"/>
        </w:rPr>
      </w:r>
    </w:p>
    <w:p>
      <w:pPr>
        <w:pStyle w:val="BodyText2"/>
        <w:rPr/>
      </w:pPr>
      <w:r>
        <w:rPr/>
        <w:t>These objectives could be accomplished through amendments to SB27X.</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abstractNum w:abstractNumId="8">
    <w:lvl w:ilvl="0">
      <w:start w:val="1"/>
      <w:numFmt w:val="bullet"/>
      <w:lvlText w:val=""/>
      <w:lvlJc w:val="start"/>
      <w:pPr>
        <w:tabs>
          <w:tab w:val="num" w:pos="720"/>
        </w:tabs>
        <w:ind w:start="64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outlineLvl w:val="1"/>
    </w:pPr>
    <w:rPr>
      <w:b/>
      <w:i/>
      <w:iCs/>
      <w:sz w:val="20"/>
    </w:rPr>
  </w:style>
  <w:style w:type="paragraph" w:styleId="Heading3">
    <w:name w:val="heading 3"/>
    <w:basedOn w:val="Normal"/>
    <w:next w:val="Normal"/>
    <w:qFormat/>
    <w:pPr>
      <w:keepNext w:val="true"/>
      <w:numPr>
        <w:ilvl w:val="2"/>
        <w:numId w:val="1"/>
      </w:numPr>
      <w:autoSpaceDE w:val="false"/>
      <w:spacing w:lineRule="atLeast" w:line="240"/>
      <w:outlineLvl w:val="2"/>
    </w:pPr>
    <w:rPr>
      <w:i/>
      <w:iCs/>
      <w:color w:val="000000"/>
      <w:sz w:val="20"/>
      <w:szCs w:val="20"/>
    </w:rPr>
  </w:style>
  <w:style w:type="paragraph" w:styleId="Heading4">
    <w:name w:val="heading 4"/>
    <w:basedOn w:val="Normal"/>
    <w:next w:val="Normal"/>
    <w:qFormat/>
    <w:pPr>
      <w:keepNext w:val="true"/>
      <w:numPr>
        <w:ilvl w:val="3"/>
        <w:numId w:val="1"/>
      </w:numPr>
      <w:autoSpaceDE w:val="false"/>
      <w:spacing w:lineRule="atLeast" w:line="240"/>
      <w:outlineLvl w:val="3"/>
    </w:pPr>
    <w:rPr>
      <w:b/>
      <w:bCs/>
      <w:color w:val="000000"/>
      <w:sz w:val="20"/>
      <w:szCs w:val="20"/>
    </w:rPr>
  </w:style>
  <w:style w:type="paragraph" w:styleId="Heading5">
    <w:name w:val="heading 5"/>
    <w:basedOn w:val="Normal"/>
    <w:next w:val="Normal"/>
    <w:qFormat/>
    <w:pPr>
      <w:keepNext w:val="true"/>
      <w:numPr>
        <w:ilvl w:val="4"/>
        <w:numId w:val="1"/>
      </w:numPr>
      <w:autoSpaceDE w:val="false"/>
      <w:spacing w:lineRule="atLeast" w:line="240"/>
      <w:outlineLvl w:val="4"/>
    </w:pPr>
    <w:rPr>
      <w:b/>
      <w:bCs/>
      <w:color w:val="000000"/>
      <w:sz w:val="20"/>
      <w:szCs w:val="20"/>
      <w:u w:val="single"/>
    </w:rPr>
  </w:style>
  <w:style w:type="paragraph" w:styleId="Heading6">
    <w:name w:val="heading 6"/>
    <w:basedOn w:val="Normal"/>
    <w:next w:val="Normal"/>
    <w:qFormat/>
    <w:pPr>
      <w:keepNext w:val="true"/>
      <w:numPr>
        <w:ilvl w:val="5"/>
        <w:numId w:val="1"/>
      </w:numPr>
      <w:jc w:val="center"/>
      <w:outlineLvl w:val="5"/>
    </w:pPr>
    <w:rPr>
      <w:b/>
      <w:smallCap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i/>
      <w:iCs/>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autoSpaceDE w:val="false"/>
      <w:spacing w:lineRule="atLeast" w:line="240"/>
      <w:jc w:val="center"/>
    </w:pPr>
    <w:rPr>
      <w:b/>
      <w:bCs/>
      <w:i/>
      <w:iCs/>
      <w:smallCaps/>
      <w:color w:val="000000"/>
      <w:sz w:val="22"/>
      <w:szCs w:val="20"/>
    </w:rPr>
  </w:style>
  <w:style w:type="paragraph" w:styleId="BodyTextIndent">
    <w:name w:val="Body Text Indent"/>
    <w:basedOn w:val="Normal"/>
    <w:pPr>
      <w:autoSpaceDE w:val="false"/>
      <w:spacing w:lineRule="atLeast" w:line="240"/>
      <w:ind w:hanging="1440" w:start="1440" w:end="0"/>
    </w:pPr>
    <w:rPr>
      <w:b/>
      <w:bCs/>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2001-02-28T23:24:00Z</dcterms:created>
  <dc:creator>jdasovic</dc:creator>
  <dc:description/>
  <dc:language>en-CA</dc:language>
  <cp:lastModifiedBy>jdasovic</cp:lastModifiedBy>
  <cp:lastPrinted>2001-02-28T19:46:00Z</cp:lastPrinted>
  <dcterms:modified xsi:type="dcterms:W3CDTF">2001-02-28T23:24:00Z</dcterms:modified>
  <cp:revision>2</cp:revision>
  <dc:subject/>
  <dc:title>PROPOSAL TO ALLEVIATE CALIFORNIA’S ELECTRICITY SHORTAGE</dc:title>
</cp:coreProperties>
</file>