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Large Customer Rate Relief</w:t>
      </w:r>
    </w:p>
    <w:p>
      <w:pPr>
        <w:pStyle w:val="Normal"/>
        <w:rPr/>
      </w:pPr>
      <w:r>
        <w:rPr/>
      </w:r>
    </w:p>
    <w:p>
      <w:pPr>
        <w:pStyle w:val="Normal"/>
        <w:rPr/>
      </w:pPr>
      <w:r>
        <w:rPr/>
        <w:t xml:space="preserve">Intent language:  The allocation of recent rate increases adopted by the Commission has resulted in very large increases directed at large power users of Southern California Edison.  Certain classes of customers have received rate increases since January 4, 2001 in excess of 50 percent.  It is the intent of the legislature to reduce these increases to a level no greater than 50 percent in order to reduce the negative impact on the State’s economy of such large increases in electric rates. </w:t>
      </w:r>
    </w:p>
    <w:p>
      <w:pPr>
        <w:pStyle w:val="Normal"/>
        <w:rPr/>
      </w:pPr>
      <w:r>
        <w:rPr/>
      </w:r>
    </w:p>
    <w:p>
      <w:pPr>
        <w:pStyle w:val="Normal"/>
        <w:rPr/>
      </w:pPr>
      <w:r>
        <w:rPr/>
        <w:t>[Poorly drafted] Language:</w:t>
      </w:r>
    </w:p>
    <w:p>
      <w:pPr>
        <w:pStyle w:val="Normal"/>
        <w:rPr/>
      </w:pPr>
      <w:r>
        <w:rPr/>
      </w:r>
    </w:p>
    <w:p>
      <w:pPr>
        <w:pStyle w:val="Normal"/>
        <w:rPr/>
      </w:pPr>
      <w:r>
        <w:rPr/>
        <w:t>Within 10 days of the implementation of this section, Southern California Edison is directed to make an advice filing with the Commission to reduce rates for all classes of customers that have received rate increases in excess of 50 percent since January 4, 2001 to a level consistent with an increase of no more than 50 percent.  [Classes or customers?  Classes is simpler to implement than a customer by customer rate change.]  The CPUC shall issue an order adopting such a decrease on an expedited basis, in no event later than 20 days following the utility filing.</w:t>
      </w:r>
    </w:p>
    <w:p>
      <w:pPr>
        <w:pStyle w:val="Normal"/>
        <w:rPr/>
      </w:pPr>
      <w:r>
        <w:rPr/>
      </w:r>
    </w:p>
    <w:p>
      <w:pPr>
        <w:pStyle w:val="Normal"/>
        <w:rPr/>
      </w:pPr>
      <w:r>
        <w:rPr/>
        <w:t>Any revenue shortfall associated with this rate reduction shall be tracked in a memorandum [balancing?] account created by the utility.  The balance in this memorandum [balancing?] account shall be transferred monthly to a balancing account to be created as directed in section (  ) below.  Revenues to offset the balance resulting from this rate reduction shall be credited monthly from the following sources: 1) the additional revenues received by the utility from small customers upon the termination of the ten percent small customer rate reduction created by AB 1890 (need code cite) and scheduled for termination no later than March 31, 2002; 2) overcollected (aka positive?) balances in the balancing account directed in section (  ) below tracking generation-related revenues and costs collected by the utility on a monthly basis related to its retained generation and contracts; and 3) any refunds to the utility from generators or marketers received as a result FERC decisions related to sales of power to California utilities or the CDWR during the period May 2000 through the year 2002.  [Can CDWR dollars be used for this purpose?]</w:t>
      </w:r>
    </w:p>
    <w:p>
      <w:pPr>
        <w:pStyle w:val="Normal"/>
        <w:rPr/>
      </w:pPr>
      <w:r>
        <w:rPr/>
      </w:r>
    </w:p>
    <w:p>
      <w:pPr>
        <w:pStyle w:val="Normal"/>
        <w:rPr/>
      </w:pPr>
      <w:r>
        <w:rPr/>
      </w:r>
    </w:p>
    <w:p>
      <w:pPr>
        <w:pStyle w:val="Normal"/>
        <w:rPr/>
      </w:pPr>
      <w:r>
        <w:rPr/>
        <w:t>Utility Balancing Account to Track URG Revenues and Costs and Refund Mechanism</w:t>
      </w:r>
    </w:p>
    <w:p>
      <w:pPr>
        <w:pStyle w:val="Normal"/>
        <w:rPr/>
      </w:pPr>
      <w:r>
        <w:rPr/>
      </w:r>
    </w:p>
    <w:p>
      <w:pPr>
        <w:pStyle w:val="Normal"/>
        <w:rPr/>
      </w:pPr>
      <w:r>
        <w:rPr/>
      </w:r>
    </w:p>
    <w:p>
      <w:pPr>
        <w:pStyle w:val="Normal"/>
        <w:rPr/>
      </w:pPr>
      <w:r>
        <w:rPr/>
        <w:t>Within 10 days of the implementation date of this legislation, the utility shall file an advice letter with the Commission, which the Commission shall within 20 days thereafter approve [any modification possible?] , for the establishment of a balancing account to track on a monthly basis the generation-related revenues received and costs incurred by the utility related to its retained utility generation and power contracts. [DOES THIS APPLY JUST TO URG OR TO ALL GENERATION, INCLUDING DWR?]   If the net balance in this account is such that the revenues received from retail customers exceed the expenses for the power by over $500 million, the net amount is to be used to the benefit of customers in the following priority: 1) a credit against any revenue shortfall in the memorandum account established pursuant to section (  ) above resulting from the large customer rate increases reduction to no more than 50 percent since January 4, 2001; 2) a refund to customers implemented as a reduction in revenue requirement for all classes made in proportion to the level of class percentage increases (and, for classes with service at different voltages, in proportion to the level of increase by service voltage) adopted in D. 01-05-064 through an immediate bill credit, 3) __________________.</w:t>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2001-07-07T13:47:00Z</dcterms:created>
  <dc:creator>Valued Gateway Client</dc:creator>
  <dc:description/>
  <dc:language>en-CA</dc:language>
  <cp:lastModifiedBy>Valued Gateway Client</cp:lastModifiedBy>
  <dcterms:modified xsi:type="dcterms:W3CDTF">2001-07-08T13:10:00Z</dcterms:modified>
  <cp:revision>3</cp:revision>
  <dc:subject/>
  <dc:title>Large Customer Rate Relief</dc:title>
</cp:coreProperties>
</file>