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Interim Rate Relief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Definition: “Large Power” refers to customers with annual average demand of at least 500 kW or to rate schedules applicable to customers with such demands.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Findings and Declarations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Legislature finds that the allocation of recent rate increases by the commission to Edison customers has resulted in very large increases directed at large power customers.  Certain classes of customers have received rate increases in excess of 50 percent since January 4, 2001.  The Legislature finds that such large rate increases will have a substantial negative impact on the State’s economy.  It is the intent of the Legislature to reduce such rate increases so that no customer class receives an increase of more than 50 percent over rates in effect on January 1, 2001.  It is estimated that the net revenue impact of this rate reduction for Edison is approximately $120 million per year.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Option 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Within 30 days of the passage of this legislation, the commission will direct Edison to reduce rates to ensure that no large power rate schedule or tariff option incurs an average increase of more than 50 percent when compared to rates in effect for that schedule or tariff option on January 4,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 addressed in amendments to Section 377(d) of the Public Utilities Code addressed elsewhere in this legislation, a balancing account shall be established to track differences between revenues and actual costs associated with utility retained generation.  Any refund of overcollections within this account pursuant that that section will first be applied to the recovery of the revenue shortfall resulting from this rate reduction.  Any additional refund will be applied to all customers as specified in Section 377(d).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2001-07-09T01:03:00Z</dcterms:created>
  <dc:creator>Valued Gateway Client</dc:creator>
  <dc:description/>
  <dc:language>en-CA</dc:language>
  <cp:lastModifiedBy>Valued Gateway Client</cp:lastModifiedBy>
  <dcterms:modified xsi:type="dcterms:W3CDTF">2001-07-09T01:20:00Z</dcterms:modified>
  <cp:revision>1</cp:revision>
  <dc:subject/>
  <dc:title>Interim Rate Relief</dc:title>
</cp:coreProperties>
</file>