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1291936081" r:id="rId2"/>
        </w:object>
      </w:r>
    </w:p>
    <w:p>
      <w:pPr>
        <w:pStyle w:val="Normal"/>
        <w:rPr/>
      </w:pPr>
      <w:r>
        <w:rPr/>
      </w:r>
    </w:p>
    <w:p>
      <w:pPr>
        <w:pStyle w:val="Normal"/>
        <w:rPr/>
      </w:pPr>
      <w:r>
        <w:rPr/>
      </w:r>
    </w:p>
    <w:p>
      <w:pPr>
        <w:pStyle w:val="Heading"/>
        <w:rPr/>
      </w:pPr>
      <w:r>
        <w:rPr/>
        <w:t>SUMMARY OF TERMS FOR PROPOSED TRANSACTIONS BETWEEN</w:t>
      </w:r>
    </w:p>
    <w:p>
      <w:pPr>
        <w:pStyle w:val="Heading"/>
        <w:rPr>
          <w:b w:val="false"/>
        </w:rPr>
      </w:pPr>
      <w:r>
        <w:rPr/>
        <w:t xml:space="preserve"> </w:t>
      </w:r>
    </w:p>
    <w:p>
      <w:pPr>
        <w:pStyle w:val="Normal"/>
        <w:jc w:val="center"/>
        <w:rPr>
          <w:b/>
        </w:rPr>
      </w:pPr>
      <w:r>
        <w:rPr>
          <w:b/>
        </w:rPr>
        <w:t>UNITED COGEN, INC.,  A WHOLLY OWNED SUBSIDIARY OF UNITED AIRLINES</w:t>
      </w:r>
    </w:p>
    <w:p>
      <w:pPr>
        <w:pStyle w:val="Normal"/>
        <w:jc w:val="center"/>
        <w:rPr>
          <w:b/>
        </w:rPr>
      </w:pPr>
      <w:r>
        <w:rPr>
          <w:b/>
        </w:rPr>
        <w:t>AND</w:t>
      </w:r>
    </w:p>
    <w:p>
      <w:pPr>
        <w:pStyle w:val="Normal"/>
        <w:jc w:val="center"/>
        <w:rPr>
          <w:b/>
        </w:rPr>
      </w:pPr>
      <w:r>
        <w:rPr>
          <w:b/>
        </w:rPr>
        <w:t>ENRON NORTH AMERICA CORP. (ENA)</w:t>
      </w:r>
    </w:p>
    <w:p>
      <w:pPr>
        <w:pStyle w:val="Normal"/>
        <w:jc w:val="center"/>
        <w:rPr>
          <w:b/>
        </w:rPr>
      </w:pPr>
      <w:r>
        <w:rPr>
          <w:b/>
        </w:rPr>
      </w:r>
    </w:p>
    <w:p>
      <w:pPr>
        <w:pStyle w:val="Heading2"/>
        <w:ind w:hanging="0" w:start="0"/>
        <w:rPr/>
      </w:pPr>
      <w:r>
        <w:rPr/>
        <w:t>May 4, 2001</w:t>
      </w:r>
    </w:p>
    <w:p>
      <w:pPr>
        <w:pStyle w:val="Normal"/>
        <w:rPr/>
      </w:pPr>
      <w:r>
        <w:rPr/>
      </w:r>
    </w:p>
    <w:p>
      <w:pPr>
        <w:pStyle w:val="Normal"/>
        <w:rPr/>
      </w:pPr>
      <w:r>
        <w:rPr/>
      </w:r>
    </w:p>
    <w:p>
      <w:pPr>
        <w:pStyle w:val="Normal"/>
        <w:rPr/>
      </w:pPr>
      <w:r>
        <w:rPr/>
        <w:t>Seller:</w:t>
        <w:tab/>
        <w:t>Enron North America (ENA)</w:t>
      </w:r>
    </w:p>
    <w:p>
      <w:pPr>
        <w:pStyle w:val="Normal"/>
        <w:rPr/>
      </w:pPr>
      <w:r>
        <w:rPr/>
      </w:r>
    </w:p>
    <w:p>
      <w:pPr>
        <w:pStyle w:val="Normal"/>
        <w:rPr/>
      </w:pPr>
      <w:r>
        <w:rPr/>
        <w:t xml:space="preserve">Buyer: </w:t>
        <w:tab/>
        <w:t>United Cogen, Inc., a subsidiary of United Airlines</w:t>
      </w:r>
    </w:p>
    <w:p>
      <w:pPr>
        <w:pStyle w:val="Normal"/>
        <w:rPr/>
      </w:pPr>
      <w:r>
        <w:rPr/>
      </w:r>
    </w:p>
    <w:p>
      <w:pPr>
        <w:pStyle w:val="Normal"/>
        <w:rPr/>
      </w:pPr>
      <w:r>
        <w:rPr/>
        <w:t>Term:     (1) June 1, 2001 through  November 30, 2001.</w:t>
      </w:r>
    </w:p>
    <w:p>
      <w:pPr>
        <w:pStyle w:val="Normal"/>
        <w:rPr/>
      </w:pPr>
      <w:r>
        <w:rPr/>
        <w:tab/>
        <w:t>(2)  June 1, 2001 through May 30, 2002</w:t>
      </w:r>
    </w:p>
    <w:p>
      <w:pPr>
        <w:pStyle w:val="Normal"/>
        <w:rPr/>
      </w:pPr>
      <w:r>
        <w:rPr/>
      </w:r>
    </w:p>
    <w:p>
      <w:pPr>
        <w:pStyle w:val="Normal"/>
        <w:rPr/>
      </w:pPr>
      <w:r>
        <w:rPr/>
        <w:t>Volume:  As described in Buyer’s RFP and in the document below</w:t>
      </w:r>
    </w:p>
    <w:p>
      <w:pPr>
        <w:pStyle w:val="Normal"/>
        <w:rPr/>
      </w:pPr>
      <w:r>
        <w:rPr/>
      </w:r>
    </w:p>
    <w:p>
      <w:pPr>
        <w:pStyle w:val="Normal"/>
        <w:numPr>
          <w:ilvl w:val="0"/>
          <w:numId w:val="3"/>
        </w:numPr>
        <w:rPr>
          <w:rFonts w:ascii="Arial" w:hAnsi="Arial" w:cs="Arial"/>
        </w:rPr>
      </w:pPr>
      <w:r>
        <w:rPr>
          <w:rFonts w:cs="Arial" w:ascii="Arial" w:hAnsi="Arial"/>
        </w:rPr>
        <w:t>Conditions under which ENA submits this response to Henwood Energy Services, Inc’s request for a Natural Gas Supplier on behalf of United Cogen, Inc.</w:t>
      </w:r>
    </w:p>
    <w:p>
      <w:pPr>
        <w:pStyle w:val="Normal"/>
        <w:ind w:start="45" w:end="0"/>
        <w:rPr>
          <w:rFonts w:ascii="Arial" w:hAnsi="Arial" w:cs="Arial"/>
        </w:rPr>
      </w:pPr>
      <w:r>
        <w:rPr>
          <w:rFonts w:cs="Arial" w:ascii="Arial" w:hAnsi="Arial"/>
        </w:rPr>
      </w:r>
    </w:p>
    <w:p>
      <w:pPr>
        <w:pStyle w:val="Normal"/>
        <w:numPr>
          <w:ilvl w:val="0"/>
          <w:numId w:val="2"/>
        </w:numPr>
        <w:rPr/>
      </w:pPr>
      <w:r>
        <w:rPr>
          <w:rFonts w:cs="Arial" w:ascii="Arial" w:hAnsi="Arial"/>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by ENA or any parent or affiliate of ENA.  The transaction described herein is subject to further review and approval of ENA and execution of definitive agreements containing all appropriate provisions</w:t>
      </w:r>
    </w:p>
    <w:p>
      <w:pPr>
        <w:pStyle w:val="Normal"/>
        <w:numPr>
          <w:ilvl w:val="0"/>
          <w:numId w:val="2"/>
        </w:numPr>
        <w:rPr/>
      </w:pPr>
      <w:r>
        <w:rPr>
          <w:rFonts w:cs="Arial" w:ascii="Arial" w:hAnsi="Arial"/>
        </w:rPr>
        <w:t>Terms will be negotiated only after credit has been established and an Enfolio Master Firm Purchase/Sale Agreement has been executed.</w:t>
      </w:r>
    </w:p>
    <w:p>
      <w:pPr>
        <w:pStyle w:val="Normal"/>
        <w:numPr>
          <w:ilvl w:val="0"/>
          <w:numId w:val="2"/>
        </w:numPr>
        <w:rPr/>
      </w:pPr>
      <w:r>
        <w:rPr>
          <w:rFonts w:cs="Arial" w:ascii="Arial" w:hAnsi="Arial"/>
        </w:rPr>
        <w:t>Contact:  Natural Gas Supply – Kim Ward, 1400 Smith Street, Houston, Tx 77002</w:t>
      </w:r>
    </w:p>
    <w:p>
      <w:pPr>
        <w:pStyle w:val="Normal"/>
        <w:ind w:start="1440" w:end="0"/>
        <w:rPr>
          <w:rFonts w:ascii="Arial" w:hAnsi="Arial" w:cs="Arial"/>
        </w:rPr>
      </w:pPr>
      <w:r>
        <w:rPr>
          <w:rFonts w:eastAsia="Arial" w:cs="Arial" w:ascii="Arial" w:hAnsi="Arial"/>
        </w:rPr>
        <w:t xml:space="preserve">         </w:t>
      </w:r>
      <w:r>
        <w:rPr>
          <w:rFonts w:cs="Arial" w:ascii="Arial" w:hAnsi="Arial"/>
        </w:rPr>
        <w:t xml:space="preserve">Phone – 713-853-0685     Fax – 713-646-2391   email: </w:t>
      </w:r>
      <w:hyperlink r:id="rId4">
        <w:r>
          <w:rPr>
            <w:rStyle w:val="Hyperlink"/>
          </w:rPr>
          <w:t>kim.ward@enron.com</w:t>
        </w:r>
      </w:hyperlink>
    </w:p>
    <w:p>
      <w:pPr>
        <w:pStyle w:val="Normal"/>
        <w:numPr>
          <w:ilvl w:val="0"/>
          <w:numId w:val="2"/>
        </w:numPr>
        <w:rPr/>
      </w:pPr>
      <w:r>
        <w:rPr>
          <w:rFonts w:cs="Arial" w:ascii="Arial" w:hAnsi="Arial"/>
        </w:rPr>
        <w:t>A Master Purchase/Sale agreement will be forwarded once United Cogen, Inc.’s credit has been evaluated by ENA.</w:t>
      </w:r>
    </w:p>
    <w:p>
      <w:pPr>
        <w:pStyle w:val="Normal"/>
        <w:ind w:start="72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Proposal Summary: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Enron has the ability to supply full requirement gas supply for the plants listed in the RFP proposal.  Delivery for the plants located on PG&amp;E’s system will be made out of Enron’s PG&amp;E pool at the PG&amp;E Citygate.  Transportation across PG&amp;E’s system from the City Gate shall be the responsibility of and secured by Buyer.  Enron is willing to provide scheduling services to the meter.</w:t>
      </w:r>
    </w:p>
    <w:p>
      <w:pPr>
        <w:pStyle w:val="BodyTextIndent"/>
        <w:ind w:hanging="0" w:start="1080" w:end="0"/>
        <w:rPr>
          <w:rFonts w:ascii="Arial" w:hAnsi="Arial" w:cs="Arial"/>
        </w:rPr>
      </w:pPr>
      <w:r>
        <w:rPr>
          <w:rFonts w:cs="Arial"/>
        </w:rPr>
      </w:r>
    </w:p>
    <w:p>
      <w:pPr>
        <w:pStyle w:val="BodyTextIndent"/>
        <w:ind w:hanging="0" w:start="1080" w:end="0"/>
        <w:rPr/>
      </w:pPr>
      <w:r>
        <w:rPr/>
        <w:t>Enron is willing to offer management services arrangement whereby ENA would provide risk management services, scheduling, transportation management, and market intelligence.</w:t>
      </w:r>
    </w:p>
    <w:p>
      <w:pPr>
        <w:pStyle w:val="BodyTextIndent"/>
        <w:ind w:hanging="0" w:start="0" w:end="0"/>
        <w:rPr/>
      </w:pPr>
      <w:r>
        <w:rPr/>
      </w:r>
    </w:p>
    <w:p>
      <w:pPr>
        <w:pStyle w:val="Normal"/>
        <w:numPr>
          <w:ilvl w:val="0"/>
          <w:numId w:val="3"/>
        </w:numPr>
        <w:rPr>
          <w:rFonts w:ascii="Arial" w:hAnsi="Arial" w:cs="Arial"/>
        </w:rPr>
      </w:pPr>
      <w:r>
        <w:rPr>
          <w:rFonts w:cs="Arial" w:ascii="Arial" w:hAnsi="Arial"/>
        </w:rPr>
        <w:t>Scope of Work or Services – Section 4 – Pricing</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Seller is willing to supply Buyer’s baseload gas requirements priced at a first-of-the-month index.  Seller proposes to be Buyer’s authorized agent as defined by the tariffs of PG&amp;E.  Buyer shall pay for all amounts of gas transported on the PG&amp;E system related to their load requirements as documented by their transportation invoice.</w:t>
      </w:r>
    </w:p>
    <w:p>
      <w:pPr>
        <w:pStyle w:val="Normal"/>
        <w:numPr>
          <w:ilvl w:val="0"/>
          <w:numId w:val="5"/>
        </w:numPr>
        <w:rPr>
          <w:rFonts w:ascii="Arial" w:hAnsi="Arial" w:cs="Arial"/>
        </w:rPr>
      </w:pPr>
      <w:r>
        <w:rPr>
          <w:rFonts w:cs="Arial" w:ascii="Arial" w:hAnsi="Arial"/>
        </w:rPr>
        <w:t>At least five days prior to the last trading day of that month’s NYMEX futures contract, Buyer shall notify Seller of the Baseload Daily Quantity (“BDQ”) for the following month. The BDQ shall be the daily quantity that Buyer shall purchase from the seller each day during the delivery month.  If buyer fails to notify seller of the BDQ by the deadline, the BDQ shall be the average daily quantity that buyer purchased from seller during the previous month.</w:t>
      </w:r>
    </w:p>
    <w:p>
      <w:pPr>
        <w:pStyle w:val="Normal"/>
        <w:ind w:start="1155" w:end="0"/>
        <w:rPr>
          <w:rFonts w:ascii="Arial" w:hAnsi="Arial" w:cs="Arial"/>
        </w:rPr>
      </w:pPr>
      <w:r>
        <w:rPr>
          <w:rFonts w:cs="Arial" w:ascii="Arial" w:hAnsi="Arial"/>
        </w:rPr>
      </w:r>
    </w:p>
    <w:p>
      <w:pPr>
        <w:pStyle w:val="Normal"/>
        <w:ind w:hanging="720" w:start="1485" w:end="0"/>
        <w:rPr/>
      </w:pPr>
      <w:r>
        <w:rPr>
          <w:rFonts w:cs="Arial" w:ascii="Arial" w:hAnsi="Arial"/>
        </w:rPr>
        <w:t xml:space="preserve">C. The Contract Price for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on the line titled “PG&amp;E city-gate” plus $.18/MMBtu. Seller is willing to sell baseload quantities at a fixed price.  Market prices can be provided to Buyer at any time.  Buyer would be responsible for taking all gas sold at a fixed price.  Seller is willing to make a best efforts to assist buyer in selling excess volumes on behalf of Buyer at market prices at the time.  Example price indications are as follows:</w:t>
      </w:r>
    </w:p>
    <w:p>
      <w:pPr>
        <w:pStyle w:val="Normal"/>
        <w:ind w:hanging="720" w:start="148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ab/>
        <w:tab/>
        <w:tab/>
        <w:tab/>
        <w:tab/>
        <w:t>PG&amp;E</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June 1, 2001 – Nov 30, 2001</w:t>
        <w:tab/>
        <w:t>$10.80/MMBtu</w:t>
        <w:tab/>
        <w:tab/>
      </w:r>
    </w:p>
    <w:p>
      <w:pPr>
        <w:pStyle w:val="Normal"/>
        <w:ind w:start="1155" w:end="0"/>
        <w:rPr>
          <w:rFonts w:ascii="Arial" w:hAnsi="Arial" w:cs="Arial"/>
        </w:rPr>
      </w:pPr>
      <w:r>
        <w:rPr>
          <w:rFonts w:cs="Arial" w:ascii="Arial" w:hAnsi="Arial"/>
        </w:rPr>
        <w:t>June 1, 2001 – May 30, 2002</w:t>
        <w:tab/>
        <w:t>$9.83/MMBtu</w:t>
        <w:tab/>
        <w:tab/>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D. After the start of the Month, if Buyer believes that its usage is higher or lower than the BDQ, beyond the tolerance permitted by PG&amp;E at the time, Buyer shall contact Seller to purchase additional supplies from Seller or to sell back a portion of such BDQ to Seller at the fixed price communicated by the Seller to the Buyer for the balance of that month. The Daily Contract Quantity can be a positive or negative difference between the amount scheduled by the Buyer and the BDQ.</w:t>
      </w:r>
    </w:p>
    <w:p>
      <w:pPr>
        <w:pStyle w:val="Normal"/>
        <w:ind w:start="1155" w:end="0"/>
        <w:rPr>
          <w:rFonts w:ascii="Arial" w:hAnsi="Arial" w:cs="Arial"/>
        </w:rPr>
      </w:pPr>
      <w:r>
        <w:rPr>
          <w:rFonts w:cs="Arial" w:ascii="Arial" w:hAnsi="Arial"/>
        </w:rPr>
      </w:r>
    </w:p>
    <w:p>
      <w:pPr>
        <w:pStyle w:val="Normal"/>
        <w:ind w:start="1155" w:end="0"/>
        <w:rPr/>
      </w:pPr>
      <w:r>
        <w:rPr>
          <w:rFonts w:cs="Arial" w:ascii="Arial" w:hAnsi="Arial"/>
        </w:rPr>
        <w:t xml:space="preserve">The Contract Price for any positive Daily Swing Load Quantity (”SLQ”) in excess of the BDQ, and any positive DCQ,  shall be equal to the Mid-Point Index, as posted in </w:t>
      </w:r>
      <w:r>
        <w:rPr>
          <w:rFonts w:cs="Arial" w:ascii="Arial" w:hAnsi="Arial"/>
          <w:u w:val="single"/>
        </w:rPr>
        <w:t>Financial Times Energy’s Gas Daily</w:t>
      </w:r>
      <w:r>
        <w:rPr>
          <w:rFonts w:cs="Arial" w:ascii="Arial" w:hAnsi="Arial"/>
        </w:rPr>
        <w:t xml:space="preserve"> publication, or successor publication, in the column “Daily Price Survey”, under the heading “Others”, for PG&amp;E City gate, mid-point of the common range, plus $.05/MMBtu.  If Gas Daily does not publish a range for a particular day, the range reported in the next issue shall be used.</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Buyer shall be expected to actively participate in scheduling by communicating an estimate of buyer’s total load quantity on a daily basis.  If Buyer does not schedule a DCQ or properly communicate an estimate of the Buyers total load, and Seller incurs imbalance penalties from PG&amp;E, and such charges would not have been incurred had buyer communicated a reasonably estimated quantity, Buyer shall reimburse Seller for such imbalance charges based on the assumption that Seller delivered the BDQ plus the DCQ.</w:t>
      </w:r>
    </w:p>
    <w:p>
      <w:pPr>
        <w:pStyle w:val="Normal"/>
        <w:ind w:start="1155" w:end="0"/>
        <w:rPr>
          <w:rFonts w:ascii="Arial" w:hAnsi="Arial" w:cs="Arial"/>
        </w:rPr>
      </w:pPr>
      <w:r>
        <w:rPr>
          <w:rFonts w:cs="Arial" w:ascii="Arial" w:hAnsi="Arial"/>
        </w:rPr>
        <w:tab/>
      </w:r>
    </w:p>
    <w:p>
      <w:pPr>
        <w:pStyle w:val="ListBullet2"/>
        <w:ind w:firstLine="360" w:end="0"/>
        <w:rPr>
          <w:rFonts w:ascii="Arial" w:hAnsi="Arial" w:cs="Arial"/>
          <w:b/>
          <w:sz w:val="20"/>
        </w:rPr>
      </w:pPr>
      <w:r>
        <w:rPr>
          <w:rFonts w:cs="Arial" w:ascii="Arial" w:hAnsi="Arial"/>
          <w:b/>
          <w:sz w:val="20"/>
        </w:rPr>
        <w:t>OFO Management</w:t>
      </w:r>
    </w:p>
    <w:p>
      <w:pPr>
        <w:pStyle w:val="ListBullet2"/>
        <w:numPr>
          <w:ilvl w:val="0"/>
          <w:numId w:val="7"/>
        </w:numPr>
        <w:rPr>
          <w:rFonts w:ascii="Arial" w:hAnsi="Arial" w:cs="Arial"/>
          <w:sz w:val="20"/>
        </w:rPr>
      </w:pPr>
      <w:r>
        <w:rPr>
          <w:rFonts w:cs="Arial" w:ascii="Arial" w:hAnsi="Arial"/>
          <w:sz w:val="20"/>
        </w:rPr>
        <w:t>Buyer shall assign an individual that Seller can contact 24-hours/day to manage the  PG&amp;E Operational Flow Order (OFO) events.</w:t>
      </w:r>
    </w:p>
    <w:p>
      <w:pPr>
        <w:pStyle w:val="ListBullet2"/>
        <w:numPr>
          <w:ilvl w:val="0"/>
          <w:numId w:val="7"/>
        </w:numPr>
        <w:rPr>
          <w:rFonts w:ascii="Arial" w:hAnsi="Arial" w:cs="Arial"/>
          <w:sz w:val="20"/>
        </w:rPr>
      </w:pPr>
      <w:r>
        <w:rPr>
          <w:rFonts w:cs="Arial" w:ascii="Arial" w:hAnsi="Arial"/>
          <w:sz w:val="20"/>
        </w:rPr>
        <w:t>Seller shall be responsible for notifying Buyer in the event of a PG&amp;E Operational Flow Order (OFO) requiring that Daily deliveries and usage equal each other within the tolerance permitted by PG&amp;E.  Notification shall be by telephone call on Seller’s recorded line noting the date and time of such call.</w:t>
      </w:r>
    </w:p>
    <w:p>
      <w:pPr>
        <w:pStyle w:val="ListBullet2"/>
        <w:numPr>
          <w:ilvl w:val="0"/>
          <w:numId w:val="7"/>
        </w:numPr>
        <w:rPr>
          <w:rFonts w:ascii="Arial" w:hAnsi="Arial" w:cs="Arial"/>
          <w:sz w:val="20"/>
        </w:rPr>
      </w:pPr>
      <w:r>
        <w:rPr>
          <w:rFonts w:cs="Arial" w:ascii="Arial" w:hAnsi="Arial"/>
          <w:sz w:val="20"/>
        </w:rPr>
        <w:t>Upon notification by Seller of an OFO event, Buyer shall set an OFO Quantity as the target for Seller to deliver during the OFO event.</w:t>
      </w:r>
    </w:p>
    <w:p>
      <w:pPr>
        <w:pStyle w:val="ListBullet2"/>
        <w:numPr>
          <w:ilvl w:val="0"/>
          <w:numId w:val="7"/>
        </w:numPr>
        <w:rPr>
          <w:rFonts w:ascii="Arial" w:hAnsi="Arial" w:cs="Arial"/>
          <w:sz w:val="20"/>
        </w:rPr>
      </w:pPr>
      <w:r>
        <w:rPr>
          <w:rFonts w:cs="Arial" w:ascii="Arial" w:hAnsi="Arial"/>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7"/>
        </w:numPr>
        <w:rPr>
          <w:rFonts w:ascii="Arial" w:hAnsi="Arial" w:cs="Arial"/>
          <w:sz w:val="20"/>
        </w:rPr>
      </w:pPr>
      <w:r>
        <w:rPr>
          <w:rFonts w:cs="Arial" w:ascii="Arial" w:hAnsi="Arial"/>
          <w:sz w:val="20"/>
        </w:rPr>
        <w:t>Any penalties incurred by Seller in delivering the OFO Quantity shall be the financial responsibility of Buyer.</w:t>
      </w:r>
    </w:p>
    <w:p>
      <w:pPr>
        <w:pStyle w:val="ListBullet2"/>
        <w:numPr>
          <w:ilvl w:val="0"/>
          <w:numId w:val="7"/>
        </w:numPr>
        <w:rPr>
          <w:rFonts w:ascii="Arial" w:hAnsi="Arial" w:cs="Arial"/>
          <w:sz w:val="20"/>
        </w:rPr>
      </w:pPr>
      <w:r>
        <w:rPr>
          <w:rFonts w:cs="Arial" w:ascii="Arial" w:hAnsi="Arial"/>
          <w:sz w:val="20"/>
        </w:rPr>
        <w:t>Any penalties incurred by Seller as a result of its failure to deliver the OFO Quantity shall be the responsibility of Seller.</w:t>
      </w:r>
    </w:p>
    <w:p>
      <w:pPr>
        <w:pStyle w:val="ListBullet2"/>
        <w:numPr>
          <w:ilvl w:val="0"/>
          <w:numId w:val="7"/>
        </w:numPr>
        <w:rPr>
          <w:rFonts w:ascii="Arial" w:hAnsi="Arial" w:cs="Arial"/>
          <w:sz w:val="20"/>
        </w:rPr>
      </w:pPr>
      <w:r>
        <w:rPr>
          <w:rFonts w:cs="Arial" w:ascii="Arial" w:hAnsi="Arial"/>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Normal"/>
        <w:ind w:start="1155" w:end="0"/>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RISK MANAGEMENT PRICING</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price for all or part of Buyer’s baseload quantity can be fixed by the Buyer with the Seller at any time prior to determination of the first of the month index.  Buyer is required to take the entire amount of any volume fixed on a daily basis.  Seller has the ability to fix the price of Indexed supply from a third party through financial products.  Any financial transactions shall be governed by the ISDA Master Swap Agreement that shall be put in place before any financial transactions can take place between Buyer and Seller.</w:t>
      </w:r>
    </w:p>
    <w:p>
      <w:pPr>
        <w:pStyle w:val="Normal"/>
        <w:ind w:start="720" w:end="0"/>
        <w:rPr>
          <w:rFonts w:ascii="Arial" w:hAnsi="Arial" w:cs="Arial"/>
        </w:rPr>
      </w:pPr>
      <w:r>
        <w:rPr>
          <w:rFonts w:cs="Arial" w:ascii="Arial" w:hAnsi="Arial"/>
        </w:rPr>
      </w:r>
    </w:p>
    <w:p>
      <w:pPr>
        <w:pStyle w:val="BodyTextIndent2"/>
        <w:rPr/>
      </w:pPr>
      <w:r>
        <w:rPr/>
        <w:tab/>
        <w:t xml:space="preserve">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Seller can also provide customized energy products to fit Buyer’s needs.  </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can provide fundamental information to assist Buyer with price risk management decisions.  At Buyers request, Seller shall provide pricing for any combination of physical or financial products.  If Buyer and Seller are mutually agreeable to such pricing, a binding agreement will be formed and a paper confirmation, which will fall under the applicable master agreement that has been executed by buyer and Seller, will be faxed within five business days.  The specific credit terms under which Buyer is subject are detailed in the applicable Master Agreement.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has the ability to provide power price risk management services as well as spark spread products through coordination between Seller’s Natural Gas Desk and West Power Desk.</w:t>
      </w:r>
    </w:p>
    <w:p>
      <w:pPr>
        <w:pStyle w:val="Normal"/>
        <w:ind w:hanging="720"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Seller shall provide informal pricing information to Buyer on a regular basis.  Buyer and Seller can agree to a mechanism to facilitate this process.  Pricing for various risk management products can be provided at the request of the customer.</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Other</w:t>
      </w:r>
    </w:p>
    <w:p>
      <w:pPr>
        <w:pStyle w:val="Normal"/>
        <w:ind w:start="45" w:end="0"/>
        <w:rPr>
          <w:rFonts w:ascii="Arial" w:hAnsi="Arial" w:cs="Arial"/>
        </w:rPr>
      </w:pPr>
      <w:r>
        <w:rPr>
          <w:rFonts w:cs="Arial" w:ascii="Arial" w:hAnsi="Arial"/>
        </w:rPr>
      </w:r>
    </w:p>
    <w:p>
      <w:pPr>
        <w:pStyle w:val="Normal"/>
        <w:numPr>
          <w:ilvl w:val="0"/>
          <w:numId w:val="6"/>
        </w:numPr>
        <w:rPr/>
      </w:pPr>
      <w:r>
        <w:rPr>
          <w:rFonts w:cs="Arial" w:ascii="Arial" w:hAnsi="Arial"/>
        </w:rPr>
        <w:t>Payment Terms shall be detailed in the related executed Master Agreement governing each transaction</w:t>
      </w:r>
    </w:p>
    <w:p>
      <w:pPr>
        <w:pStyle w:val="Normal"/>
        <w:numPr>
          <w:ilvl w:val="0"/>
          <w:numId w:val="6"/>
        </w:numPr>
        <w:rPr>
          <w:rFonts w:ascii="Arial" w:hAnsi="Arial" w:cs="Arial"/>
        </w:rPr>
      </w:pPr>
      <w:r>
        <w:rPr>
          <w:rFonts w:cs="Arial" w:ascii="Arial" w:hAnsi="Arial"/>
        </w:rPr>
        <w:t>Seller’s related credit provisions will be described in related executed Master Agreements.</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Roman"/>
      <w:lvlText w:val="%1."/>
      <w:lvlJc w:val="start"/>
      <w:pPr>
        <w:tabs>
          <w:tab w:val="num" w:pos="765"/>
        </w:tabs>
        <w:ind w:start="765" w:hanging="72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125"/>
        </w:tabs>
        <w:ind w:start="1125" w:hanging="360"/>
      </w:pPr>
      <w:rPr/>
    </w:lvl>
    <w:lvl w:ilvl="1">
      <w:start w:val="1"/>
      <w:numFmt w:val="decimal"/>
      <w:lvlText w:val="%1.%2"/>
      <w:lvlJc w:val="start"/>
      <w:pPr>
        <w:tabs>
          <w:tab w:val="num" w:pos="1155"/>
        </w:tabs>
        <w:ind w:start="1155" w:hanging="390"/>
      </w:pPr>
      <w:rPr/>
    </w:lvl>
    <w:lvl w:ilvl="2">
      <w:start w:val="1"/>
      <w:numFmt w:val="decimal"/>
      <w:lvlText w:val="%1.%2.%3"/>
      <w:lvlJc w:val="start"/>
      <w:pPr>
        <w:tabs>
          <w:tab w:val="num" w:pos="2250"/>
        </w:tabs>
        <w:ind w:start="2250" w:hanging="720"/>
      </w:pPr>
      <w:rPr/>
    </w:lvl>
    <w:lvl w:ilvl="3">
      <w:start w:val="1"/>
      <w:numFmt w:val="decimal"/>
      <w:lvlText w:val="%1.%2.%3.%4"/>
      <w:lvlJc w:val="start"/>
      <w:pPr>
        <w:tabs>
          <w:tab w:val="num" w:pos="3015"/>
        </w:tabs>
        <w:ind w:start="3015" w:hanging="720"/>
      </w:pPr>
      <w:rPr/>
    </w:lvl>
    <w:lvl w:ilvl="4">
      <w:start w:val="1"/>
      <w:numFmt w:val="decimal"/>
      <w:lvlText w:val="%1.%2.%3.%4.%5"/>
      <w:lvlJc w:val="start"/>
      <w:pPr>
        <w:tabs>
          <w:tab w:val="num" w:pos="4140"/>
        </w:tabs>
        <w:ind w:start="4140" w:hanging="1080"/>
      </w:pPr>
      <w:rPr/>
    </w:lvl>
    <w:lvl w:ilvl="5">
      <w:start w:val="1"/>
      <w:numFmt w:val="decimal"/>
      <w:lvlText w:val="%1.%2.%3.%4.%5.%6"/>
      <w:lvlJc w:val="start"/>
      <w:pPr>
        <w:tabs>
          <w:tab w:val="num" w:pos="4905"/>
        </w:tabs>
        <w:ind w:start="4905" w:hanging="1080"/>
      </w:pPr>
      <w:rPr/>
    </w:lvl>
    <w:lvl w:ilvl="6">
      <w:start w:val="1"/>
      <w:numFmt w:val="decimal"/>
      <w:lvlText w:val="%1.%2.%3.%4.%5.%6.%7"/>
      <w:lvlJc w:val="start"/>
      <w:pPr>
        <w:tabs>
          <w:tab w:val="num" w:pos="6030"/>
        </w:tabs>
        <w:ind w:start="6030" w:hanging="1440"/>
      </w:pPr>
      <w:rPr/>
    </w:lvl>
    <w:lvl w:ilvl="7">
      <w:start w:val="1"/>
      <w:numFmt w:val="decimal"/>
      <w:lvlText w:val="%1.%2.%3.%4.%5.%6.%7.%8"/>
      <w:lvlJc w:val="start"/>
      <w:pPr>
        <w:tabs>
          <w:tab w:val="num" w:pos="6795"/>
        </w:tabs>
        <w:ind w:start="6795" w:hanging="1440"/>
      </w:pPr>
      <w:rPr/>
    </w:lvl>
    <w:lvl w:ilvl="8">
      <w:start w:val="1"/>
      <w:numFmt w:val="decimal"/>
      <w:lvlText w:val="%1.%2.%3.%4.%5.%6.%7.%8.%9"/>
      <w:lvlJc w:val="start"/>
      <w:pPr>
        <w:tabs>
          <w:tab w:val="num" w:pos="7920"/>
        </w:tabs>
        <w:ind w:start="7920" w:hanging="1800"/>
      </w:pPr>
      <w:rPr/>
    </w:lvl>
  </w:abstractNum>
  <w:abstractNum w:abstractNumId="6">
    <w:lvl w:ilvl="0">
      <w:start w:val="1"/>
      <w:numFmt w:val="upperLetter"/>
      <w:lvlText w:val="%1."/>
      <w:lvlJc w:val="start"/>
      <w:pPr>
        <w:tabs>
          <w:tab w:val="num" w:pos="1080"/>
        </w:tabs>
        <w:ind w:start="1080" w:hanging="360"/>
      </w:pPr>
      <w:rPr>
        <w:rFonts w:ascii="Arial" w:hAnsi="Arial" w:cs="Arial"/>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rFonts w:ascii="Arial" w:hAnsi="Arial" w:cs="Arial"/>
    </w:rPr>
  </w:style>
  <w:style w:type="paragraph" w:styleId="BodyTextIndent2">
    <w:name w:val="Body Text Indent 2"/>
    <w:basedOn w:val="Normal"/>
    <w:qFormat/>
    <w:pPr>
      <w:ind w:hanging="720" w:start="720" w:end="0"/>
    </w:pPr>
    <w:rPr>
      <w:rFonts w:ascii="Arial" w:hAnsi="Arial" w:cs="Arial"/>
    </w:rPr>
  </w:style>
  <w:style w:type="paragraph" w:styleId="BodyTextIndent3">
    <w:name w:val="Body Text Indent 3"/>
    <w:basedOn w:val="Normal"/>
    <w:qFormat/>
    <w:pPr>
      <w:ind w:hanging="720" w:start="1440" w:end="0"/>
    </w:pPr>
    <w:rPr>
      <w:rFonts w:ascii="Arial" w:hAnsi="Arial" w:cs="Arial"/>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kim.ward@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2001-05-04T18:21:00Z</dcterms:created>
  <dc:creator>kward</dc:creator>
  <dc:description/>
  <dc:language>en-CA</dc:language>
  <cp:lastModifiedBy>kward</cp:lastModifiedBy>
  <cp:lastPrinted>2001-03-14T17:16:00Z</cp:lastPrinted>
  <dcterms:modified xsi:type="dcterms:W3CDTF">2001-05-04T18:38:00Z</dcterms:modified>
  <cp:revision>7</cp:revision>
  <dc:subject/>
  <dc:title> </dc:title>
</cp:coreProperties>
</file>