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spacing w:before="0" w:after="240"/>
              <w:ind w:start="-180" w:end="0"/>
              <w:jc w:val="end"/>
              <w:rPr>
                <w:sz w:val="16"/>
              </w:rPr>
            </w:pPr>
            <w:r>
              <w:rPr>
                <w:sz w:val="16"/>
              </w:rPr>
              <w:t>To:</w:t>
            </w:r>
          </w:p>
        </w:tc>
        <w:tc>
          <w:tcPr>
            <w:tcW w:w="6045" w:type="dxa"/>
            <w:tcBorders/>
          </w:tcPr>
          <w:p>
            <w:pPr>
              <w:pStyle w:val="To"/>
              <w:spacing w:before="0" w:after="240"/>
              <w:rPr/>
            </w:pPr>
            <w:r>
              <w:rPr/>
              <w:t>Fernley Dyson</w:t>
            </w:r>
          </w:p>
        </w:tc>
        <w:tc>
          <w:tcPr>
            <w:tcW w:w="990" w:type="dxa"/>
            <w:tcBorders/>
          </w:tcPr>
          <w:p>
            <w:pPr>
              <w:pStyle w:val="Normal"/>
              <w:snapToGrid w:val="false"/>
              <w:spacing w:before="0" w:after="240"/>
              <w:ind w:start="-180" w:end="0"/>
              <w:rPr/>
            </w:pPr>
            <w:r>
              <w:rPr/>
            </w:r>
          </w:p>
        </w:tc>
        <w:tc>
          <w:tcPr>
            <w:tcW w:w="2655" w:type="dxa"/>
            <w:tcBorders/>
          </w:tcPr>
          <w:p>
            <w:pPr>
              <w:pStyle w:val="Normal"/>
              <w:snapToGrid w:val="false"/>
              <w:spacing w:before="0" w:after="240"/>
              <w:rPr/>
            </w:pPr>
            <w:r>
              <w:rPr/>
            </w:r>
          </w:p>
        </w:tc>
      </w:tr>
      <w:tr>
        <w:trPr>
          <w:trHeight w:val="216" w:hRule="exact"/>
        </w:trPr>
        <w:tc>
          <w:tcPr>
            <w:tcW w:w="708" w:type="dxa"/>
            <w:tcBorders/>
          </w:tcPr>
          <w:p>
            <w:pPr>
              <w:pStyle w:val="Normal"/>
              <w:spacing w:before="0" w:after="240"/>
              <w:jc w:val="end"/>
              <w:rPr>
                <w:sz w:val="16"/>
              </w:rPr>
            </w:pPr>
            <w:r>
              <w:rPr>
                <w:sz w:val="16"/>
              </w:rPr>
              <w:t>Cc:</w:t>
            </w:r>
          </w:p>
        </w:tc>
        <w:tc>
          <w:tcPr>
            <w:tcW w:w="6045" w:type="dxa"/>
            <w:tcBorders/>
          </w:tcPr>
          <w:p>
            <w:pPr>
              <w:pStyle w:val="To"/>
              <w:rPr/>
            </w:pPr>
            <w:r>
              <w:rPr/>
              <w:t>Sally Beck, Ted Murphy</w:t>
            </w:r>
          </w:p>
          <w:p>
            <w:pPr>
              <w:pStyle w:val="To"/>
              <w:rPr/>
            </w:pPr>
            <w:r>
              <w:rPr/>
              <w:t>Richard Sage</w:t>
            </w:r>
          </w:p>
          <w:p>
            <w:pPr>
              <w:pStyle w:val="To"/>
              <w:spacing w:before="0" w:after="240"/>
              <w:rPr/>
            </w:pPr>
            <w:r>
              <w:rPr/>
            </w:r>
          </w:p>
        </w:tc>
        <w:tc>
          <w:tcPr>
            <w:tcW w:w="990" w:type="dxa"/>
            <w:tcBorders/>
          </w:tcPr>
          <w:p>
            <w:pPr>
              <w:pStyle w:val="To"/>
              <w:snapToGrid w:val="false"/>
              <w:spacing w:before="0" w:after="240"/>
              <w:rPr/>
            </w:pPr>
            <w:r>
              <w:rPr/>
            </w:r>
          </w:p>
        </w:tc>
        <w:tc>
          <w:tcPr>
            <w:tcW w:w="2655" w:type="dxa"/>
            <w:tcBorders/>
          </w:tcPr>
          <w:p>
            <w:pPr>
              <w:pStyle w:val="To"/>
              <w:snapToGrid w:val="false"/>
              <w:spacing w:before="0" w:after="240"/>
              <w:rPr/>
            </w:pPr>
            <w:r>
              <w:rPr/>
            </w:r>
          </w:p>
        </w:tc>
      </w:tr>
      <w:tr>
        <w:trPr>
          <w:trHeight w:val="300" w:hRule="exact"/>
        </w:trPr>
        <w:tc>
          <w:tcPr>
            <w:tcW w:w="708" w:type="dxa"/>
            <w:tcBorders/>
          </w:tcPr>
          <w:p>
            <w:pPr>
              <w:pStyle w:val="Normal"/>
              <w:spacing w:before="0" w:after="240"/>
              <w:jc w:val="end"/>
              <w:rPr>
                <w:sz w:val="16"/>
              </w:rPr>
            </w:pPr>
            <w:r>
              <w:rPr>
                <w:sz w:val="16"/>
              </w:rPr>
              <w:t>From:</w:t>
            </w:r>
          </w:p>
        </w:tc>
        <w:tc>
          <w:tcPr>
            <w:tcW w:w="6045" w:type="dxa"/>
            <w:tcBorders/>
          </w:tcPr>
          <w:p>
            <w:pPr>
              <w:pStyle w:val="From"/>
              <w:spacing w:before="0" w:after="240"/>
              <w:rPr/>
            </w:pPr>
            <w:r>
              <w:rPr/>
              <w:t>Richard Sage</w:t>
            </w:r>
          </w:p>
        </w:tc>
        <w:tc>
          <w:tcPr>
            <w:tcW w:w="990" w:type="dxa"/>
            <w:tcBorders/>
          </w:tcPr>
          <w:p>
            <w:pPr>
              <w:pStyle w:val="Normal"/>
              <w:spacing w:before="0" w:after="240"/>
              <w:ind w:start="-180" w:end="0"/>
              <w:jc w:val="end"/>
              <w:rPr>
                <w:sz w:val="16"/>
              </w:rPr>
            </w:pPr>
            <w:r>
              <w:rPr>
                <w:sz w:val="16"/>
              </w:rPr>
              <w:t>Department:</w:t>
            </w:r>
          </w:p>
        </w:tc>
        <w:tc>
          <w:tcPr>
            <w:tcW w:w="2655" w:type="dxa"/>
            <w:tcBorders/>
          </w:tcPr>
          <w:p>
            <w:pPr>
              <w:pStyle w:val="Department"/>
              <w:spacing w:before="0" w:after="240"/>
              <w:rPr/>
            </w:pPr>
            <w:bookmarkStart w:id="0" w:name="From"/>
            <w:bookmarkEnd w:id="0"/>
            <w:r>
              <w:rPr/>
              <w:t>Enron Europe</w:t>
            </w:r>
          </w:p>
        </w:tc>
      </w:tr>
      <w:tr>
        <w:trPr>
          <w:trHeight w:val="216" w:hRule="exact"/>
        </w:trPr>
        <w:tc>
          <w:tcPr>
            <w:tcW w:w="708" w:type="dxa"/>
            <w:tcBorders/>
          </w:tcPr>
          <w:p>
            <w:pPr>
              <w:pStyle w:val="Normal"/>
              <w:snapToGrid w:val="false"/>
              <w:spacing w:before="0" w:after="240"/>
              <w:ind w:start="-180" w:end="0"/>
              <w:jc w:val="end"/>
              <w:rPr>
                <w:sz w:val="18"/>
              </w:rPr>
            </w:pPr>
            <w:r>
              <w:rPr>
                <w:sz w:val="18"/>
              </w:rPr>
            </w:r>
          </w:p>
        </w:tc>
        <w:tc>
          <w:tcPr>
            <w:tcW w:w="6045" w:type="dxa"/>
            <w:tcBorders/>
          </w:tcPr>
          <w:p>
            <w:pPr>
              <w:pStyle w:val="Normal"/>
              <w:snapToGrid w:val="false"/>
              <w:spacing w:before="0" w:after="240"/>
              <w:rPr>
                <w:sz w:val="18"/>
              </w:rPr>
            </w:pPr>
            <w:r>
              <w:rPr>
                <w:sz w:val="18"/>
              </w:rPr>
            </w:r>
          </w:p>
        </w:tc>
        <w:tc>
          <w:tcPr>
            <w:tcW w:w="990" w:type="dxa"/>
            <w:tcBorders/>
          </w:tcPr>
          <w:p>
            <w:pPr>
              <w:pStyle w:val="Normal"/>
              <w:snapToGrid w:val="false"/>
              <w:spacing w:before="0" w:after="240"/>
              <w:ind w:start="-180" w:end="0"/>
              <w:rPr>
                <w:sz w:val="18"/>
              </w:rPr>
            </w:pPr>
            <w:r>
              <w:rPr>
                <w:sz w:val="18"/>
              </w:rPr>
            </w:r>
          </w:p>
        </w:tc>
        <w:tc>
          <w:tcPr>
            <w:tcW w:w="2655" w:type="dxa"/>
            <w:tcBorders/>
          </w:tcPr>
          <w:p>
            <w:pPr>
              <w:pStyle w:val="Normal"/>
              <w:snapToGrid w:val="false"/>
              <w:spacing w:before="0" w:after="240"/>
              <w:rPr>
                <w:sz w:val="18"/>
              </w:rPr>
            </w:pPr>
            <w:r>
              <w:rPr>
                <w:sz w:val="18"/>
              </w:rPr>
            </w:r>
          </w:p>
        </w:tc>
      </w:tr>
      <w:tr>
        <w:trPr>
          <w:trHeight w:val="600" w:hRule="exact"/>
        </w:trPr>
        <w:tc>
          <w:tcPr>
            <w:tcW w:w="708" w:type="dxa"/>
            <w:tcBorders>
              <w:bottom w:val="single" w:sz="12" w:space="0" w:color="000000"/>
            </w:tcBorders>
          </w:tcPr>
          <w:p>
            <w:pPr>
              <w:pStyle w:val="Normal"/>
              <w:spacing w:before="0" w:after="240"/>
              <w:ind w:start="-180" w:end="0"/>
              <w:jc w:val="end"/>
              <w:rPr>
                <w:sz w:val="16"/>
              </w:rPr>
            </w:pPr>
            <w:r>
              <w:rPr>
                <w:sz w:val="16"/>
              </w:rPr>
              <w:t>Subject:</w:t>
            </w:r>
          </w:p>
        </w:tc>
        <w:tc>
          <w:tcPr>
            <w:tcW w:w="6045" w:type="dxa"/>
            <w:tcBorders>
              <w:bottom w:val="single" w:sz="12" w:space="0" w:color="000000"/>
            </w:tcBorders>
          </w:tcPr>
          <w:p>
            <w:pPr>
              <w:pStyle w:val="Subject"/>
              <w:spacing w:before="0" w:after="240"/>
              <w:rPr/>
            </w:pPr>
            <w:r>
              <w:rPr/>
              <w:t>Succession in Helsinki</w:t>
            </w:r>
          </w:p>
        </w:tc>
        <w:tc>
          <w:tcPr>
            <w:tcW w:w="990" w:type="dxa"/>
            <w:tcBorders>
              <w:bottom w:val="single" w:sz="12" w:space="0" w:color="000000"/>
            </w:tcBorders>
          </w:tcPr>
          <w:p>
            <w:pPr>
              <w:pStyle w:val="Normal"/>
              <w:spacing w:before="0" w:after="240"/>
              <w:ind w:start="-180" w:end="0"/>
              <w:jc w:val="end"/>
              <w:rPr>
                <w:sz w:val="16"/>
              </w:rPr>
            </w:pPr>
            <w:r>
              <w:rPr>
                <w:sz w:val="16"/>
              </w:rPr>
              <w:t>Date:</w:t>
            </w:r>
          </w:p>
        </w:tc>
        <w:tc>
          <w:tcPr>
            <w:tcW w:w="2655" w:type="dxa"/>
            <w:tcBorders>
              <w:bottom w:val="single" w:sz="12" w:space="0" w:color="000000"/>
            </w:tcBorders>
          </w:tcPr>
          <w:p>
            <w:pPr>
              <w:pStyle w:val="Date"/>
              <w:spacing w:before="0" w:after="240"/>
              <w:rPr/>
            </w:pPr>
            <w:r>
              <w:rPr/>
              <w:t>6</w:t>
            </w:r>
            <w:r>
              <w:rPr>
                <w:vertAlign w:val="superscript"/>
              </w:rPr>
              <w:t>th</w:t>
            </w:r>
            <w:r>
              <w:rPr/>
              <w:t xml:space="preserve"> May 2000</w:t>
            </w:r>
          </w:p>
        </w:tc>
      </w:tr>
    </w:tbl>
    <w:p>
      <w:pPr>
        <w:pStyle w:val="Normal"/>
        <w:rPr/>
      </w:pPr>
      <w:r>
        <w:rPr/>
      </w:r>
    </w:p>
    <w:p>
      <w:pPr>
        <w:pStyle w:val="Normal"/>
        <w:rPr/>
      </w:pPr>
      <w:r>
        <w:rPr/>
        <w:t>In response to the investigation into the Vneshtopprom business in Helsinki, one of the operational changes made was “Senior London operational controller imported to Helsinki.” This was agreed to be applicable until a longer-term approach was settled. We are now at a stage where we can settle that longer-term approach. All commentary relates to the liquids business, Power being separately controlled from Oslo.</w:t>
      </w:r>
    </w:p>
    <w:p>
      <w:pPr>
        <w:pStyle w:val="Normal"/>
        <w:rPr/>
      </w:pPr>
      <w:r>
        <w:rPr/>
        <w:t>All other actions committed to at that time are either complete, or listed under Work in Progress below. Visits from Trading and Logistics have reduced along with the trading activity.</w:t>
      </w:r>
    </w:p>
    <w:p>
      <w:pPr>
        <w:pStyle w:val="Heading2"/>
        <w:ind w:hanging="0" w:start="0"/>
        <w:rPr/>
      </w:pPr>
      <w:r>
        <w:rPr/>
        <w:t>Changes made:</w:t>
      </w:r>
    </w:p>
    <w:p>
      <w:pPr>
        <w:pStyle w:val="Normal"/>
        <w:numPr>
          <w:ilvl w:val="0"/>
          <w:numId w:val="2"/>
        </w:numPr>
        <w:rPr/>
      </w:pPr>
      <w:r>
        <w:rPr/>
        <w:t>All new business is conducted on an agency basis by staff in Helsinki driven by London traders.</w:t>
      </w:r>
    </w:p>
    <w:p>
      <w:pPr>
        <w:pStyle w:val="Normal"/>
        <w:numPr>
          <w:ilvl w:val="0"/>
          <w:numId w:val="2"/>
        </w:numPr>
        <w:rPr/>
      </w:pPr>
      <w:r>
        <w:rPr/>
        <w:t>All new business is accounted for in London on a daily basis.</w:t>
      </w:r>
    </w:p>
    <w:p>
      <w:pPr>
        <w:pStyle w:val="Normal"/>
        <w:numPr>
          <w:ilvl w:val="0"/>
          <w:numId w:val="2"/>
        </w:numPr>
        <w:rPr/>
      </w:pPr>
      <w:r>
        <w:rPr/>
        <w:t>The “JV” book is accounted for in London on a daily basis.</w:t>
      </w:r>
    </w:p>
    <w:p>
      <w:pPr>
        <w:pStyle w:val="Normal"/>
        <w:numPr>
          <w:ilvl w:val="0"/>
          <w:numId w:val="2"/>
        </w:numPr>
        <w:rPr/>
      </w:pPr>
      <w:r>
        <w:rPr/>
        <w:t>All incoming faxes are routed to Lotus Notes mailboxes controlled by the Coordination function in London. Telexes were already handled this way. The electronic filing of this information so it is easily searched (Project Blizzard) is nearing completion (12</w:t>
      </w:r>
      <w:r>
        <w:rPr>
          <w:vertAlign w:val="superscript"/>
        </w:rPr>
        <w:t>th</w:t>
      </w:r>
      <w:r>
        <w:rPr/>
        <w:t> May), and being driven by Cindy Horn.</w:t>
      </w:r>
    </w:p>
    <w:p>
      <w:pPr>
        <w:pStyle w:val="Normal"/>
        <w:numPr>
          <w:ilvl w:val="0"/>
          <w:numId w:val="2"/>
        </w:numPr>
        <w:rPr/>
      </w:pPr>
      <w:r>
        <w:rPr/>
        <w:t>Incoming hard copies of trading documents are directed to London. Achieving 100% delivery to London will take some time as our counterparties changes their records. Any documents received in the Helsinki office are forwarded to London.</w:t>
      </w:r>
    </w:p>
    <w:p>
      <w:pPr>
        <w:pStyle w:val="Normal"/>
        <w:numPr>
          <w:ilvl w:val="0"/>
          <w:numId w:val="2"/>
        </w:numPr>
        <w:rPr/>
      </w:pPr>
      <w:r>
        <w:rPr/>
        <w:t>The head trader in Helsinki and his supervisor have both left Enron.</w:t>
      </w:r>
    </w:p>
    <w:p>
      <w:pPr>
        <w:pStyle w:val="Normal"/>
        <w:numPr>
          <w:ilvl w:val="0"/>
          <w:numId w:val="2"/>
        </w:numPr>
        <w:rPr/>
      </w:pPr>
      <w:r>
        <w:rPr/>
        <w:t>All Logistics staff working in Helsinki have been to London for training.</w:t>
      </w:r>
    </w:p>
    <w:p>
      <w:pPr>
        <w:pStyle w:val="Normal"/>
        <w:numPr>
          <w:ilvl w:val="0"/>
          <w:numId w:val="2"/>
        </w:numPr>
        <w:rPr/>
      </w:pPr>
      <w:r>
        <w:rPr/>
        <w:t>The commitment to produce a procedures manual has been filled by documenting precisely the roles and responsibilities of all the different departments involved in trading, and by documenting the flows in diagrams. These products are available on the intranet.</w:t>
      </w:r>
    </w:p>
    <w:p>
      <w:pPr>
        <w:pStyle w:val="Heading2"/>
        <w:ind w:hanging="0" w:start="0"/>
        <w:rPr/>
      </w:pPr>
      <w:r>
        <w:rPr/>
        <w:t>Work in progress:</w:t>
      </w:r>
    </w:p>
    <w:p>
      <w:pPr>
        <w:pStyle w:val="Normal"/>
        <w:numPr>
          <w:ilvl w:val="0"/>
          <w:numId w:val="2"/>
        </w:numPr>
        <w:rPr/>
      </w:pPr>
      <w:r>
        <w:rPr/>
        <w:t>Clearing-up of old accounting issues with assistance from Maya Beyhum and Stephanie Taylor from London is nearly complete. Progress on this is evidenced by the lack of any concern regarding the resignation of Nina Tornberg, who effectively leaves on 17</w:t>
      </w:r>
      <w:r>
        <w:rPr>
          <w:vertAlign w:val="superscript"/>
        </w:rPr>
        <w:t>th</w:t>
      </w:r>
      <w:r>
        <w:rPr/>
        <w:t> May. Analysis of 1999 entries, including demurrage and VAT issues, is complete, and writing-off/back is in progress. Analysis of 1998 work will then be started.</w:t>
      </w:r>
    </w:p>
    <w:p>
      <w:pPr>
        <w:pStyle w:val="Normal"/>
        <w:numPr>
          <w:ilvl w:val="0"/>
          <w:numId w:val="2"/>
        </w:numPr>
        <w:rPr/>
      </w:pPr>
      <w:r>
        <w:rPr/>
        <w:t>The split of the old Logistics function into Coordination (Commercial Support) and Logistics (Commercial) is being driven by Cindy Horn in London. The effect is that all paperwork is handled by Commercial Support staff who are more independent of the business than Logistics. Cindy will hand over the Coordination department to Becky Millerchip once it is established.</w:t>
      </w:r>
    </w:p>
    <w:p>
      <w:pPr>
        <w:pStyle w:val="Normal"/>
        <w:numPr>
          <w:ilvl w:val="0"/>
          <w:numId w:val="2"/>
        </w:numPr>
        <w:rPr/>
      </w:pPr>
      <w:r>
        <w:rPr/>
        <w:t>Implementing use of group email addresses and monitoring any external emails received by individuals to ensure that all business-related emails are captured in the central document filing system. This will also be live by 12</w:t>
      </w:r>
      <w:r>
        <w:rPr>
          <w:vertAlign w:val="superscript"/>
        </w:rPr>
        <w:t>th</w:t>
      </w:r>
      <w:r>
        <w:rPr/>
        <w:t> May but as with the redirection of hard copies, 100% effectiveness will take time as we educate our counterparties.</w:t>
      </w:r>
    </w:p>
    <w:p>
      <w:pPr>
        <w:pStyle w:val="Normal"/>
        <w:numPr>
          <w:ilvl w:val="0"/>
          <w:numId w:val="2"/>
        </w:numPr>
        <w:rPr/>
      </w:pPr>
      <w:r>
        <w:rPr/>
        <w:t>Pasi Hamalainen is actively looking to move to Enron London. This would maintain our language capability in the middle office. Alternatively he may resign and take a job in Helsinki.</w:t>
      </w:r>
    </w:p>
    <w:p>
      <w:pPr>
        <w:pStyle w:val="Heading2"/>
        <w:ind w:hanging="0" w:start="0"/>
        <w:rPr/>
      </w:pPr>
      <w:r>
        <w:rPr/>
        <w:t>Commercial issues:</w:t>
      </w:r>
    </w:p>
    <w:p>
      <w:pPr>
        <w:pStyle w:val="Heading3"/>
        <w:ind w:hanging="0" w:start="0"/>
        <w:rPr/>
      </w:pPr>
      <w:r>
        <w:rPr/>
        <w:t>See attached lists of remaining inventory and of recent trading issues.</w:t>
      </w:r>
    </w:p>
    <w:p>
      <w:pPr>
        <w:pStyle w:val="Heading2"/>
        <w:ind w:hanging="0" w:start="0"/>
        <w:rPr/>
      </w:pPr>
      <w:r>
        <w:rPr/>
        <w:t>Future business:</w:t>
      </w:r>
    </w:p>
    <w:p>
      <w:pPr>
        <w:pStyle w:val="Normal"/>
        <w:rPr/>
      </w:pPr>
      <w:r>
        <w:rPr/>
        <w:t>There is currently very little business. The ability of such activity to cover its costs is doubtful. John Nowlan has committed to a review during May.</w:t>
      </w:r>
    </w:p>
    <w:p>
      <w:pPr>
        <w:pStyle w:val="Heading2"/>
        <w:ind w:hanging="0" w:start="0"/>
        <w:rPr/>
      </w:pPr>
      <w:r>
        <w:rPr/>
        <w:t>Staffing:</w:t>
      </w:r>
    </w:p>
    <w:p>
      <w:pPr>
        <w:pStyle w:val="Normal"/>
        <w:rPr/>
      </w:pPr>
      <w:r>
        <w:rPr/>
        <w:t>See attached list.</w:t>
      </w:r>
    </w:p>
    <w:p>
      <w:pPr>
        <w:pStyle w:val="Heading2"/>
        <w:ind w:hanging="0" w:start="0"/>
        <w:rPr/>
      </w:pPr>
      <w:r>
        <w:rPr/>
        <w:t>Future Risks:</w:t>
      </w:r>
    </w:p>
    <w:p>
      <w:pPr>
        <w:pStyle w:val="Normal"/>
        <w:rPr/>
      </w:pPr>
      <w:r>
        <w:rPr/>
        <w:t>Now that the office is an agency office without its own reported profit, there is much less incentive for any distortion of results.</w:t>
      </w:r>
    </w:p>
    <w:p>
      <w:pPr>
        <w:pStyle w:val="Normal"/>
        <w:rPr/>
      </w:pPr>
      <w:r>
        <w:rPr/>
        <w:t>However, given the past events, and the strong recommendation from the investigation that a seasoned Enron employee should be present, for an indefinite period there will be a need for an individual on site who is independent in reporting line and in attitude. As far as control is concerned, their duties are:</w:t>
      </w:r>
    </w:p>
    <w:p>
      <w:pPr>
        <w:pStyle w:val="Normal"/>
        <w:numPr>
          <w:ilvl w:val="0"/>
          <w:numId w:val="2"/>
        </w:numPr>
        <w:rPr/>
      </w:pPr>
      <w:r>
        <w:rPr/>
        <w:t>Forwarding hard copies received in Helsinki to London.</w:t>
      </w:r>
    </w:p>
    <w:p>
      <w:pPr>
        <w:pStyle w:val="Normal"/>
        <w:numPr>
          <w:ilvl w:val="0"/>
          <w:numId w:val="2"/>
        </w:numPr>
        <w:rPr/>
      </w:pPr>
      <w:r>
        <w:rPr/>
        <w:t>Ensuring that no paper faxes are received in the Helsinki office.</w:t>
      </w:r>
    </w:p>
    <w:p>
      <w:pPr>
        <w:pStyle w:val="Normal"/>
        <w:numPr>
          <w:ilvl w:val="0"/>
          <w:numId w:val="2"/>
        </w:numPr>
        <w:rPr/>
      </w:pPr>
      <w:r>
        <w:rPr/>
        <w:t>Monitoring emails received from outside Enron addressed directly to individuals in Helsinki office to ensure that they are not business-related.</w:t>
      </w:r>
    </w:p>
    <w:p>
      <w:pPr>
        <w:pStyle w:val="Normal"/>
        <w:numPr>
          <w:ilvl w:val="0"/>
          <w:numId w:val="2"/>
        </w:numPr>
        <w:rPr/>
      </w:pPr>
      <w:r>
        <w:rPr/>
        <w:t>Changing the videotapes on the security cameras.</w:t>
      </w:r>
    </w:p>
    <w:p>
      <w:pPr>
        <w:pStyle w:val="Normal"/>
        <w:numPr>
          <w:ilvl w:val="0"/>
          <w:numId w:val="2"/>
        </w:numPr>
        <w:rPr/>
      </w:pPr>
      <w:r>
        <w:rPr/>
        <w:t>Changing the audiotapes used for recording telephones.</w:t>
      </w:r>
    </w:p>
    <w:p>
      <w:pPr>
        <w:pStyle w:val="Normal"/>
        <w:rPr/>
      </w:pPr>
      <w:r>
        <w:rPr/>
        <w:t>Paul Wallace is well able to fill this role. He has more time for it now that the back- and middle-office functions are moving to London. Just processing the sales of the remaining inventory will occupy Paul for another two months, but after that he will have capacity for other tasks. Although the original agreement with Paul was that he would return to London in August, he is available to stay in Helsinki until the end of October. Unless the business has been closed by that time, a replacement will then be necessary.</w:t>
      </w:r>
    </w:p>
    <w:p>
      <w:pPr>
        <w:pStyle w:val="Normal"/>
        <w:spacing w:before="0" w:after="240"/>
        <w:rPr/>
      </w:pPr>
      <w:r>
        <w:rPr/>
        <w:t>Holidays can be covered by having somebody from GPTS in London doing their job in the Helsinki office for a week. Technology makes this feasible although not ideal.</w:t>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780" w:leader="none"/>
        <w:tab w:val="center" w:pos="5040" w:leader="none"/>
        <w:tab w:val="center" w:pos="7560" w:leader="none"/>
        <w:tab w:val="right" w:pos="10080" w:leader="none"/>
      </w:tabs>
      <w:jc w:val="center"/>
      <w:rPr>
        <w:b/>
        <w:sz w:val="16"/>
      </w:rPr>
    </w:pPr>
    <w:r>
      <w:rPr>
        <w:b/>
        <w:sz w:val="16"/>
      </w:rPr>
      <w:t>Your Personal Best Makes Enron Best</w:t>
      <w:tab/>
      <w:t>Communicate- Facts Are Friendly</w:t>
      <w:tab/>
      <w:tab/>
      <w:t>Better, Faster, Simpler</w:t>
    </w:r>
  </w:p>
  <w:p>
    <w:pPr>
      <w:pStyle w:val="Footer"/>
      <w:tabs>
        <w:tab w:val="left" w:pos="3780" w:leader="none"/>
        <w:tab w:val="center" w:pos="5040" w:leader="none"/>
        <w:tab w:val="center" w:pos="7560" w:leader="none"/>
        <w:tab w:val="right" w:pos="10080" w:leader="none"/>
      </w:tabs>
      <w:spacing w:before="0" w:after="240"/>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Your Personal Best Makes Enron Best</w:t>
      <w:tab/>
      <w:t>Communicate- Facts Are Friendly</w:t>
      <w:tab/>
      <w:t>Better, Faster, Simpler</w:t>
    </w:r>
  </w:p>
  <w:p>
    <w:pPr>
      <w:pStyle w:val="Footer"/>
      <w:tabs>
        <w:tab w:val="left" w:pos="3780" w:leader="none"/>
        <w:tab w:val="center" w:pos="5040" w:leader="none"/>
        <w:tab w:val="center" w:pos="7560" w:leader="none"/>
        <w:tab w:val="right" w:pos="10080" w:leader="none"/>
        <w:tab w:val="right" w:pos="10800" w:leader="none"/>
      </w:tabs>
      <w:spacing w:before="0" w:after="240"/>
      <w:rPr>
        <w:sz w:val="12"/>
      </w:rPr>
    </w:pPr>
    <w:r>
      <w:rPr>
        <w:sz w:val="12"/>
      </w:rPr>
      <w:t>Form 000-469-1 (7/92)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6</w:t>
    </w:r>
    <w:r>
      <w:rPr>
        <w:vertAlign w:val="superscript"/>
      </w:rPr>
      <w:t>th</w:t>
    </w:r>
    <w:r>
      <w:rPr/>
      <w:t xml:space="preserve"> May 2000</w:t>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before="0" w:after="240"/>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0" w:after="0"/>
                            <w:ind w:start="3600" w:end="0"/>
                            <w:rPr>
                              <w:b/>
                              <w:sz w:val="32"/>
                            </w:rPr>
                          </w:pPr>
                          <w:r>
                            <w:rPr>
                              <w:b/>
                              <w:sz w:val="32"/>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0" w:after="0"/>
                      <w:ind w:start="3600" w:end="0"/>
                      <w:rPr>
                        <w:b/>
                        <w:sz w:val="32"/>
                      </w:rPr>
                    </w:pPr>
                    <w:r>
                      <w:rPr>
                        <w:b/>
                        <w:sz w:val="32"/>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0" w:after="24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keepLines/>
      <w:pageBreakBefore/>
      <w:numPr>
        <w:ilvl w:val="0"/>
        <w:numId w:val="1"/>
      </w:numPr>
      <w:tabs>
        <w:tab w:val="clear" w:pos="720"/>
      </w:tabs>
      <w:spacing w:before="0" w:after="240"/>
      <w:outlineLvl w:val="0"/>
    </w:pPr>
    <w:rPr>
      <w:rFonts w:ascii="Times New Roman" w:hAnsi="Times New Roman" w:cs="Times New Roman"/>
      <w:b/>
    </w:rPr>
  </w:style>
  <w:style w:type="paragraph" w:styleId="Heading2">
    <w:name w:val="heading 2"/>
    <w:basedOn w:val="Heading1"/>
    <w:next w:val="Heading3"/>
    <w:qFormat/>
    <w:pPr>
      <w:pageBreakBefore w:val="false"/>
      <w:numPr>
        <w:ilvl w:val="1"/>
        <w:numId w:val="1"/>
      </w:numPr>
      <w:outlineLvl w:val="1"/>
    </w:pPr>
    <w:rPr>
      <w:sz w:val="20"/>
    </w:rPr>
  </w:style>
  <w:style w:type="paragraph" w:styleId="Heading3">
    <w:name w:val="heading 3"/>
    <w:basedOn w:val="Heading2"/>
    <w:next w:val="Normal"/>
    <w:qFormat/>
    <w:pPr>
      <w:numPr>
        <w:ilvl w:val="2"/>
        <w:numId w:val="1"/>
      </w:numPr>
      <w:outlineLvl w:val="2"/>
    </w:pPr>
    <w:rPr>
      <w:b w:val="false"/>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72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0" w:after="0"/>
      <w:ind w:hanging="0" w:start="360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10080" w:leader="none"/>
      </w:tabs>
      <w:spacing w:before="0" w:after="0"/>
    </w:pPr>
    <w:rPr>
      <w:rFonts w:ascii="Times New Roman" w:hAnsi="Times New Roman" w:cs="Times New Roman"/>
      <w:sz w:val="20"/>
    </w:rPr>
  </w:style>
  <w:style w:type="paragraph" w:styleId="Footer">
    <w:name w:val="footer"/>
    <w:basedOn w:val="Header"/>
    <w:pPr>
      <w:keepLines/>
      <w:spacing w:before="0" w:after="240"/>
    </w:pPr>
    <w:rPr>
      <w:rFonts w:ascii="Times New Roman" w:hAnsi="Times New Roman" w:cs="Times New Roman"/>
      <w:i/>
      <w:sz w:val="20"/>
    </w:rPr>
  </w:style>
  <w:style w:type="paragraph" w:styleId="Subject">
    <w:name w:val="Subject"/>
    <w:basedOn w:val="Normal"/>
    <w:qFormat/>
    <w:pPr>
      <w:tabs>
        <w:tab w:val="clear" w:pos="720"/>
      </w:tabs>
    </w:pPr>
    <w:rPr>
      <w:sz w:val="20"/>
    </w:rPr>
  </w:style>
  <w:style w:type="paragraph" w:styleId="Date">
    <w:name w:val="Date"/>
    <w:basedOn w:val="Normal"/>
    <w:qFormat/>
    <w:pPr>
      <w:tabs>
        <w:tab w:val="clear" w:pos="720"/>
      </w:tabs>
    </w:pPr>
    <w:rPr>
      <w:sz w:val="20"/>
    </w:rPr>
  </w:style>
  <w:style w:type="paragraph" w:styleId="To">
    <w:name w:val="To"/>
    <w:basedOn w:val="Normal"/>
    <w:qFormat/>
    <w:pPr>
      <w:tabs>
        <w:tab w:val="clear" w:pos="720"/>
      </w:tabs>
    </w:pPr>
    <w:rPr>
      <w:sz w:val="20"/>
    </w:rPr>
  </w:style>
  <w:style w:type="paragraph" w:styleId="From">
    <w:name w:val="From"/>
    <w:basedOn w:val="Normal"/>
    <w:qFormat/>
    <w:pPr>
      <w:tabs>
        <w:tab w:val="clear" w:pos="720"/>
      </w:tabs>
    </w:pPr>
    <w:rPr>
      <w:sz w:val="20"/>
    </w:rPr>
  </w:style>
  <w:style w:type="paragraph" w:styleId="CopyList">
    <w:name w:val="CopyList"/>
    <w:basedOn w:val="Normal"/>
    <w:qFormat/>
    <w:pPr>
      <w:tabs>
        <w:tab w:val="clear" w:pos="720"/>
        <w:tab w:val="left" w:pos="504" w:leader="none"/>
      </w:tabs>
      <w:spacing w:before="360" w:after="240"/>
      <w:ind w:hanging="504" w:start="576" w:end="0"/>
    </w:pPr>
    <w:rPr>
      <w:rFonts w:ascii="Arial" w:hAnsi="Arial" w:cs="Arial"/>
      <w:sz w:val="20"/>
    </w:rPr>
  </w:style>
  <w:style w:type="paragraph" w:styleId="Body">
    <w:name w:val="Body"/>
    <w:basedOn w:val="Normal"/>
    <w:qFormat/>
    <w:pPr>
      <w:tabs>
        <w:tab w:val="clear" w:pos="720"/>
      </w:tabs>
      <w:ind w:hanging="0" w:start="72" w:end="0"/>
    </w:pPr>
    <w:rPr>
      <w:rFonts w:ascii="Arial" w:hAnsi="Arial" w:cs="Arial"/>
      <w:color w:val="000080"/>
      <w:sz w:val="20"/>
    </w:rPr>
  </w:style>
  <w:style w:type="paragraph" w:styleId="Department">
    <w:name w:val="Department"/>
    <w:basedOn w:val="Normal"/>
    <w:qFormat/>
    <w:pPr>
      <w:tabs>
        <w:tab w:val="clear" w:pos="720"/>
      </w:tabs>
    </w:pPr>
    <w:rPr>
      <w:sz w:val="20"/>
    </w:rPr>
  </w:style>
  <w:style w:type="paragraph" w:styleId="body1">
    <w:name w:val="body1"/>
    <w:basedOn w:val="Normal"/>
    <w:qFormat/>
    <w:pPr>
      <w:keepLines/>
      <w:tabs>
        <w:tab w:val="clear" w:pos="720"/>
      </w:tabs>
      <w:spacing w:before="0" w:after="240"/>
    </w:pPr>
    <w:rPr>
      <w:rFonts w:ascii="Times New Roman" w:hAnsi="Times New Roman" w:cs="Times New Roman"/>
      <w:sz w:val="20"/>
    </w:rPr>
  </w:style>
  <w:style w:type="paragraph" w:styleId="bullet">
    <w:name w:val="bullet"/>
    <w:basedOn w:val="Normal"/>
    <w:qFormat/>
    <w:pPr>
      <w:keepLines/>
      <w:tabs>
        <w:tab w:val="clear" w:pos="720"/>
      </w:tabs>
      <w:spacing w:before="0" w:after="240"/>
      <w:ind w:hanging="720" w:start="720" w:end="0"/>
    </w:pPr>
    <w:rPr>
      <w:rFonts w:ascii="Times New Roman" w:hAnsi="Times New Roman" w:cs="Times New Roman"/>
      <w:sz w:val="20"/>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tabs>
        <w:tab w:val="clear" w:pos="720"/>
      </w:tabs>
      <w:spacing w:before="0" w:after="240"/>
      <w:jc w:val="center"/>
    </w:pPr>
    <w:rPr>
      <w:rFonts w:ascii="Times New Roman" w:hAnsi="Times New Roman" w:cs="Times New Roman"/>
      <w:b/>
    </w:rPr>
  </w:style>
  <w:style w:type="paragraph" w:styleId="close">
    <w:name w:val="close"/>
    <w:basedOn w:val="Normal"/>
    <w:qFormat/>
    <w:pPr>
      <w:keepLines/>
      <w:tabs>
        <w:tab w:val="clear" w:pos="720"/>
      </w:tabs>
    </w:pPr>
    <w:rPr>
      <w:rFonts w:ascii="Times New Roman" w:hAnsi="Times New Roman" w:cs="Times New Roman"/>
      <w:sz w:val="20"/>
    </w:rPr>
  </w:style>
  <w:style w:type="paragraph" w:styleId="headercont">
    <w:name w:val="headercont"/>
    <w:basedOn w:val="Header"/>
    <w:qFormat/>
    <w:pPr>
      <w:tabs>
        <w:tab w:val="clear" w:pos="5040"/>
        <w:tab w:val="clear" w:pos="10080"/>
        <w:tab w:val="center" w:pos="4962" w:leader="none"/>
        <w:tab w:val="right" w:pos="9923" w:leader="none"/>
      </w:tabs>
      <w:ind w:hanging="0" w:start="0" w:end="250"/>
      <w:jc w:val="end"/>
    </w:pPr>
    <w:rPr>
      <w:b/>
      <w:i/>
      <w:u w:val="single"/>
    </w:rPr>
  </w:style>
  <w:style w:type="paragraph" w:styleId="headertel">
    <w:name w:val="headertel"/>
    <w:basedOn w:val="Header"/>
    <w:qFormat/>
    <w:pPr>
      <w:tabs>
        <w:tab w:val="clear" w:pos="5040"/>
        <w:tab w:val="clear" w:pos="10080"/>
        <w:tab w:val="right" w:pos="7938" w:leader="none"/>
        <w:tab w:val="right" w:pos="9923" w:leader="none"/>
      </w:tabs>
      <w:ind w:hanging="0" w:start="0" w:end="-318"/>
    </w:pPr>
    <w:rPr>
      <w:b/>
      <w:i/>
    </w:rPr>
  </w:style>
  <w:style w:type="paragraph" w:styleId="journal">
    <w:name w:val="journal"/>
    <w:basedOn w:val="Normal"/>
    <w:qFormat/>
    <w:pPr>
      <w:keepLines/>
      <w:tabs>
        <w:tab w:val="left" w:pos="360" w:leader="none"/>
        <w:tab w:val="left" w:pos="720" w:leader="none"/>
        <w:tab w:val="left" w:pos="1080" w:leader="none"/>
        <w:tab w:val="decimal" w:pos="5760" w:leader="none"/>
        <w:tab w:val="decimal" w:pos="720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2000-05-03T03:43:00Z</dcterms:created>
  <dc:creator>RSage</dc:creator>
  <dc:description/>
  <dc:language>en-CA</dc:language>
  <cp:lastModifiedBy>RSage</cp:lastModifiedBy>
  <cp:lastPrinted>2000-05-06T17:38:00Z</cp:lastPrinted>
  <dcterms:modified xsi:type="dcterms:W3CDTF">2000-05-06T14:08:00Z</dcterms:modified>
  <cp:revision>25</cp:revision>
  <dc:subject>Tractebel Meeting</dc:subject>
  <dc:title> </dc:title>
</cp:coreProperties>
</file>