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File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Scott Sefton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Hedge of South American LDCs</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September 28, 2000</w:t>
            </w:r>
          </w:p>
        </w:tc>
      </w:tr>
    </w:tbl>
    <w:p>
      <w:pPr>
        <w:pStyle w:val="Body"/>
        <w:rPr>
          <w:sz w:val="22"/>
        </w:rPr>
      </w:pPr>
      <w:r>
        <w:rPr>
          <w:sz w:val="22"/>
        </w:rPr>
      </w:r>
    </w:p>
    <w:p>
      <w:pPr>
        <w:pStyle w:val="Body"/>
        <w:jc w:val="both"/>
        <w:rPr>
          <w:sz w:val="22"/>
        </w:rPr>
      </w:pPr>
      <w:r>
        <w:rPr>
          <w:sz w:val="22"/>
        </w:rPr>
        <w:t>This memo summarizes the currently proposed transaction structure.</w:t>
      </w:r>
    </w:p>
    <w:p>
      <w:pPr>
        <w:pStyle w:val="Body"/>
        <w:ind w:start="0"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A price return swap will be executed on our equity interests in the LDCs.  The swap price will be the book value of the equity interests.  The book value of the equity interests is approximately $460 million.  We will receive a fairness opinion from CSFB stating that the book value of the equity is the fair value, from a financial point of view, of the equity.</w:t>
      </w:r>
    </w:p>
    <w:p>
      <w:pPr>
        <w:pStyle w:val="Body"/>
        <w:tabs>
          <w:tab w:val="left" w:pos="432" w:leader="none"/>
        </w:tabs>
        <w:ind w:start="432"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 xml:space="preserve">The hedge will be executed within the Raptor 2 structure.  The counterparties will be Grizzly I, LLC (a wholly owned Enron company) and Timberwolf I, LLC (an entity that is owned by an outside investor and in which Enron has a preferred interest).  There will </w:t>
      </w:r>
      <w:r>
        <w:rPr>
          <w:sz w:val="22"/>
          <w:u w:val="single"/>
        </w:rPr>
        <w:t>not</w:t>
      </w:r>
      <w:r>
        <w:rPr>
          <w:sz w:val="22"/>
        </w:rPr>
        <w:t xml:space="preserve"> be a back-to-back hedge between Grizzly and the Enron entity that owns the equity interests.</w:t>
      </w:r>
    </w:p>
    <w:p>
      <w:pPr>
        <w:pStyle w:val="Body"/>
        <w:ind w:start="0"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Our holdings will be restructured before the hedge is executed.  Ponderosa Assets LP (a structured financing vehicle with third party debt and equity investors) is in the ownership chain of each LDC.  Ponderosa will create two new wholly owned Delaware LLCs.  (We had previously discussed creating Cayman Islands companies but tax suggested we use Delaware LLCs.)  Ponderosa would contribute to one of the Delaware LLCs its equity in Enron International Brazil Investments 1997 Ltd. ("Brazil Investments 1997").  Brazil Investments 1997 holds the Gaspart business.  Then, Ponderosa would pledge, as security for its debt, 49% of its equity interest in the new Delaware LLC that holds all of the equity in Brazil Investments 1997, at which time the 49% interest in Brazil Investments 1997 that is currently pledged would be released by the secured party.</w:t>
      </w:r>
    </w:p>
    <w:p>
      <w:pPr>
        <w:pStyle w:val="Body"/>
        <w:ind w:start="0"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Ponderosa would contribute to the other Delaware LLC its equity in Enron International Brazil 1997 Ltd. and Enron International Brazil Gas Holdings Ltd.  These two companies hold CEG and Riogas.  Then, Ponderosa would pledge 65% of its equity interest in the new Delaware LLC that holds all of the equity in these two companies, at which time the 65% interest in these companies that is currently pledged by Ponderosa would be released by the secured party.</w:t>
      </w:r>
    </w:p>
    <w:p>
      <w:pPr>
        <w:pStyle w:val="Body"/>
        <w:ind w:start="0"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 xml:space="preserve">As an alternative to items 3 and 4 above, Ponderosa could create </w:t>
      </w:r>
      <w:r>
        <w:rPr>
          <w:sz w:val="22"/>
          <w:u w:val="single"/>
        </w:rPr>
        <w:t>one</w:t>
      </w:r>
      <w:r>
        <w:rPr>
          <w:sz w:val="22"/>
        </w:rPr>
        <w:t xml:space="preserve"> new wholly owned Delaware LLC.  Ponderosa would then contribute to this new LLC all of its equity interests in the three existing South American entities identified above.  The new Delaware LLC would then pledge 49% of its equity investment in Brazil Investments 1997 and 65% of its equity investment in the other two entities.  The disadvantage of this approach (as opposed to the one described in items 3 and 4 above) is that it would require the prior consent of the Ponderosa lenders, which should take about one week to obtain.</w:t>
      </w:r>
    </w:p>
    <w:p>
      <w:pPr>
        <w:pStyle w:val="Body"/>
        <w:ind w:start="0" w:end="0"/>
        <w:jc w:val="both"/>
        <w:rPr>
          <w:sz w:val="22"/>
        </w:rPr>
      </w:pPr>
      <w:r>
        <w:rPr>
          <w:sz w:val="22"/>
        </w:rPr>
      </w:r>
    </w:p>
    <w:p>
      <w:pPr>
        <w:pStyle w:val="Body"/>
        <w:numPr>
          <w:ilvl w:val="0"/>
          <w:numId w:val="2"/>
        </w:numPr>
        <w:tabs>
          <w:tab w:val="left" w:pos="432" w:leader="none"/>
        </w:tabs>
        <w:ind w:hanging="360" w:start="432" w:end="0"/>
        <w:jc w:val="both"/>
        <w:rPr>
          <w:sz w:val="22"/>
        </w:rPr>
      </w:pPr>
      <w:r>
        <w:rPr>
          <w:sz w:val="22"/>
        </w:rPr>
        <w:t>In both alternatives described above, the swap would be done on the book value of the equity interest(s) in the newly formed Delaware LLC(s) held by Ponderosa.</w:t>
      </w:r>
    </w:p>
    <w:p>
      <w:pPr>
        <w:pStyle w:val="Body"/>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540" w:leader="none"/>
        <w:tab w:val="left" w:pos="3780" w:leader="none"/>
        <w:tab w:val="center" w:pos="7560" w:leader="none"/>
      </w:tabs>
      <w:jc w:val="center"/>
      <w:rPr>
        <w:b/>
        <w:sz w:val="16"/>
      </w:rPr>
    </w:pPr>
    <w:r>
      <w:rPr>
        <w:b/>
        <w:sz w:val="16"/>
      </w:rPr>
      <w:t>Your Personal Best Makes Enron Best</w:t>
      <w:tab/>
      <w:t>Communicate- Facts Are Friendly</w:t>
      <w:tab/>
      <w:tab/>
      <w:t>Better, Faster, Simpler</w:t>
    </w:r>
  </w:p>
  <w:p>
    <w:pPr>
      <w:pStyle w:val="Normal"/>
      <w:tabs>
        <w:tab w:val="left" w:pos="540" w:leader="none"/>
        <w:tab w:val="left" w:pos="3780" w:leader="none"/>
        <w:tab w:val="center" w:pos="756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540" w:leader="none"/>
        <w:tab w:val="center" w:pos="5760" w:leader="none"/>
        <w:tab w:val="right" w:pos="10800" w:leader="none"/>
      </w:tabs>
      <w:jc w:val="center"/>
      <w:rPr>
        <w:b/>
        <w:sz w:val="16"/>
      </w:rPr>
    </w:pPr>
    <w:r>
      <w:rPr>
        <w:b/>
        <w:sz w:val="16"/>
      </w:rPr>
      <w:t>Endless possibilities.</w:t>
    </w:r>
  </w:p>
  <w:p>
    <w:pPr>
      <w:pStyle w:val="Normal"/>
      <w:tabs>
        <w:tab w:val="left" w:pos="540" w:leader="none"/>
        <w:tab w:val="left" w:pos="3780" w:leader="none"/>
        <w:tab w:val="center" w:pos="7560" w:leader="none"/>
        <w:tab w:val="right" w:pos="10800" w:leader="none"/>
      </w:tabs>
      <w:rPr>
        <w:b/>
        <w:sz w:val="16"/>
      </w:rPr>
    </w:pPr>
    <w:r>
      <w:rPr>
        <w:b/>
        <w:sz w:val="16"/>
      </w:rPr>
    </w:r>
  </w:p>
  <w:p>
    <w:pPr>
      <w:pStyle w:val="Normal"/>
      <w:tabs>
        <w:tab w:val="left" w:pos="540" w:leader="none"/>
        <w:tab w:val="left" w:pos="3780" w:leader="none"/>
        <w:tab w:val="center" w:pos="7560" w:leader="none"/>
        <w:tab w:val="right" w:pos="10800" w:leader="none"/>
      </w:tabs>
      <w:rPr>
        <w:sz w:val="12"/>
      </w:rPr>
    </w:pPr>
    <w:r>
      <w:rPr>
        <w:sz w:val="12"/>
      </w:rPr>
    </w:r>
  </w:p>
  <w:p>
    <w:pPr>
      <w:pStyle w:val="Normal"/>
      <w:tabs>
        <w:tab w:val="left" w:pos="540" w:leader="none"/>
        <w:tab w:val="left" w:pos="3780" w:leader="none"/>
        <w:tab w:val="center" w:pos="7560" w:leader="none"/>
        <w:tab w:val="right" w:pos="10800" w:leader="none"/>
      </w:tabs>
      <w:rPr>
        <w:sz w:val="8"/>
        <w:lang w:eastAsia="en-US"/>
      </w:rPr>
    </w:pPr>
    <w:r>
      <w:rPr>
        <w:sz w:val="8"/>
        <w:lang w:eastAsia="en-US"/>
      </w:rPr>
      <w:fldChar w:fldCharType="begin"/>
    </w:r>
    <w:r>
      <w:rPr>
        <w:sz w:val="8"/>
        <w:lang w:eastAsia="en-US"/>
      </w:rPr>
      <w:instrText xml:space="preserve"> FILENAME \p </w:instrText>
    </w:r>
    <w:r>
      <w:rPr>
        <w:sz w:val="8"/>
        <w:lang w:eastAsia="en-US"/>
      </w:rPr>
      <w:fldChar w:fldCharType="separate"/>
    </w:r>
    <w:r>
      <w:rPr>
        <w:sz w:val="8"/>
        <w:lang w:eastAsia="en-US"/>
      </w:rPr>
      <w:t>/mnt/main-storage/datasets/enron-docs/doc/Hedge_of_SA_LDCs.doc</w:t>
    </w:r>
    <w:r>
      <w:rPr>
        <w:sz w:val="8"/>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2000-09-28T11:39:00Z</dcterms:created>
  <dc:creator>Enron</dc:creator>
  <dc:description/>
  <dc:language>en-CA</dc:language>
  <cp:lastModifiedBy>jdorsey</cp:lastModifiedBy>
  <cp:lastPrinted>2000-09-28T13:50:00Z</cp:lastPrinted>
  <dcterms:modified xsi:type="dcterms:W3CDTF">2000-09-28T16:21:00Z</dcterms:modified>
  <cp:revision>8</cp:revision>
  <dc:subject>General Counsel Luncheon</dc:subject>
  <dc:title> </dc:title>
</cp:coreProperties>
</file>