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 a _____________ organized under the laws of ______________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$___________;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in any twelve (12) month period the Net Asset Value of Party B declines by more than _________% since the preceding January 1.</w:t>
      </w:r>
    </w:p>
    <w:p>
      <w:pPr>
        <w:pStyle w:val="Normal"/>
        <w:ind w:hanging="540" w:start="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the ratio of its Liabilities to Net Asset Value is more than ___ to ___.</w:t>
      </w:r>
    </w:p>
    <w:p>
      <w:pPr>
        <w:pStyle w:val="Normal"/>
        <w:ind w:hanging="540" w:start="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its Net Asset Value falls below U.S. $________________.</w:t>
      </w:r>
    </w:p>
    <w:p>
      <w:pPr>
        <w:pStyle w:val="Normal"/>
        <w:ind w:hanging="540" w:start="144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[the Manager][___________] resigns, is terminated or is otherwise incapacitated and not replaced by a [replacement Manager][Person] acceptable to Party A within one month.</w:t>
      </w:r>
    </w:p>
    <w:p>
      <w:pPr>
        <w:pStyle w:val="Normal"/>
        <w:ind w:hanging="540" w:start="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the [Management][_____________] Agreement is terminated by either [the Manager][___________] or Party B (including breach of the [Management][___________] Agreement or the Investment Policy).</w:t>
      </w:r>
    </w:p>
    <w:p>
      <w:pPr>
        <w:pStyle w:val="Normal"/>
        <w:jc w:val="both"/>
        <w:rPr>
          <w:sz w:val="22"/>
          <w:szCs w:val="22"/>
        </w:rPr>
      </w:pPr>
      <w:r>
        <w:rPr>
          <w:sz w:val="22"/>
          <w:szCs w:val="22"/>
        </w:rPr>
      </w:r>
    </w:p>
    <w:p>
      <w:pPr>
        <w:pStyle w:val="Normal"/>
        <w:spacing w:lineRule="atLeast" w:line="240"/>
        <w:ind w:firstLine="900" w:end="0"/>
        <w:jc w:val="both"/>
        <w:rPr>
          <w:sz w:val="22"/>
          <w:szCs w:val="22"/>
        </w:rPr>
      </w:pPr>
      <w:r>
        <w:rPr>
          <w:sz w:val="22"/>
          <w:szCs w:val="22"/>
        </w:rPr>
        <w:t>(ii) The following will constitute an Additional Termination Event with respect to Party A:</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representations apply to Party B:</w:t>
      </w:r>
    </w:p>
    <w:p>
      <w:pPr>
        <w:pStyle w:val="Heading4"/>
        <w:keepNext w:val="false"/>
        <w:ind w:hanging="0" w:start="0"/>
        <w:rPr>
          <w:sz w:val="22"/>
          <w:szCs w:val="22"/>
        </w:rPr>
      </w:pPr>
      <w:r>
        <w:rPr>
          <w:sz w:val="22"/>
          <w:szCs w:val="22"/>
        </w:rPr>
      </w:r>
    </w:p>
    <w:p>
      <w:pPr>
        <w:pStyle w:val="Heading4"/>
        <w:keepNext w:val="false"/>
        <w:ind w:hanging="0" w:start="0"/>
        <w:rPr/>
      </w:pPr>
      <w:r>
        <w:rPr/>
      </w:r>
    </w:p>
    <w:p>
      <w:pPr>
        <w:pStyle w:val="Heading4"/>
        <w:keepNext w:val="false"/>
        <w:ind w:hanging="0" w:start="0"/>
        <w:rPr/>
      </w:pPr>
      <w:r>
        <w:rPr/>
      </w:r>
    </w:p>
    <w:p>
      <w:pPr>
        <w:pStyle w:val="Heading4"/>
        <w:keepNext w:val="false"/>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 xml:space="preserve">Tax forms, documents, or certificates to be delivered are: </w:t>
      </w:r>
    </w:p>
    <w:p>
      <w:pPr>
        <w:pStyle w:val="Normal"/>
        <w:suppressAutoHyphens w:val="true"/>
        <w:spacing w:lineRule="exact" w:line="240" w:before="240" w:after="0"/>
        <w:ind w:start="720" w:end="0"/>
        <w:jc w:val="both"/>
        <w:rPr>
          <w:rStyle w:val="FootnoteCharacters"/>
          <w:sz w:val="22"/>
          <w:szCs w:val="22"/>
        </w:rPr>
      </w:pPr>
      <w:r>
        <w:rPr>
          <w:sz w:val="22"/>
          <w:szCs w:val="22"/>
        </w:rPr>
        <w:t>____________________________</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as well as its prospectus or offering memorandum</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w:t>
            </w:r>
          </w:p>
        </w:tc>
        <w:tc>
          <w:tcPr>
            <w:tcW w:w="2250" w:type="dxa"/>
            <w:gridSpan w:val="3"/>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_______________ </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_____________</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_____________</w:t>
            </w:r>
          </w:p>
        </w:tc>
      </w:tr>
      <w:tr>
        <w:trPr/>
        <w:tc>
          <w:tcPr>
            <w:tcW w:w="2178" w:type="dxa"/>
            <w:tcBorders/>
          </w:tcPr>
          <w:p>
            <w:pPr>
              <w:pStyle w:val="Normal"/>
              <w:tabs>
                <w:tab w:val="left" w:pos="720" w:leader="none"/>
                <w:tab w:val="right" w:pos="9360" w:leader="dot"/>
              </w:tabs>
              <w:snapToGrid w:val="false"/>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napToGrid w:val="false"/>
              <w:spacing w:lineRule="exact" w:line="240"/>
              <w:jc w:val="both"/>
              <w:rPr>
                <w:sz w:val="22"/>
                <w:szCs w:val="22"/>
              </w:rPr>
            </w:pPr>
            <w:r>
              <w:rPr>
                <w:sz w:val="22"/>
                <w:szCs w:val="22"/>
              </w:rPr>
            </w:r>
          </w:p>
        </w:tc>
        <w:tc>
          <w:tcPr>
            <w:tcW w:w="3290" w:type="dxa"/>
            <w:tcBorders/>
          </w:tcPr>
          <w:p>
            <w:pPr>
              <w:pStyle w:val="Normal"/>
              <w:tabs>
                <w:tab w:val="clear" w:pos="720"/>
                <w:tab w:val="left" w:pos="2952" w:leader="none"/>
                <w:tab w:val="left" w:pos="4230" w:leader="none"/>
                <w:tab w:val="left" w:pos="9360" w:leader="none"/>
              </w:tabs>
              <w:snapToGrid w:val="false"/>
              <w:spacing w:lineRule="exact" w:line="240"/>
              <w:ind w:start="72" w:end="0"/>
              <w:jc w:val="both"/>
              <w:rPr>
                <w:sz w:val="22"/>
                <w:szCs w:val="22"/>
              </w:rPr>
            </w:pPr>
            <w:r>
              <w:rPr>
                <w:sz w:val="22"/>
                <w:szCs w:val="22"/>
              </w:rPr>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ind w:start="720" w:end="0"/>
        <w:jc w:val="both"/>
        <w:rPr>
          <w:sz w:val="22"/>
          <w:szCs w:val="22"/>
        </w:rPr>
      </w:pPr>
      <w:r>
        <w:rPr>
          <w:sz w:val="22"/>
          <w:szCs w:val="22"/>
        </w:rPr>
      </w:r>
    </w:p>
    <w:p>
      <w:pPr>
        <w:pStyle w:val="Normal"/>
        <w:keepNext w:val="true"/>
        <w:ind w:hanging="720" w:start="1440" w:end="0"/>
        <w:jc w:val="both"/>
        <w:rPr>
          <w:sz w:val="22"/>
          <w:szCs w:val="22"/>
        </w:rPr>
      </w:pPr>
      <w:r>
        <w:rPr>
          <w:sz w:val="22"/>
          <w:szCs w:val="22"/>
        </w:rPr>
        <w:t>(ii)</w:t>
        <w:tab/>
        <w:t>it is not any employee benefit plan subject to the Employee Retirement Income Security Act of 1974 (“ERISA”), is not acting on behalf of an employee benefit plan subject to ERISA, and not more than 24.9% of its assets are assets which are or which are deemed under ERISA to be assets of an employee benefit plan.</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(2)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w:t>
        <w:tab/>
        <w:t>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Indent2"/>
        <w:widowControl/>
        <w:tabs>
          <w:tab w:val="clear" w:pos="1350"/>
        </w:tabs>
        <w:spacing w:lineRule="exact" w:line="240" w:before="240" w:after="0"/>
        <w:rPr>
          <w:rFonts w:ascii="Times New Roman" w:hAnsi="Times New Roman" w:cs="Times New Roman"/>
          <w:szCs w:val="20"/>
        </w:rPr>
      </w:pPr>
      <w:r>
        <w:rPr>
          <w:rFonts w:cs="Times New Roman" w:ascii="Times New Roman" w:hAnsi="Times New Roman"/>
          <w:szCs w:val="20"/>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 xml:space="preserve">“Net Asset Value” </w:t>
      </w:r>
      <w:r>
        <w:rPr>
          <w:sz w:val="22"/>
          <w:szCs w:val="22"/>
        </w:rPr>
        <w:t>means</w:t>
      </w:r>
      <w:r>
        <w:rPr>
          <w:b/>
          <w:bCs/>
          <w:sz w:val="22"/>
          <w:szCs w:val="22"/>
        </w:rPr>
        <w:t xml:space="preserve"> ___________________</w:t>
      </w:r>
      <w:r>
        <w:rPr>
          <w:sz w:val="22"/>
          <w:szCs w:val="22"/>
        </w:rPr>
        <w:t>.</w:t>
      </w:r>
    </w:p>
    <w:p>
      <w:pPr>
        <w:pStyle w:val="Normal"/>
        <w:spacing w:lineRule="atLeast" w:line="240" w:before="240" w:after="0"/>
        <w:ind w:start="720" w:end="0"/>
        <w:jc w:val="both"/>
        <w:rPr/>
      </w:pPr>
      <w:r>
        <w:rPr>
          <w:sz w:val="22"/>
          <w:szCs w:val="22"/>
        </w:rPr>
        <w:t>(b)</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spacing w:lineRule="atLeast" w:line="240" w:before="240" w:after="0"/>
        <w:ind w:start="720" w:end="0"/>
        <w:jc w:val="both"/>
        <w:rPr/>
      </w:pPr>
      <w:r>
        <w:rPr>
          <w:sz w:val="22"/>
          <w:szCs w:val="22"/>
        </w:rPr>
        <w:t>(c)</w:t>
        <w:tab/>
      </w:r>
      <w:r>
        <w:rPr>
          <w:b/>
          <w:bCs/>
          <w:sz w:val="22"/>
          <w:szCs w:val="22"/>
        </w:rPr>
        <w:t xml:space="preserve">“Management Agreement” </w:t>
      </w:r>
      <w:r>
        <w:rPr>
          <w:sz w:val="22"/>
          <w:szCs w:val="22"/>
        </w:rPr>
        <w:t>means that certain agreement dated ____________  between Party B and the Manager for managing the operations and affairs of Party B.</w:t>
      </w:r>
    </w:p>
    <w:p>
      <w:pPr>
        <w:pStyle w:val="BodyTextIndent"/>
        <w:spacing w:lineRule="atLeast" w:line="240"/>
        <w:rPr/>
      </w:pPr>
      <w:r>
        <w:rPr/>
        <w:t>(d)</w:t>
        <w:tab/>
      </w:r>
      <w:r>
        <w:rPr>
          <w:b/>
          <w:bCs/>
        </w:rPr>
        <w:t xml:space="preserve">“Investment Policy” </w:t>
      </w:r>
      <w:r>
        <w:rPr/>
        <w:t xml:space="preserve">means Party B’s investment policies and restrictions as set forth in Party B’s prospectus, which incorporates the use of derivative products, including swaps, options and other Transactions. </w:t>
      </w:r>
    </w:p>
    <w:p>
      <w:pPr>
        <w:pStyle w:val="Normal"/>
        <w:spacing w:lineRule="atLeast" w:line="240" w:before="240" w:after="0"/>
        <w:ind w:firstLine="90" w:start="630" w:end="0"/>
        <w:jc w:val="both"/>
        <w:rPr/>
      </w:pPr>
      <w:r>
        <w:rPr>
          <w:sz w:val="22"/>
          <w:szCs w:val="22"/>
        </w:rPr>
        <w:t>(e)</w:t>
        <w:tab/>
      </w:r>
      <w:r>
        <w:rPr>
          <w:b/>
          <w:bCs/>
          <w:sz w:val="22"/>
          <w:szCs w:val="22"/>
        </w:rPr>
        <w:t xml:space="preserve">“Manager” </w:t>
      </w:r>
      <w:r>
        <w:rPr>
          <w:sz w:val="22"/>
          <w:szCs w:val="22"/>
        </w:rPr>
        <w:t>means _________________</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BlockText"/>
        <w:ind w:hanging="720" w:start="1440" w:end="720"/>
        <w:rPr>
          <w:rFonts w:ascii="Times New Roman" w:hAnsi="Times New Roman" w:cs="Times New Roman"/>
        </w:rPr>
      </w:pPr>
      <w:r>
        <w:rPr>
          <w:rFonts w:cs="Times New Roman"/>
        </w:rPr>
      </w:r>
    </w:p>
    <w:p>
      <w:pPr>
        <w:pStyle w:val="BlockText"/>
        <w:ind w:hanging="720" w:start="1440" w:end="720"/>
        <w:rPr/>
      </w:pPr>
      <w:r>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sz w:val="22"/>
                <w:szCs w:val="22"/>
              </w:rPr>
              <w:t>__________________________</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 (the “Counterparty”), in connection with the execution and delivery by the Counterparty of an ISDA Master Agreement dated as of _______________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 duly existing under the laws of 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tabs>
          <w:tab w:val="clear" w:pos="720"/>
          <w:tab w:val="left" w:pos="1440" w:leader="none"/>
        </w:tabs>
        <w:rPr>
          <w:sz w:val="22"/>
          <w:szCs w:val="22"/>
        </w:rPr>
      </w:pPr>
      <w:r>
        <w:rPr>
          <w:sz w:val="22"/>
          <w:szCs w:val="22"/>
        </w:rPr>
      </w:r>
    </w:p>
    <w:p>
      <w:pPr>
        <w:pStyle w:val="Normal"/>
        <w:tabs>
          <w:tab w:val="clear" w:pos="720"/>
          <w:tab w:val="left" w:pos="1440" w:leader="none"/>
        </w:tabs>
        <w:rPr>
          <w:sz w:val="22"/>
          <w:szCs w:val="22"/>
        </w:rPr>
      </w:pPr>
      <w:r>
        <w:rPr/>
        <w:tab/>
      </w:r>
      <w:r>
        <w:rPr>
          <w:sz w:val="22"/>
        </w:rPr>
        <w:t>7.</w:t>
        <w:tab/>
        <w:t xml:space="preserve">Under the laws of _________________,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   </w:t>
      </w:r>
    </w:p>
    <w:p>
      <w:pPr>
        <w:pStyle w:val="Normal"/>
        <w:keepNext w:val="true"/>
        <w:jc w:val="end"/>
        <w:rPr>
          <w:sz w:val="22"/>
          <w:szCs w:val="22"/>
        </w:rPr>
      </w:pPr>
      <w:r>
        <w:rPr>
          <w:sz w:val="22"/>
          <w:szCs w:val="22"/>
        </w:rPr>
        <w:t>Very truly yours</w:t>
        <w:tab/>
      </w:r>
    </w:p>
    <w:p>
      <w:pPr>
        <w:pStyle w:val="Normal"/>
        <w:keepNext w:val="true"/>
        <w:jc w:val="end"/>
        <w:rPr>
          <w:sz w:val="22"/>
          <w:szCs w:val="22"/>
        </w:rPr>
      </w:pPr>
      <w:r>
        <w:rPr>
          <w:sz w:val="22"/>
          <w:szCs w:val="22"/>
        </w:rPr>
      </w:r>
    </w:p>
    <w:p>
      <w:pPr>
        <w:pStyle w:val="Normal"/>
        <w:keepNext w:val="true"/>
        <w:jc w:val="end"/>
        <w:rPr>
          <w:sz w:val="22"/>
          <w:szCs w:val="22"/>
        </w:rPr>
      </w:pPr>
      <w:r>
        <w:rPr>
          <w:sz w:val="22"/>
          <w:szCs w:val="22"/>
        </w:rPr>
        <w:tab/>
        <w:tab/>
      </w:r>
    </w:p>
    <w:p>
      <w:pPr>
        <w:pStyle w:val="Normal"/>
        <w:keepNext w:val="true"/>
        <w:jc w:val="end"/>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start="1" w:fmt="decimal"/>
          <w:formProt w:val="false"/>
          <w:textDirection w:val="lrTb"/>
          <w:docGrid w:type="default" w:linePitch="360" w:charSpace="0"/>
        </w:sectPr>
        <w:pStyle w:val="Normal"/>
        <w:jc w:val="center"/>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_______________,</w:t>
            </w:r>
            <w:r>
              <w:rPr>
                <w:b/>
                <w:bCs/>
                <w:sz w:val="22"/>
                <w:szCs w:val="22"/>
              </w:rPr>
              <w:t xml:space="preserve"> a ______________ organized under the law of 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$______________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an Additional Termination Event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keepNext w:val="true"/>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_____________,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_____________, a _______________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2088"/>
        <w:gridCol w:w="3150"/>
        <w:gridCol w:w="1530"/>
        <w:gridCol w:w="3420"/>
      </w:tblGrid>
      <w:tr>
        <w:trPr/>
        <w:tc>
          <w:tcPr>
            <w:tcW w:w="2088" w:type="dxa"/>
            <w:tcBorders/>
          </w:tcPr>
          <w:p>
            <w:pPr>
              <w:pStyle w:val="Normal"/>
              <w:keepNext w:val="true"/>
              <w:keepLines/>
              <w:spacing w:lineRule="atLeast" w:line="240"/>
              <w:rPr>
                <w:sz w:val="22"/>
                <w:szCs w:val="22"/>
              </w:rPr>
            </w:pPr>
            <w:r>
              <w:rPr>
                <w:sz w:val="22"/>
                <w:szCs w:val="22"/>
              </w:rPr>
              <w:t>To Counterparty:</w:t>
            </w:r>
          </w:p>
        </w:tc>
        <w:tc>
          <w:tcPr>
            <w:tcW w:w="3150" w:type="dxa"/>
            <w:tcBorders/>
          </w:tcPr>
          <w:p>
            <w:pPr>
              <w:pStyle w:val="Normal"/>
              <w:keepNext w:val="true"/>
              <w:keepLines/>
              <w:tabs>
                <w:tab w:val="clear" w:pos="720"/>
                <w:tab w:val="left" w:pos="3132" w:leader="none"/>
              </w:tabs>
              <w:spacing w:lineRule="atLeast" w:line="240"/>
              <w:rPr>
                <w:sz w:val="22"/>
                <w:szCs w:val="22"/>
              </w:rPr>
            </w:pPr>
            <w:r>
              <w:rPr>
                <w:sz w:val="22"/>
                <w:szCs w:val="22"/>
              </w:rPr>
              <w:t>___________________</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sz w:val="22"/>
                <w:szCs w:val="22"/>
                <w:u w:val="single"/>
              </w:rPr>
            </w:pPr>
            <w:r>
              <w:rPr>
                <w:sz w:val="22"/>
                <w:szCs w:val="22"/>
                <w:u w:val="single"/>
              </w:rPr>
              <w:t>___________________</w:t>
            </w:r>
          </w:p>
          <w:p>
            <w:pPr>
              <w:pStyle w:val="Normal"/>
              <w:keepNext w:val="true"/>
              <w:keepLines/>
              <w:tabs>
                <w:tab w:val="clear" w:pos="720"/>
                <w:tab w:val="left" w:pos="3132" w:leader="none"/>
              </w:tabs>
              <w:spacing w:lineRule="atLeast" w:line="240"/>
              <w:rPr>
                <w:sz w:val="22"/>
                <w:szCs w:val="22"/>
              </w:rPr>
            </w:pPr>
            <w:r>
              <w:rPr>
                <w:sz w:val="22"/>
                <w:szCs w:val="22"/>
              </w:rPr>
              <w:t>___________________</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napToGrid w:val="false"/>
              <w:spacing w:lineRule="atLeast" w:line="240"/>
              <w:rPr>
                <w:sz w:val="22"/>
                <w:szCs w:val="22"/>
              </w:rPr>
            </w:pPr>
            <w:r>
              <w:rPr>
                <w:sz w:val="22"/>
                <w:szCs w:val="22"/>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sz w:val="22"/>
                <w:szCs w:val="22"/>
                <w:u w:val="single"/>
              </w:rPr>
            </w:pPr>
            <w:r>
              <w:rPr>
                <w:sz w:val="22"/>
                <w:szCs w:val="22"/>
              </w:rPr>
              <w:t>Attn.:  _________________</w:t>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sz w:val="22"/>
                <w:szCs w:val="22"/>
              </w:rPr>
            </w:pPr>
            <w:r>
              <w:rPr>
                <w:sz w:val="22"/>
                <w:szCs w:val="22"/>
              </w:rPr>
              <w:t>Fax No.:  ___________________</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___________,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/mnt/main-storage/datasets/enron-docs/doc/Hedge_Fund_Template.doc</w:t>
    </w:r>
    <w:r>
      <w:rPr>
        <w:rStyle w:val="PageNumber"/>
        <w:sz w:val="16"/>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/mnt/main-storage/datasets/enron-docs/doc/Hedge_Fund_Template.doc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/mnt/main-storage/datasets/enron-docs/doc/Hedge_Fund_Template.doc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/mnt/main-storage/datasets/enron-docs/doc/Hedge_Fund_Template.doc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ind w:start="450" w:hanging="36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2001-04-25T14:34:00Z</dcterms:created>
  <dc:creator>mheard</dc:creator>
  <dc:description/>
  <dc:language>en-CA</dc:language>
  <cp:lastModifiedBy>cstclai</cp:lastModifiedBy>
  <cp:lastPrinted>2001-04-25T13:42:00Z</cp:lastPrinted>
  <dcterms:modified xsi:type="dcterms:W3CDTF">2001-04-25T16:12:00Z</dcterms:modified>
  <cp:revision>4</cp:revision>
  <dc:subject/>
  <dc:title>ISDA Multicurrency Agreement</dc:title>
</cp:coreProperties>
</file>