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t>September 21, 2000</w:t>
      </w:r>
    </w:p>
    <w:p>
      <w:pPr>
        <w:pStyle w:val="Normal"/>
        <w:jc w:val="center"/>
        <w:rPr/>
      </w:pPr>
      <w:r>
        <w:rPr/>
      </w:r>
    </w:p>
    <w:p>
      <w:pPr>
        <w:pStyle w:val="Normal"/>
        <w:jc w:val="center"/>
        <w:rPr/>
      </w:pPr>
      <w:r>
        <w:rPr/>
      </w:r>
    </w:p>
    <w:p>
      <w:pPr>
        <w:pStyle w:val="Normal"/>
        <w:rPr/>
      </w:pPr>
      <w:r>
        <w:rPr/>
      </w:r>
    </w:p>
    <w:p>
      <w:pPr>
        <w:pStyle w:val="Normal"/>
        <w:rPr/>
      </w:pPr>
      <w:r>
        <w:rPr/>
        <w:t>Commissioner Curtis L. Hebert</w:t>
      </w:r>
    </w:p>
    <w:p>
      <w:pPr>
        <w:pStyle w:val="Normal"/>
        <w:rPr/>
      </w:pPr>
      <w:r>
        <w:rPr/>
        <w:t>Federal Energy Regulatory Commission</w:t>
      </w:r>
    </w:p>
    <w:p>
      <w:pPr>
        <w:pStyle w:val="Normal"/>
        <w:rPr/>
      </w:pPr>
      <w:r>
        <w:rPr/>
        <w:t>888 First St., NE</w:t>
      </w:r>
    </w:p>
    <w:p>
      <w:pPr>
        <w:pStyle w:val="Normal"/>
        <w:rPr/>
      </w:pPr>
      <w:r>
        <w:rPr/>
        <w:t>Room 11E-1</w:t>
      </w:r>
    </w:p>
    <w:p>
      <w:pPr>
        <w:pStyle w:val="Normal"/>
        <w:rPr/>
      </w:pPr>
      <w:r>
        <w:rPr/>
        <w:t>Mailstop CO-4</w:t>
      </w:r>
    </w:p>
    <w:p>
      <w:pPr>
        <w:pStyle w:val="Normal"/>
        <w:rPr/>
      </w:pPr>
      <w:r>
        <w:rPr/>
        <w:t>Washington, DC  20426</w:t>
      </w:r>
    </w:p>
    <w:p>
      <w:pPr>
        <w:pStyle w:val="Normal"/>
        <w:rPr/>
      </w:pPr>
      <w:r>
        <w:rPr/>
      </w:r>
    </w:p>
    <w:p>
      <w:pPr>
        <w:pStyle w:val="Normal"/>
        <w:rPr/>
      </w:pPr>
      <w:r>
        <w:rPr/>
        <w:t>Dear Commissioner Hebert:</w:t>
      </w:r>
    </w:p>
    <w:p>
      <w:pPr>
        <w:pStyle w:val="Normal"/>
        <w:rPr/>
      </w:pPr>
      <w:r>
        <w:rPr/>
      </w:r>
    </w:p>
    <w:p>
      <w:pPr>
        <w:pStyle w:val="BodyText"/>
        <w:rPr/>
      </w:pPr>
      <w:r>
        <w:rPr/>
        <w:tab/>
        <w:t>Attached are two documents.  The second is a paper we have provided to Commissioner Breathitt and Chairman Hoecker.  The first is the document you and I discussed on the phone, which I am providing only to you.  It discusses the policy priorities as well as expected industry reaction if FERC were to act on these priorities.</w:t>
      </w:r>
    </w:p>
    <w:p>
      <w:pPr>
        <w:pStyle w:val="Normal"/>
        <w:rPr/>
      </w:pPr>
      <w:r>
        <w:rPr/>
      </w:r>
      <w:r>
        <w:br w:type="page"/>
      </w:r>
    </w:p>
    <w:p>
      <w:pPr>
        <w:pStyle w:val="Normal"/>
        <w:jc w:val="center"/>
        <w:rPr/>
      </w:pPr>
      <w:r>
        <w:rPr/>
        <w:t xml:space="preserve">ELECTRIC INDUSTRY PRIORITIES </w:t>
      </w:r>
    </w:p>
    <w:p>
      <w:pPr>
        <w:pStyle w:val="Normal"/>
        <w:jc w:val="center"/>
        <w:rPr/>
      </w:pPr>
      <w:r>
        <w:rPr/>
        <w:t>AND INDUSTRY RESPONSE</w:t>
      </w:r>
    </w:p>
    <w:p>
      <w:pPr>
        <w:pStyle w:val="Normal"/>
        <w:jc w:val="center"/>
        <w:rPr/>
      </w:pPr>
      <w:r>
        <w:rPr/>
      </w:r>
    </w:p>
    <w:p>
      <w:pPr>
        <w:pStyle w:val="Normal"/>
        <w:jc w:val="center"/>
        <w:rPr/>
      </w:pPr>
      <w:r>
        <w:rPr/>
      </w:r>
    </w:p>
    <w:p>
      <w:pPr>
        <w:pStyle w:val="Heading1"/>
        <w:ind w:hanging="0" w:start="0"/>
        <w:rPr/>
      </w:pPr>
      <w:r>
        <w:rPr/>
        <w:t>Priorities</w:t>
      </w:r>
    </w:p>
    <w:p>
      <w:pPr>
        <w:pStyle w:val="Normal"/>
        <w:jc w:val="both"/>
        <w:rPr/>
      </w:pPr>
      <w:r>
        <w:rPr/>
      </w:r>
    </w:p>
    <w:p>
      <w:pPr>
        <w:pStyle w:val="Normal"/>
        <w:ind w:firstLine="720" w:end="0"/>
        <w:jc w:val="both"/>
        <w:rPr/>
      </w:pPr>
      <w:r>
        <w:rPr/>
        <w:t>Persistent structural problems in power markets are causing increasing reliability and pricing issues for customers.</w:t>
      </w:r>
    </w:p>
    <w:p>
      <w:pPr>
        <w:pStyle w:val="Normal"/>
        <w:ind w:firstLine="720" w:end="0"/>
        <w:jc w:val="both"/>
        <w:rPr/>
      </w:pPr>
      <w:r>
        <w:rPr/>
      </w:r>
    </w:p>
    <w:p>
      <w:pPr>
        <w:pStyle w:val="Normal"/>
        <w:ind w:firstLine="720" w:end="0"/>
        <w:jc w:val="both"/>
        <w:rPr/>
      </w:pPr>
      <w:r>
        <w:rPr/>
        <w:t>Many of the solutions to these problems are primarily, if not exclusively, within FERC’s power to solve by unleashing market forces.</w:t>
      </w:r>
    </w:p>
    <w:p>
      <w:pPr>
        <w:pStyle w:val="Normal"/>
        <w:ind w:firstLine="720" w:end="0"/>
        <w:jc w:val="both"/>
        <w:rPr/>
      </w:pPr>
      <w:r>
        <w:rPr/>
      </w:r>
    </w:p>
    <w:p>
      <w:pPr>
        <w:pStyle w:val="Normal"/>
        <w:numPr>
          <w:ilvl w:val="0"/>
          <w:numId w:val="5"/>
        </w:numPr>
        <w:spacing w:before="0" w:after="120"/>
        <w:jc w:val="both"/>
        <w:rPr/>
      </w:pPr>
      <w:r>
        <w:rPr/>
        <w:t>Transmission remains largely closed, preventing the market from moving power from where it is to where it is needed.</w:t>
      </w:r>
    </w:p>
    <w:p>
      <w:pPr>
        <w:pStyle w:val="Normal"/>
        <w:numPr>
          <w:ilvl w:val="0"/>
          <w:numId w:val="5"/>
        </w:numPr>
        <w:spacing w:before="0" w:after="120"/>
        <w:jc w:val="both"/>
        <w:rPr/>
      </w:pPr>
      <w:r>
        <w:rPr/>
        <w:t>New supplies are desperately needed yet interconnection remains a painfully slow process.</w:t>
      </w:r>
    </w:p>
    <w:p>
      <w:pPr>
        <w:pStyle w:val="Normal"/>
        <w:numPr>
          <w:ilvl w:val="0"/>
          <w:numId w:val="5"/>
        </w:numPr>
        <w:jc w:val="both"/>
        <w:rPr/>
      </w:pPr>
      <w:r>
        <w:rPr/>
        <w:t>Centralized, exclusive, government</w:t>
        <w:noBreakHyphen/>
        <w:t>designed markets have prevented customers from taking advantage of commercial solutions to price volatility.</w:t>
      </w:r>
    </w:p>
    <w:p>
      <w:pPr>
        <w:pStyle w:val="Normal"/>
        <w:ind w:start="360" w:end="0"/>
        <w:jc w:val="both"/>
        <w:rPr/>
      </w:pPr>
      <w:r>
        <w:rPr/>
      </w:r>
    </w:p>
    <w:p>
      <w:pPr>
        <w:pStyle w:val="Normal"/>
        <w:ind w:firstLine="720" w:end="0"/>
        <w:jc w:val="both"/>
        <w:rPr/>
      </w:pPr>
      <w:r>
        <w:rPr/>
        <w:t>Circumstances in California, and elsewhere in U.S. power markets create the best environment we have ever seen for FERC to open the market.  Further, the D.C. Circuit decision on FERC’s jurisdiction and the return of the Order 888 docket to FERC control (following the denial of rehearing) gives FERC both the clear authority to act and the procedural vehicle to act (i.e. Order “888D”).  The Commission should do at least the following:</w:t>
      </w:r>
    </w:p>
    <w:p>
      <w:pPr>
        <w:pStyle w:val="Normal"/>
        <w:ind w:start="720" w:end="0"/>
        <w:jc w:val="both"/>
        <w:rPr/>
      </w:pPr>
      <w:r>
        <w:rPr/>
      </w:r>
    </w:p>
    <w:p>
      <w:pPr>
        <w:pStyle w:val="Normal"/>
        <w:numPr>
          <w:ilvl w:val="0"/>
          <w:numId w:val="9"/>
        </w:numPr>
        <w:spacing w:before="0" w:after="120"/>
        <w:jc w:val="both"/>
        <w:rPr/>
      </w:pPr>
      <w:r>
        <w:rPr>
          <w:u w:val="single"/>
        </w:rPr>
        <w:t>Transmission</w:t>
      </w:r>
    </w:p>
    <w:p>
      <w:pPr>
        <w:pStyle w:val="Normal"/>
        <w:numPr>
          <w:ilvl w:val="0"/>
          <w:numId w:val="3"/>
        </w:numPr>
        <w:spacing w:before="0" w:after="120"/>
        <w:jc w:val="both"/>
        <w:rPr/>
      </w:pPr>
      <w:r>
        <w:rPr/>
        <w:t>Unbundle all interstate transmission.</w:t>
      </w:r>
    </w:p>
    <w:p>
      <w:pPr>
        <w:pStyle w:val="Normal"/>
        <w:numPr>
          <w:ilvl w:val="0"/>
          <w:numId w:val="3"/>
        </w:numPr>
        <w:spacing w:before="0" w:after="120"/>
        <w:jc w:val="both"/>
        <w:rPr/>
      </w:pPr>
      <w:r>
        <w:rPr/>
        <w:t>Require all transmission owning utilities to provide transmission service on a nondiscriminatory basis.</w:t>
      </w:r>
    </w:p>
    <w:p>
      <w:pPr>
        <w:pStyle w:val="Normal"/>
        <w:numPr>
          <w:ilvl w:val="0"/>
          <w:numId w:val="3"/>
        </w:numPr>
        <w:spacing w:before="0" w:after="120"/>
        <w:jc w:val="both"/>
        <w:rPr/>
      </w:pPr>
      <w:r>
        <w:rPr/>
        <w:t>Eliminate the distinction between network and point-to-point service.</w:t>
      </w:r>
    </w:p>
    <w:p>
      <w:pPr>
        <w:pStyle w:val="Normal"/>
        <w:numPr>
          <w:ilvl w:val="0"/>
          <w:numId w:val="3"/>
        </w:numPr>
        <w:spacing w:before="0" w:after="120"/>
        <w:jc w:val="both"/>
        <w:rPr/>
      </w:pPr>
      <w:r>
        <w:rPr/>
        <w:t>Examine the “seams” between regional markets and eliminate the inconsistencies and other barriers which prevent the market from moving power.</w:t>
      </w:r>
    </w:p>
    <w:p>
      <w:pPr>
        <w:pStyle w:val="BodyTextIndent"/>
        <w:rPr/>
      </w:pPr>
      <w:r>
        <w:rPr/>
      </w:r>
    </w:p>
    <w:p>
      <w:pPr>
        <w:pStyle w:val="Normal"/>
        <w:keepNext w:val="true"/>
        <w:keepLines/>
        <w:numPr>
          <w:ilvl w:val="0"/>
          <w:numId w:val="6"/>
        </w:numPr>
        <w:spacing w:before="0" w:after="120"/>
        <w:jc w:val="both"/>
        <w:rPr/>
      </w:pPr>
      <w:r>
        <w:rPr>
          <w:u w:val="single"/>
        </w:rPr>
        <w:t>RTOs</w:t>
      </w:r>
    </w:p>
    <w:p>
      <w:pPr>
        <w:pStyle w:val="Normal"/>
        <w:keepNext w:val="true"/>
        <w:keepLines/>
        <w:numPr>
          <w:ilvl w:val="0"/>
          <w:numId w:val="10"/>
        </w:numPr>
        <w:spacing w:before="0" w:after="120"/>
        <w:jc w:val="both"/>
        <w:rPr/>
      </w:pPr>
      <w:r>
        <w:rPr/>
        <w:t>Separate transmission from the competitive functions.  Ideally, separate ownership (</w:t>
      </w:r>
      <w:r>
        <w:rPr>
          <w:u w:val="single"/>
        </w:rPr>
        <w:t>i.e.</w:t>
      </w:r>
      <w:r>
        <w:rPr/>
        <w:t xml:space="preserve"> Transcos), but at a minimum separate operation.</w:t>
      </w:r>
    </w:p>
    <w:p>
      <w:pPr>
        <w:pStyle w:val="Normal"/>
        <w:numPr>
          <w:ilvl w:val="0"/>
          <w:numId w:val="10"/>
        </w:numPr>
        <w:spacing w:before="0" w:after="120"/>
        <w:jc w:val="both"/>
        <w:rPr/>
      </w:pPr>
      <w:r>
        <w:rPr/>
        <w:t>RTOs should be responsible for real time balance but not for operating a centralized market.  Centralized markets enslave customers to volatile spot prices.  This summer’s experience has underscored the need for open markets which provide customers with the ability to buy power outside of the spot market.</w:t>
      </w:r>
    </w:p>
    <w:p>
      <w:pPr>
        <w:pStyle w:val="Normal"/>
        <w:numPr>
          <w:ilvl w:val="0"/>
          <w:numId w:val="4"/>
        </w:numPr>
        <w:spacing w:before="0" w:after="120"/>
        <w:jc w:val="both"/>
        <w:rPr/>
      </w:pPr>
      <w:r>
        <w:rPr>
          <w:u w:val="single"/>
        </w:rPr>
        <w:t>Interconnection</w:t>
      </w:r>
    </w:p>
    <w:p>
      <w:pPr>
        <w:pStyle w:val="Normal"/>
        <w:numPr>
          <w:ilvl w:val="0"/>
          <w:numId w:val="7"/>
        </w:numPr>
        <w:spacing w:before="0" w:after="120"/>
        <w:jc w:val="both"/>
        <w:rPr/>
      </w:pPr>
      <w:r>
        <w:rPr/>
        <w:t>The OATT should include standardized interconnection terms and deadlines.</w:t>
      </w:r>
    </w:p>
    <w:p>
      <w:pPr>
        <w:pStyle w:val="Heading1"/>
        <w:ind w:hanging="0" w:start="0"/>
        <w:rPr/>
      </w:pPr>
      <w:r>
        <w:rPr/>
        <w:t>Industry Reaction</w:t>
      </w:r>
    </w:p>
    <w:p>
      <w:pPr>
        <w:pStyle w:val="Normal"/>
        <w:ind w:start="360" w:end="0"/>
        <w:jc w:val="both"/>
        <w:rPr/>
      </w:pPr>
      <w:r>
        <w:rPr/>
      </w:r>
    </w:p>
    <w:p>
      <w:pPr>
        <w:pStyle w:val="Normal"/>
        <w:ind w:firstLine="720" w:end="0"/>
        <w:jc w:val="both"/>
        <w:rPr/>
      </w:pPr>
      <w:r>
        <w:rPr/>
        <w:t>Utilities fall into roughly 3 camps:</w:t>
      </w:r>
    </w:p>
    <w:p>
      <w:pPr>
        <w:pStyle w:val="Normal"/>
        <w:ind w:start="360" w:end="0"/>
        <w:jc w:val="both"/>
        <w:rPr/>
      </w:pPr>
      <w:r>
        <w:rPr/>
      </w:r>
    </w:p>
    <w:p>
      <w:pPr>
        <w:pStyle w:val="Normal"/>
        <w:numPr>
          <w:ilvl w:val="0"/>
          <w:numId w:val="2"/>
        </w:numPr>
        <w:tabs>
          <w:tab w:val="clear" w:pos="720"/>
          <w:tab w:val="left" w:pos="1440" w:leader="none"/>
        </w:tabs>
        <w:spacing w:before="0" w:after="120"/>
        <w:ind w:hanging="720" w:start="1440" w:end="0"/>
        <w:jc w:val="both"/>
        <w:rPr/>
      </w:pPr>
      <w:r>
        <w:rPr/>
        <w:t>The procompetitive utilities</w:t>
      </w:r>
    </w:p>
    <w:p>
      <w:pPr>
        <w:pStyle w:val="Normal"/>
        <w:numPr>
          <w:ilvl w:val="0"/>
          <w:numId w:val="2"/>
        </w:numPr>
        <w:tabs>
          <w:tab w:val="clear" w:pos="720"/>
          <w:tab w:val="left" w:pos="1440" w:leader="none"/>
        </w:tabs>
        <w:spacing w:before="0" w:after="120"/>
        <w:ind w:hanging="720" w:start="1440" w:end="0"/>
        <w:jc w:val="both"/>
        <w:rPr/>
      </w:pPr>
      <w:r>
        <w:rPr/>
        <w:t xml:space="preserve">The “silent majority” - - those who have established wholesale competitive businesses </w:t>
      </w:r>
      <w:r>
        <w:rPr>
          <w:u w:val="single"/>
        </w:rPr>
        <w:t>or</w:t>
      </w:r>
      <w:r>
        <w:rPr/>
        <w:t xml:space="preserve"> who have decided to become distribution only entities (who are then dependent on a well functioning wholesale market).  </w:t>
      </w:r>
    </w:p>
    <w:p>
      <w:pPr>
        <w:pStyle w:val="Normal"/>
        <w:numPr>
          <w:ilvl w:val="0"/>
          <w:numId w:val="2"/>
        </w:numPr>
        <w:tabs>
          <w:tab w:val="clear" w:pos="720"/>
          <w:tab w:val="left" w:pos="1440" w:leader="none"/>
        </w:tabs>
        <w:ind w:hanging="720" w:start="1440" w:end="0"/>
        <w:jc w:val="both"/>
        <w:rPr/>
      </w:pPr>
      <w:r>
        <w:rPr/>
        <w:t>The “just say no” crowd.</w:t>
      </w:r>
    </w:p>
    <w:p>
      <w:pPr>
        <w:pStyle w:val="Normal"/>
        <w:jc w:val="both"/>
        <w:rPr/>
      </w:pPr>
      <w:r>
        <w:rPr/>
      </w:r>
    </w:p>
    <w:p>
      <w:pPr>
        <w:pStyle w:val="BodyTextIndent2"/>
        <w:rPr/>
      </w:pPr>
      <w:r>
        <w:rPr/>
        <w:t>My sense is that groups (1) and (3) are small and that the vast majority of utilities, while not volunteering to surrender their discriminatory access to transmission, have become increasingly dependent on a truly competitive market.  All utilities have had years to “get ready” for competition and most are.  Nearly all utilities favor moving forward with competition rather than moving backward to reregulation.  The utilities have also been keen observers of the California situation and would like to avoid a similar fate.  This leads me to believe that most utilities will accept and ultimately embrace FERC driven change (whereas most would not have even a few months ago).  As we discovered in the gas pipeline industry, once the incumbent is forced to surrender its advantageous access to the grid, transmission companies become profit driven, innovative sellers of transmission service.</w:t>
      </w:r>
    </w:p>
    <w:p>
      <w:pPr>
        <w:pStyle w:val="Normal"/>
        <w:ind w:firstLine="720" w:end="0"/>
        <w:jc w:val="both"/>
        <w:rPr/>
      </w:pPr>
      <w:r>
        <w:rPr/>
      </w:r>
    </w:p>
    <w:p>
      <w:pPr>
        <w:pStyle w:val="Normal"/>
        <w:ind w:firstLine="720" w:end="0"/>
        <w:jc w:val="both"/>
        <w:rPr/>
      </w:pPr>
      <w:r>
        <w:rPr/>
        <w:t>The procompetitive utilities will react positively of course.  My view of the other two groups is:</w:t>
      </w:r>
    </w:p>
    <w:p>
      <w:pPr>
        <w:pStyle w:val="Normal"/>
        <w:ind w:firstLine="720" w:end="0"/>
        <w:jc w:val="both"/>
        <w:rPr/>
      </w:pPr>
      <w:r>
        <w:rPr/>
      </w:r>
    </w:p>
    <w:p>
      <w:pPr>
        <w:pStyle w:val="Heading1"/>
        <w:ind w:hanging="0" w:start="0"/>
        <w:rPr/>
      </w:pPr>
      <w:r>
        <w:rPr/>
        <w:t>The “silent majority” group</w:t>
      </w:r>
    </w:p>
    <w:p>
      <w:pPr>
        <w:pStyle w:val="Normal"/>
        <w:jc w:val="both"/>
        <w:rPr>
          <w:b/>
          <w:bCs/>
        </w:rPr>
      </w:pPr>
      <w:r>
        <w:rPr>
          <w:b/>
          <w:bCs/>
        </w:rPr>
      </w:r>
    </w:p>
    <w:p>
      <w:pPr>
        <w:pStyle w:val="Normal"/>
        <w:numPr>
          <w:ilvl w:val="0"/>
          <w:numId w:val="4"/>
        </w:numPr>
        <w:jc w:val="both"/>
        <w:rPr>
          <w:b/>
          <w:bCs/>
        </w:rPr>
      </w:pPr>
      <w:r>
        <w:rPr/>
        <w:t xml:space="preserve">Reaction:  Likely to move quickly to reassure customers and shareholders that they are ready for fully open wholesale markets and therefore embrace the change.  This is likely to be strongly reinforced if Commission action also includes a threat:  Utilities were granted market-based rates as part of a trade (if their transmission systems were fully open, the market could be relied upon to “regulate” wholesale prices); their systems are not open, so market based rates should be reconsidered </w:t>
      </w:r>
      <w:r>
        <w:rPr>
          <w:u w:val="single"/>
        </w:rPr>
        <w:t>unless</w:t>
      </w:r>
      <w:r>
        <w:rPr/>
        <w:t xml:space="preserve"> they finish opening the system by putting </w:t>
      </w:r>
      <w:r>
        <w:rPr>
          <w:u w:val="single"/>
        </w:rPr>
        <w:t>all</w:t>
      </w:r>
      <w:r>
        <w:rPr/>
        <w:t xml:space="preserve"> uses under the same tariff structure.  With market based rates at risk, utilities will move even more quickly to reassure stakeholders that they are ready for the change.</w:t>
      </w:r>
    </w:p>
    <w:p>
      <w:pPr>
        <w:pStyle w:val="Normal"/>
        <w:ind w:start="360" w:end="0"/>
        <w:jc w:val="both"/>
        <w:rPr>
          <w:b/>
          <w:bCs/>
        </w:rPr>
      </w:pPr>
      <w:r>
        <w:rPr>
          <w:b/>
          <w:bCs/>
        </w:rPr>
      </w:r>
    </w:p>
    <w:p>
      <w:pPr>
        <w:pStyle w:val="Heading1"/>
        <w:ind w:hanging="0" w:start="0"/>
        <w:rPr/>
      </w:pPr>
      <w:r>
        <w:rPr/>
        <w:t>The “just say no” group</w:t>
      </w:r>
    </w:p>
    <w:p>
      <w:pPr>
        <w:pStyle w:val="Normal"/>
        <w:ind w:start="360" w:end="0"/>
        <w:jc w:val="both"/>
        <w:rPr/>
      </w:pPr>
      <w:r>
        <w:rPr/>
      </w:r>
    </w:p>
    <w:p>
      <w:pPr>
        <w:pStyle w:val="Normal"/>
        <w:numPr>
          <w:ilvl w:val="0"/>
          <w:numId w:val="4"/>
        </w:numPr>
        <w:jc w:val="both"/>
        <w:rPr/>
      </w:pPr>
      <w:r>
        <w:rPr/>
        <w:t>Reaction:  (1) states rights, (2) native load will suffer, (3) low cost power will leave the state.</w:t>
      </w:r>
    </w:p>
    <w:p>
      <w:pPr>
        <w:pStyle w:val="Normal"/>
        <w:numPr>
          <w:ilvl w:val="0"/>
          <w:numId w:val="4"/>
        </w:numPr>
        <w:jc w:val="both"/>
        <w:rPr/>
      </w:pPr>
      <w:r>
        <w:rPr/>
        <w:t xml:space="preserve">Response:  </w:t>
      </w:r>
    </w:p>
    <w:p>
      <w:pPr>
        <w:pStyle w:val="Normal"/>
        <w:ind w:start="360" w:end="0"/>
        <w:jc w:val="both"/>
        <w:rPr/>
      </w:pPr>
      <w:r>
        <w:rPr/>
      </w:r>
    </w:p>
    <w:p>
      <w:pPr>
        <w:pStyle w:val="BodyTextIndent"/>
        <w:numPr>
          <w:ilvl w:val="0"/>
          <w:numId w:val="8"/>
        </w:numPr>
        <w:ind w:hanging="374" w:start="1814" w:end="0"/>
        <w:rPr/>
      </w:pPr>
      <w:r>
        <w:rPr/>
        <w:t>The California experience has demonstrated that this is an interstate market and that many of the solutions are within FERC’s jurisdiction.  California has even asked FERC to act.  It has become increasingly apparent that utilities, and the state authorities who regulate them, need federal action for them to do their jobs well:  even closed states need the interstate wholesale markets to function effectively.</w:t>
      </w:r>
    </w:p>
    <w:p>
      <w:pPr>
        <w:pStyle w:val="BodyTextIndent"/>
        <w:numPr>
          <w:ilvl w:val="0"/>
          <w:numId w:val="8"/>
        </w:numPr>
        <w:ind w:hanging="374" w:start="1814" w:end="0"/>
        <w:rPr/>
      </w:pPr>
      <w:r>
        <w:rPr/>
        <w:t xml:space="preserve">California has also demonstrated how much native load reliability depends on an open interstate market.  As much as California might want to cut itself off from the rest of the west, it still depends on imports for as much as 25% of its power and it competes for turbines in a worldwide market.  The other states are similarly situated:  in 1998, prices in Ohio were </w:t>
      </w:r>
      <w:r>
        <w:rPr>
          <w:u w:val="single"/>
        </w:rPr>
        <w:t>40 times</w:t>
      </w:r>
      <w:r>
        <w:rPr/>
        <w:t xml:space="preserve"> higher than in Pennsylvania because PJM decided not to let additional supplies move west.  Reliable, competitively-priced power requires federal action to open the interstate market.</w:t>
      </w:r>
    </w:p>
    <w:p>
      <w:pPr>
        <w:pStyle w:val="BodyTextIndent"/>
        <w:numPr>
          <w:ilvl w:val="0"/>
          <w:numId w:val="8"/>
        </w:numPr>
        <w:spacing w:before="0" w:after="0"/>
        <w:rPr/>
      </w:pPr>
      <w:r>
        <w:rPr/>
        <w:t xml:space="preserve">Vertically integrated utilities don’t </w:t>
      </w:r>
      <w:r>
        <w:rPr>
          <w:u w:val="single"/>
        </w:rPr>
        <w:t>have to</w:t>
      </w:r>
      <w:r>
        <w:rPr/>
        <w:t xml:space="preserve"> sell power to other customers; this is entirely within their control.</w:t>
      </w:r>
    </w:p>
    <w:p>
      <w:pPr>
        <w:pStyle w:val="BodyTextIndent"/>
        <w:spacing w:before="0" w:after="0"/>
        <w:rPr/>
      </w:pPr>
      <w:r>
        <w:rPr/>
      </w:r>
    </w:p>
    <w:p>
      <w:pPr>
        <w:pStyle w:val="Normal"/>
        <w:ind w:firstLine="720" w:end="0"/>
        <w:jc w:val="both"/>
        <w:rPr/>
      </w:pPr>
      <w:r>
        <w:rPr/>
        <w:t>In summary, many of the solutions to power reliability and pricing problems are within FERC’s control and the time has never been better for FERC to unleash the market.  Most utilities are ready, they believe we should move forward not backward to reregulation.  Most are increasingly dependent on open wholesale markets.  But they won’t/can’t simply “volunteer” to surrender their own preferential access.  By acting aggressively to open the market and unleash competitive forces, the FERC will actually be taking utilities “off the hook” and making the way forward clear.</w:t>
      </w:r>
    </w:p>
    <w:p>
      <w:pPr>
        <w:pStyle w:val="Normal"/>
        <w:ind w:firstLine="720" w:end="0"/>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1800"/>
        </w:tabs>
        <w:ind w:start="1800" w:hanging="360"/>
      </w:pPr>
      <w:rPr>
        <w:rFonts w:ascii="Symbol" w:hAnsi="Symbol" w:cs="Symbol" w:hint="default"/>
      </w:rPr>
    </w:lvl>
  </w:abstractNum>
  <w:abstractNum w:abstractNumId="4">
    <w:lvl w:ilvl="0">
      <w:start w:val="1"/>
      <w:numFmt w:val="bullet"/>
      <w:lvlText w:val=""/>
      <w:lvlJc w:val="start"/>
      <w:pPr>
        <w:tabs>
          <w:tab w:val="num" w:pos="1440"/>
        </w:tabs>
        <w:ind w:start="1440" w:hanging="720"/>
      </w:pPr>
      <w:rPr>
        <w:rFonts w:ascii="Symbol" w:hAnsi="Symbol" w:cs="Symbol" w:hint="default"/>
        <w:color w:val="000000"/>
      </w:rPr>
    </w:lvl>
  </w:abstractNum>
  <w:abstractNum w:abstractNumId="5">
    <w:lvl w:ilvl="0">
      <w:start w:val="1"/>
      <w:numFmt w:val="bullet"/>
      <w:lvlText w:val=""/>
      <w:lvlJc w:val="start"/>
      <w:pPr>
        <w:tabs>
          <w:tab w:val="num" w:pos="1440"/>
        </w:tabs>
        <w:ind w:start="1440" w:hanging="720"/>
      </w:pPr>
      <w:rPr>
        <w:rFonts w:ascii="Symbol" w:hAnsi="Symbol" w:cs="Symbol" w:hint="default"/>
        <w:color w:val="000000"/>
      </w:rPr>
    </w:lvl>
  </w:abstractNum>
  <w:abstractNum w:abstractNumId="6">
    <w:lvl w:ilvl="0">
      <w:start w:val="1"/>
      <w:numFmt w:val="bullet"/>
      <w:lvlText w:val=""/>
      <w:lvlJc w:val="start"/>
      <w:pPr>
        <w:tabs>
          <w:tab w:val="num" w:pos="1440"/>
        </w:tabs>
        <w:ind w:start="1440" w:hanging="720"/>
      </w:pPr>
      <w:rPr>
        <w:rFonts w:ascii="Symbol" w:hAnsi="Symbol" w:cs="Symbol" w:hint="default"/>
        <w:color w:val="000000"/>
      </w:rPr>
    </w:lvl>
  </w:abstractNum>
  <w:abstractNum w:abstractNumId="7">
    <w:lvl w:ilvl="0">
      <w:start w:val="1"/>
      <w:numFmt w:val="bullet"/>
      <w:lvlText w:val=""/>
      <w:lvlJc w:val="start"/>
      <w:pPr>
        <w:tabs>
          <w:tab w:val="num" w:pos="1800"/>
        </w:tabs>
        <w:ind w:start="1800" w:hanging="360"/>
      </w:pPr>
      <w:rPr>
        <w:rFonts w:ascii="Symbol" w:hAnsi="Symbol" w:cs="Symbol" w:hint="default"/>
      </w:rPr>
    </w:lvl>
  </w:abstractNum>
  <w:abstractNum w:abstractNumId="8">
    <w:lvl w:ilvl="0">
      <w:start w:val="1"/>
      <w:numFmt w:val="decimal"/>
      <w:lvlText w:val="(%1)"/>
      <w:lvlJc w:val="start"/>
      <w:pPr>
        <w:tabs>
          <w:tab w:val="num" w:pos="1815"/>
        </w:tabs>
        <w:ind w:start="1815" w:hanging="375"/>
      </w:pPr>
      <w:rPr/>
    </w:lvl>
  </w:abstractNum>
  <w:abstractNum w:abstractNumId="9">
    <w:lvl w:ilvl="0">
      <w:start w:val="1"/>
      <w:numFmt w:val="bullet"/>
      <w:lvlText w:val=""/>
      <w:lvlJc w:val="start"/>
      <w:pPr>
        <w:tabs>
          <w:tab w:val="num" w:pos="1440"/>
        </w:tabs>
        <w:ind w:start="1440" w:hanging="720"/>
      </w:pPr>
      <w:rPr>
        <w:rFonts w:ascii="Symbol" w:hAnsi="Symbol" w:cs="Symbol" w:hint="default"/>
        <w:color w:val="000000"/>
      </w:rPr>
    </w:lvl>
  </w:abstractNum>
  <w:abstractNum w:abstractNumId="10">
    <w:lvl w:ilvl="0">
      <w:start w:val="1"/>
      <w:numFmt w:val="bullet"/>
      <w:lvlText w:val=""/>
      <w:lvlJc w:val="start"/>
      <w:pPr>
        <w:tabs>
          <w:tab w:val="num" w:pos="1800"/>
        </w:tabs>
        <w:ind w:start="18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u w:val="single"/>
    </w:rPr>
  </w:style>
  <w:style w:type="paragraph" w:styleId="Heading2">
    <w:name w:val="heading 2"/>
    <w:basedOn w:val="Normal"/>
    <w:next w:val="Normal"/>
    <w:qFormat/>
    <w:pPr>
      <w:keepNext w:val="true"/>
      <w:numPr>
        <w:ilvl w:val="1"/>
        <w:numId w:val="1"/>
      </w:numPr>
      <w:ind w:hanging="0" w:start="360" w:end="0"/>
      <w:jc w:val="both"/>
      <w:outlineLvl w:val="1"/>
    </w:pPr>
    <w:rPr>
      <w:u w:val="single"/>
    </w:rPr>
  </w:style>
  <w:style w:type="character" w:styleId="WW8Num1z0">
    <w:name w:val="WW8Num1z0"/>
    <w:qFormat/>
    <w:rPr/>
  </w:style>
  <w:style w:type="character" w:styleId="WW8Num2z0">
    <w:name w:val="WW8Num2z0"/>
    <w:qFormat/>
    <w:rPr>
      <w:rFonts w:ascii="Symbol" w:hAnsi="Symbol" w:cs="Symbol"/>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2z0">
    <w:name w:val="WW8Num12z0"/>
    <w:qFormat/>
    <w:rPr>
      <w:rFonts w:ascii="Symbol" w:hAnsi="Symbol" w:cs="Symbol"/>
      <w:color w:val="000000"/>
    </w:rPr>
  </w:style>
  <w:style w:type="character" w:styleId="WW8Num12z1">
    <w:name w:val="WW8Num12z1"/>
    <w:qFormat/>
    <w:rPr>
      <w:rFonts w:ascii="Symbol" w:hAnsi="Symbol" w:cs="Symbol"/>
    </w:rPr>
  </w:style>
  <w:style w:type="character" w:styleId="WW8Num12z2">
    <w:name w:val="WW8Num12z2"/>
    <w:qFormat/>
    <w:rPr>
      <w:rFonts w:ascii="Wingdings" w:hAnsi="Wingdings" w:cs="Wingdings"/>
    </w:rPr>
  </w:style>
  <w:style w:type="character" w:styleId="WW8Num12z4">
    <w:name w:val="WW8Num12z4"/>
    <w:qFormat/>
    <w:rPr>
      <w:rFonts w:ascii="Courier New" w:hAnsi="Courier New" w:cs="Courier New"/>
    </w:rPr>
  </w:style>
  <w:style w:type="character" w:styleId="WW8Num13z0">
    <w:name w:val="WW8Num13z0"/>
    <w:qFormat/>
    <w:rPr>
      <w:rFonts w:ascii="Symbol" w:hAnsi="Symbol" w:cs="Symbol"/>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1440" w:end="0"/>
      <w:jc w:val="both"/>
    </w:pPr>
    <w:rPr/>
  </w:style>
  <w:style w:type="paragraph" w:styleId="BodyTextIndent2">
    <w:name w:val="Body Text Indent 2"/>
    <w:basedOn w:val="Normal"/>
    <w:qFormat/>
    <w:pPr>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2000-09-21T10:50:00Z</dcterms:created>
  <dc:creator>mmcvick</dc:creator>
  <dc:description/>
  <dc:language>en-CA</dc:language>
  <cp:lastModifiedBy>mmcvick</cp:lastModifiedBy>
  <cp:lastPrinted>2000-09-21T16:55:00Z</cp:lastPrinted>
  <dcterms:modified xsi:type="dcterms:W3CDTF">2000-09-21T19:38:00Z</dcterms:modified>
  <cp:revision>15</cp:revision>
  <dc:subject/>
  <dc:title>September 21, 2000</dc:title>
</cp:coreProperties>
</file>