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right" w:pos="6120" w:leader="none"/>
          <w:tab w:val="right" w:pos="9360" w:leader="none"/>
        </w:tabs>
        <w:rPr>
          <w:sz w:val="24"/>
        </w:rPr>
      </w:pPr>
      <w:r>
        <w:rPr/>
        <w:drawing>
          <wp:inline distT="0" distB="0" distL="0" distR="0">
            <wp:extent cx="716915" cy="70358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716915" cy="703580"/>
                    </a:xfrm>
                    <a:prstGeom prst="rect">
                      <a:avLst/>
                    </a:prstGeom>
                    <a:noFill/>
                  </pic:spPr>
                </pic:pic>
              </a:graphicData>
            </a:graphic>
          </wp:inline>
        </w:drawing>
      </w:r>
    </w:p>
    <w:p>
      <w:pPr>
        <w:pStyle w:val="Normal"/>
        <w:widowControl/>
        <w:jc w:val="center"/>
        <w:rPr>
          <w:b/>
          <w:sz w:val="24"/>
        </w:rPr>
      </w:pPr>
      <w:r>
        <w:rPr>
          <w:b/>
          <w:sz w:val="24"/>
        </w:rPr>
      </w:r>
    </w:p>
    <w:tbl>
      <w:tblPr>
        <w:tblW w:w="8910" w:type="dxa"/>
        <w:jc w:val="start"/>
        <w:tblInd w:w="108" w:type="dxa"/>
        <w:tblLayout w:type="fixed"/>
        <w:tblCellMar>
          <w:top w:w="0" w:type="dxa"/>
          <w:start w:w="108" w:type="dxa"/>
          <w:bottom w:w="0" w:type="dxa"/>
          <w:end w:w="108" w:type="dxa"/>
        </w:tblCellMar>
      </w:tblPr>
      <w:tblGrid>
        <w:gridCol w:w="1440"/>
        <w:gridCol w:w="3330"/>
        <w:gridCol w:w="1232"/>
        <w:gridCol w:w="307"/>
        <w:gridCol w:w="514"/>
        <w:gridCol w:w="2087"/>
      </w:tblGrid>
      <w:tr>
        <w:trPr>
          <w:trHeight w:val="315" w:hRule="atLeast"/>
        </w:trPr>
        <w:tc>
          <w:tcPr>
            <w:tcW w:w="1440" w:type="dxa"/>
            <w:tcBorders/>
          </w:tcPr>
          <w:p>
            <w:pPr>
              <w:pStyle w:val="Normal"/>
              <w:widowControl/>
              <w:ind w:start="-108" w:end="0"/>
              <w:rPr>
                <w:b/>
                <w:sz w:val="24"/>
              </w:rPr>
            </w:pPr>
            <w:r>
              <w:rPr>
                <w:b/>
                <w:sz w:val="24"/>
              </w:rPr>
              <w:t>To:</w:t>
            </w:r>
          </w:p>
        </w:tc>
        <w:tc>
          <w:tcPr>
            <w:tcW w:w="3330" w:type="dxa"/>
            <w:tcBorders/>
          </w:tcPr>
          <w:p>
            <w:pPr>
              <w:pStyle w:val="To"/>
              <w:widowControl/>
              <w:rPr>
                <w:rFonts w:ascii="Times New Roman" w:hAnsi="Times New Roman" w:cs="Times New Roman"/>
                <w:sz w:val="24"/>
              </w:rPr>
            </w:pPr>
            <w:r>
              <w:rPr>
                <w:rFonts w:cs="Times New Roman" w:ascii="Times New Roman" w:hAnsi="Times New Roman"/>
                <w:sz w:val="24"/>
              </w:rPr>
              <w:t>Distribution</w:t>
            </w:r>
          </w:p>
        </w:tc>
        <w:tc>
          <w:tcPr>
            <w:tcW w:w="2053" w:type="dxa"/>
            <w:gridSpan w:val="3"/>
            <w:tcBorders/>
          </w:tcPr>
          <w:p>
            <w:pPr>
              <w:pStyle w:val="Normal"/>
              <w:widowControl/>
              <w:snapToGrid w:val="false"/>
              <w:ind w:start="72" w:end="0"/>
              <w:rPr>
                <w:rFonts w:ascii="Times New Roman" w:hAnsi="Times New Roman" w:cs="Times New Roman"/>
                <w:sz w:val="24"/>
              </w:rPr>
            </w:pPr>
            <w:r>
              <w:rPr>
                <w:rFonts w:cs="Times New Roman"/>
                <w:sz w:val="24"/>
              </w:rPr>
            </w:r>
          </w:p>
        </w:tc>
        <w:tc>
          <w:tcPr>
            <w:tcW w:w="2087" w:type="dxa"/>
            <w:tcBorders/>
          </w:tcPr>
          <w:p>
            <w:pPr>
              <w:pStyle w:val="Normal"/>
              <w:widowControl/>
              <w:snapToGrid w:val="false"/>
              <w:rPr>
                <w:b/>
                <w:sz w:val="24"/>
              </w:rPr>
            </w:pPr>
            <w:r>
              <w:rPr>
                <w:b/>
                <w:sz w:val="24"/>
              </w:rPr>
            </w:r>
          </w:p>
        </w:tc>
      </w:tr>
      <w:tr>
        <w:trPr>
          <w:trHeight w:val="269" w:hRule="exact"/>
        </w:trPr>
        <w:tc>
          <w:tcPr>
            <w:tcW w:w="1440" w:type="dxa"/>
            <w:tcBorders/>
          </w:tcPr>
          <w:p>
            <w:pPr>
              <w:pStyle w:val="Normal"/>
              <w:widowControl/>
              <w:snapToGrid w:val="false"/>
              <w:ind w:start="-108" w:end="0"/>
              <w:rPr>
                <w:b/>
                <w:sz w:val="24"/>
              </w:rPr>
            </w:pPr>
            <w:r>
              <w:rPr>
                <w:b/>
                <w:sz w:val="24"/>
              </w:rPr>
            </w:r>
          </w:p>
        </w:tc>
        <w:tc>
          <w:tcPr>
            <w:tcW w:w="3330" w:type="dxa"/>
            <w:tcBorders/>
          </w:tcPr>
          <w:p>
            <w:pPr>
              <w:pStyle w:val="Normal"/>
              <w:widowControl/>
              <w:snapToGrid w:val="false"/>
              <w:rPr>
                <w:b/>
                <w:sz w:val="24"/>
              </w:rPr>
            </w:pPr>
            <w:r>
              <w:rPr>
                <w:b/>
                <w:sz w:val="24"/>
              </w:rPr>
            </w:r>
          </w:p>
        </w:tc>
        <w:tc>
          <w:tcPr>
            <w:tcW w:w="2053" w:type="dxa"/>
            <w:gridSpan w:val="3"/>
            <w:tcBorders/>
          </w:tcPr>
          <w:p>
            <w:pPr>
              <w:pStyle w:val="Normal"/>
              <w:widowControl/>
              <w:snapToGrid w:val="false"/>
              <w:ind w:start="-180" w:end="0"/>
              <w:rPr>
                <w:b/>
                <w:sz w:val="24"/>
              </w:rPr>
            </w:pPr>
            <w:r>
              <w:rPr>
                <w:b/>
                <w:sz w:val="24"/>
              </w:rPr>
            </w:r>
          </w:p>
        </w:tc>
        <w:tc>
          <w:tcPr>
            <w:tcW w:w="2087" w:type="dxa"/>
            <w:tcBorders/>
          </w:tcPr>
          <w:p>
            <w:pPr>
              <w:pStyle w:val="Normal"/>
              <w:widowControl/>
              <w:snapToGrid w:val="false"/>
              <w:rPr>
                <w:b/>
                <w:sz w:val="24"/>
              </w:rPr>
            </w:pPr>
            <w:r>
              <w:rPr>
                <w:b/>
                <w:sz w:val="24"/>
              </w:rPr>
            </w:r>
          </w:p>
        </w:tc>
      </w:tr>
      <w:tr>
        <w:trPr>
          <w:trHeight w:val="300" w:hRule="exact"/>
        </w:trPr>
        <w:tc>
          <w:tcPr>
            <w:tcW w:w="1440" w:type="dxa"/>
            <w:tcBorders/>
          </w:tcPr>
          <w:p>
            <w:pPr>
              <w:pStyle w:val="Normal"/>
              <w:widowControl/>
              <w:ind w:start="-108" w:end="0"/>
              <w:rPr>
                <w:b/>
                <w:sz w:val="24"/>
              </w:rPr>
            </w:pPr>
            <w:r>
              <w:rPr>
                <w:b/>
                <w:sz w:val="24"/>
              </w:rPr>
              <w:t>From:</w:t>
            </w:r>
          </w:p>
        </w:tc>
        <w:tc>
          <w:tcPr>
            <w:tcW w:w="3330" w:type="dxa"/>
            <w:tcBorders/>
          </w:tcPr>
          <w:p>
            <w:pPr>
              <w:pStyle w:val="From"/>
              <w:widowControl/>
              <w:rPr>
                <w:rFonts w:ascii="Times New Roman" w:hAnsi="Times New Roman" w:cs="Times New Roman"/>
                <w:sz w:val="24"/>
              </w:rPr>
            </w:pPr>
            <w:r>
              <w:rPr>
                <w:rFonts w:cs="Times New Roman" w:ascii="Times New Roman" w:hAnsi="Times New Roman"/>
                <w:sz w:val="24"/>
              </w:rPr>
              <w:t>Shelley Corman</w:t>
            </w:r>
          </w:p>
        </w:tc>
        <w:tc>
          <w:tcPr>
            <w:tcW w:w="1539" w:type="dxa"/>
            <w:gridSpan w:val="2"/>
            <w:tcBorders/>
          </w:tcPr>
          <w:p>
            <w:pPr>
              <w:pStyle w:val="Normal"/>
              <w:widowControl/>
              <w:snapToGrid w:val="false"/>
              <w:ind w:start="-180" w:end="0"/>
              <w:jc w:val="end"/>
              <w:rPr>
                <w:rFonts w:ascii="Times New Roman" w:hAnsi="Times New Roman" w:cs="Times New Roman"/>
                <w:b/>
                <w:sz w:val="24"/>
              </w:rPr>
            </w:pPr>
            <w:r>
              <w:rPr>
                <w:rFonts w:cs="Times New Roman"/>
                <w:b/>
                <w:sz w:val="24"/>
              </w:rPr>
            </w:r>
          </w:p>
        </w:tc>
        <w:tc>
          <w:tcPr>
            <w:tcW w:w="2601" w:type="dxa"/>
            <w:gridSpan w:val="2"/>
            <w:tcBorders/>
          </w:tcPr>
          <w:p>
            <w:pPr>
              <w:pStyle w:val="Department"/>
              <w:widowControl/>
              <w:snapToGrid w:val="false"/>
              <w:rPr>
                <w:rFonts w:ascii="Times New Roman" w:hAnsi="Times New Roman" w:cs="Times New Roman"/>
                <w:b/>
                <w:sz w:val="24"/>
              </w:rPr>
            </w:pPr>
            <w:r>
              <w:rPr>
                <w:rFonts w:cs="Times New Roman" w:ascii="Times New Roman" w:hAnsi="Times New Roman"/>
                <w:b/>
                <w:sz w:val="24"/>
              </w:rPr>
            </w:r>
            <w:bookmarkStart w:id="0" w:name="From"/>
            <w:bookmarkStart w:id="1" w:name="From"/>
            <w:bookmarkEnd w:id="1"/>
          </w:p>
        </w:tc>
      </w:tr>
      <w:tr>
        <w:trPr>
          <w:trHeight w:val="216" w:hRule="exact"/>
        </w:trPr>
        <w:tc>
          <w:tcPr>
            <w:tcW w:w="1440" w:type="dxa"/>
            <w:tcBorders/>
          </w:tcPr>
          <w:p>
            <w:pPr>
              <w:pStyle w:val="Normal"/>
              <w:widowControl/>
              <w:snapToGrid w:val="false"/>
              <w:ind w:start="-108" w:end="0"/>
              <w:rPr>
                <w:rFonts w:ascii="Times New Roman" w:hAnsi="Times New Roman" w:cs="Times New Roman"/>
                <w:b/>
                <w:sz w:val="24"/>
              </w:rPr>
            </w:pPr>
            <w:r>
              <w:rPr>
                <w:rFonts w:cs="Times New Roman"/>
                <w:b/>
                <w:sz w:val="24"/>
              </w:rPr>
            </w:r>
          </w:p>
        </w:tc>
        <w:tc>
          <w:tcPr>
            <w:tcW w:w="3330" w:type="dxa"/>
            <w:tcBorders/>
          </w:tcPr>
          <w:p>
            <w:pPr>
              <w:pStyle w:val="Normal"/>
              <w:widowControl/>
              <w:snapToGrid w:val="false"/>
              <w:rPr>
                <w:b/>
                <w:sz w:val="24"/>
              </w:rPr>
            </w:pPr>
            <w:r>
              <w:rPr>
                <w:b/>
                <w:sz w:val="24"/>
              </w:rPr>
            </w:r>
          </w:p>
        </w:tc>
        <w:tc>
          <w:tcPr>
            <w:tcW w:w="2053" w:type="dxa"/>
            <w:gridSpan w:val="3"/>
            <w:tcBorders/>
          </w:tcPr>
          <w:p>
            <w:pPr>
              <w:pStyle w:val="Normal"/>
              <w:widowControl/>
              <w:tabs>
                <w:tab w:val="clear" w:pos="720"/>
                <w:tab w:val="left" w:pos="-108" w:leader="none"/>
              </w:tabs>
              <w:snapToGrid w:val="false"/>
              <w:ind w:start="-180" w:end="0"/>
              <w:rPr>
                <w:b/>
                <w:sz w:val="24"/>
              </w:rPr>
            </w:pPr>
            <w:r>
              <w:rPr>
                <w:b/>
                <w:sz w:val="24"/>
              </w:rPr>
            </w:r>
          </w:p>
        </w:tc>
        <w:tc>
          <w:tcPr>
            <w:tcW w:w="2087" w:type="dxa"/>
            <w:tcBorders/>
          </w:tcPr>
          <w:p>
            <w:pPr>
              <w:pStyle w:val="Normal"/>
              <w:widowControl/>
              <w:snapToGrid w:val="false"/>
              <w:rPr>
                <w:b/>
                <w:sz w:val="24"/>
              </w:rPr>
            </w:pPr>
            <w:r>
              <w:rPr>
                <w:b/>
                <w:sz w:val="24"/>
              </w:rPr>
            </w:r>
          </w:p>
        </w:tc>
      </w:tr>
      <w:tr>
        <w:trPr/>
        <w:tc>
          <w:tcPr>
            <w:tcW w:w="1440" w:type="dxa"/>
            <w:tcBorders/>
          </w:tcPr>
          <w:p>
            <w:pPr>
              <w:pStyle w:val="Normal"/>
              <w:widowControl/>
              <w:ind w:start="-108" w:end="0"/>
              <w:rPr>
                <w:b/>
                <w:sz w:val="24"/>
              </w:rPr>
            </w:pPr>
            <w:r>
              <w:rPr>
                <w:b/>
                <w:sz w:val="24"/>
              </w:rPr>
              <w:t>Subject:</w:t>
            </w:r>
          </w:p>
        </w:tc>
        <w:tc>
          <w:tcPr>
            <w:tcW w:w="3330" w:type="dxa"/>
            <w:tcBorders/>
          </w:tcPr>
          <w:p>
            <w:pPr>
              <w:pStyle w:val="Subject"/>
              <w:widowControl/>
              <w:rPr>
                <w:rFonts w:ascii="Times New Roman" w:hAnsi="Times New Roman" w:cs="Times New Roman"/>
                <w:sz w:val="24"/>
              </w:rPr>
            </w:pPr>
            <w:r>
              <w:rPr>
                <w:rFonts w:cs="Times New Roman" w:ascii="Times New Roman" w:hAnsi="Times New Roman"/>
                <w:sz w:val="24"/>
              </w:rPr>
              <w:t xml:space="preserve">Chairman Hebert’s Remarks to INGAA </w:t>
            </w:r>
          </w:p>
        </w:tc>
        <w:tc>
          <w:tcPr>
            <w:tcW w:w="1232" w:type="dxa"/>
            <w:tcBorders/>
          </w:tcPr>
          <w:p>
            <w:pPr>
              <w:pStyle w:val="Normal"/>
              <w:widowControl/>
              <w:ind w:start="44" w:end="0"/>
              <w:rPr>
                <w:b/>
                <w:sz w:val="24"/>
              </w:rPr>
            </w:pPr>
            <w:r>
              <w:rPr>
                <w:b/>
                <w:sz w:val="24"/>
              </w:rPr>
              <w:t>Date:</w:t>
            </w:r>
          </w:p>
        </w:tc>
        <w:tc>
          <w:tcPr>
            <w:tcW w:w="2908" w:type="dxa"/>
            <w:gridSpan w:val="3"/>
            <w:tcBorders/>
          </w:tcPr>
          <w:p>
            <w:pPr>
              <w:pStyle w:val="Date"/>
              <w:widowControl/>
              <w:rPr>
                <w:rFonts w:ascii="Times New Roman" w:hAnsi="Times New Roman" w:cs="Times New Roman"/>
                <w:sz w:val="24"/>
              </w:rPr>
            </w:pPr>
            <w:r>
              <w:rPr>
                <w:rFonts w:cs="Times New Roman" w:ascii="Times New Roman" w:hAnsi="Times New Roman"/>
                <w:sz w:val="24"/>
              </w:rPr>
              <w:t>January 25, 2001</w:t>
            </w:r>
          </w:p>
        </w:tc>
      </w:tr>
    </w:tbl>
    <w:p>
      <w:pPr>
        <w:pStyle w:val="Normal"/>
        <w:widowControl/>
        <w:pBdr>
          <w:bottom w:val="single" w:sz="12" w:space="1" w:color="000000"/>
        </w:pBdr>
        <w:rPr>
          <w:sz w:val="24"/>
        </w:rPr>
      </w:pPr>
      <w:r>
        <w:rPr>
          <w:sz w:val="24"/>
        </w:rPr>
      </w:r>
    </w:p>
    <w:p>
      <w:pPr>
        <w:pStyle w:val="Normal"/>
        <w:widowControl/>
        <w:rPr>
          <w:sz w:val="24"/>
        </w:rPr>
      </w:pPr>
      <w:r>
        <w:rPr>
          <w:sz w:val="24"/>
        </w:rPr>
      </w:r>
    </w:p>
    <w:p>
      <w:pPr>
        <w:pStyle w:val="Normal"/>
        <w:spacing w:lineRule="atLeast" w:line="240"/>
        <w:rPr>
          <w:color w:val="000000"/>
          <w:sz w:val="24"/>
        </w:rPr>
      </w:pPr>
      <w:r>
        <w:rPr>
          <w:color w:val="000000"/>
          <w:sz w:val="24"/>
        </w:rPr>
        <w:t xml:space="preserve">Below are my notes of remarks made by Chairman Hebert at an INGAA dinner held today. </w:t>
      </w:r>
    </w:p>
    <w:p>
      <w:pPr>
        <w:pStyle w:val="Normal"/>
        <w:spacing w:lineRule="atLeast" w:line="240"/>
        <w:rPr>
          <w:color w:val="000000"/>
          <w:sz w:val="24"/>
        </w:rPr>
      </w:pPr>
      <w:r>
        <w:rPr>
          <w:color w:val="000000"/>
          <w:sz w:val="24"/>
        </w:rPr>
      </w:r>
    </w:p>
    <w:p>
      <w:pPr>
        <w:pStyle w:val="Normal"/>
        <w:numPr>
          <w:ilvl w:val="0"/>
          <w:numId w:val="7"/>
        </w:numPr>
        <w:spacing w:lineRule="atLeast" w:line="240"/>
        <w:rPr>
          <w:color w:val="000000"/>
          <w:sz w:val="24"/>
        </w:rPr>
      </w:pPr>
      <w:r>
        <w:rPr>
          <w:b/>
          <w:color w:val="000000"/>
          <w:sz w:val="24"/>
        </w:rPr>
        <w:t xml:space="preserve">FERC Organization/Process.  </w:t>
      </w:r>
      <w:r>
        <w:rPr>
          <w:color w:val="000000"/>
          <w:sz w:val="24"/>
        </w:rPr>
        <w:t xml:space="preserve">He said that he will need a few months to get his staff in place.  Walter Ferguson will be his lead assistant.  Kathleen Dias is moving back to his office from OMTR.  He has appointed Josh Rokash and Pat Alexander (former Hoecker assistant) to lead a team to eliminate old cases.   He plans to eliminate backlog of cases (est. 2000) and </w:t>
      </w:r>
      <w:r>
        <w:rPr>
          <w:i/>
          <w:color w:val="000000"/>
          <w:sz w:val="24"/>
        </w:rPr>
        <w:t>eliminate use of tolling orders</w:t>
      </w:r>
      <w:r>
        <w:rPr>
          <w:color w:val="000000"/>
          <w:sz w:val="24"/>
        </w:rPr>
        <w:t xml:space="preserve">. </w:t>
      </w:r>
    </w:p>
    <w:p>
      <w:pPr>
        <w:pStyle w:val="Normal"/>
        <w:spacing w:lineRule="atLeast" w:line="240"/>
        <w:rPr>
          <w:color w:val="000000"/>
          <w:sz w:val="24"/>
        </w:rPr>
      </w:pPr>
      <w:r>
        <w:rPr>
          <w:color w:val="000000"/>
          <w:sz w:val="24"/>
        </w:rPr>
      </w:r>
    </w:p>
    <w:p>
      <w:pPr>
        <w:pStyle w:val="Normal"/>
        <w:numPr>
          <w:ilvl w:val="0"/>
          <w:numId w:val="6"/>
        </w:numPr>
        <w:spacing w:lineRule="atLeast" w:line="240"/>
        <w:rPr>
          <w:color w:val="000000"/>
          <w:sz w:val="24"/>
        </w:rPr>
      </w:pPr>
      <w:r>
        <w:rPr>
          <w:b/>
          <w:color w:val="000000"/>
          <w:sz w:val="24"/>
        </w:rPr>
        <w:t xml:space="preserve">Solutions for California Electric Crisis.  </w:t>
      </w:r>
      <w:r>
        <w:rPr>
          <w:color w:val="000000"/>
          <w:sz w:val="24"/>
        </w:rPr>
        <w:t>While he believe that, ultimately, only California can solve the crisis, he offered his views of workable approaches:</w:t>
      </w:r>
    </w:p>
    <w:p>
      <w:pPr>
        <w:pStyle w:val="Normal"/>
        <w:numPr>
          <w:ilvl w:val="0"/>
          <w:numId w:val="2"/>
        </w:numPr>
        <w:tabs>
          <w:tab w:val="left" w:pos="720" w:leader="none"/>
        </w:tabs>
        <w:spacing w:lineRule="atLeast" w:line="240"/>
        <w:ind w:hanging="360" w:start="720" w:end="0"/>
        <w:rPr>
          <w:color w:val="000000"/>
          <w:sz w:val="24"/>
        </w:rPr>
      </w:pPr>
      <w:r>
        <w:rPr>
          <w:color w:val="000000"/>
          <w:sz w:val="24"/>
        </w:rPr>
        <w:t>Lift the retail rate freeze</w:t>
      </w:r>
    </w:p>
    <w:p>
      <w:pPr>
        <w:pStyle w:val="Normal"/>
        <w:numPr>
          <w:ilvl w:val="0"/>
          <w:numId w:val="4"/>
        </w:numPr>
        <w:tabs>
          <w:tab w:val="left" w:pos="720" w:leader="none"/>
        </w:tabs>
        <w:spacing w:lineRule="atLeast" w:line="240"/>
        <w:ind w:hanging="360" w:start="720" w:end="0"/>
        <w:rPr>
          <w:color w:val="000000"/>
          <w:sz w:val="24"/>
        </w:rPr>
      </w:pPr>
      <w:r>
        <w:rPr>
          <w:color w:val="000000"/>
          <w:sz w:val="24"/>
        </w:rPr>
        <w:t xml:space="preserve">Avoid bankruptcy proceedings.  A bankruptcy judge would be focused solely on short-run solutions </w:t>
      </w:r>
    </w:p>
    <w:p>
      <w:pPr>
        <w:pStyle w:val="Normal"/>
        <w:numPr>
          <w:ilvl w:val="0"/>
          <w:numId w:val="4"/>
        </w:numPr>
        <w:tabs>
          <w:tab w:val="left" w:pos="720" w:leader="none"/>
        </w:tabs>
        <w:spacing w:lineRule="atLeast" w:line="240"/>
        <w:ind w:hanging="360" w:start="720" w:end="0"/>
        <w:rPr>
          <w:color w:val="000000"/>
          <w:sz w:val="24"/>
        </w:rPr>
      </w:pPr>
      <w:r>
        <w:rPr>
          <w:color w:val="000000"/>
          <w:sz w:val="24"/>
        </w:rPr>
        <w:t>Promote use of forward contracting</w:t>
      </w:r>
    </w:p>
    <w:p>
      <w:pPr>
        <w:pStyle w:val="Normal"/>
        <w:numPr>
          <w:ilvl w:val="0"/>
          <w:numId w:val="4"/>
        </w:numPr>
        <w:tabs>
          <w:tab w:val="left" w:pos="720" w:leader="none"/>
        </w:tabs>
        <w:spacing w:lineRule="atLeast" w:line="240"/>
        <w:ind w:hanging="360" w:start="720" w:end="0"/>
        <w:rPr>
          <w:color w:val="000000"/>
          <w:sz w:val="24"/>
        </w:rPr>
      </w:pPr>
      <w:r>
        <w:rPr>
          <w:color w:val="000000"/>
          <w:sz w:val="24"/>
        </w:rPr>
        <w:t>Eliminate the PX.  Allow private exchanges such as the automated power exchange to flourish</w:t>
      </w:r>
    </w:p>
    <w:p>
      <w:pPr>
        <w:pStyle w:val="Normal"/>
        <w:numPr>
          <w:ilvl w:val="0"/>
          <w:numId w:val="4"/>
        </w:numPr>
        <w:tabs>
          <w:tab w:val="left" w:pos="720" w:leader="none"/>
        </w:tabs>
        <w:spacing w:lineRule="atLeast" w:line="240"/>
        <w:ind w:hanging="360" w:start="720" w:end="0"/>
        <w:rPr>
          <w:color w:val="000000"/>
          <w:sz w:val="24"/>
        </w:rPr>
      </w:pPr>
      <w:r>
        <w:rPr>
          <w:color w:val="000000"/>
          <w:sz w:val="24"/>
        </w:rPr>
        <w:t>Establish truly independent ISOs (preferably transco).  Making the ISO an arm of the government is a mistake</w:t>
      </w:r>
    </w:p>
    <w:p>
      <w:pPr>
        <w:pStyle w:val="Normal"/>
        <w:numPr>
          <w:ilvl w:val="0"/>
          <w:numId w:val="4"/>
        </w:numPr>
        <w:tabs>
          <w:tab w:val="left" w:pos="720" w:leader="none"/>
        </w:tabs>
        <w:spacing w:lineRule="atLeast" w:line="240"/>
        <w:ind w:hanging="360" w:start="720" w:end="0"/>
        <w:rPr>
          <w:color w:val="000000"/>
          <w:sz w:val="24"/>
        </w:rPr>
      </w:pPr>
      <w:r>
        <w:rPr>
          <w:color w:val="000000"/>
          <w:sz w:val="24"/>
        </w:rPr>
        <w:t>End the wholesale soft price cap</w:t>
      </w:r>
    </w:p>
    <w:p>
      <w:pPr>
        <w:pStyle w:val="Normal"/>
        <w:spacing w:lineRule="atLeast" w:line="240"/>
        <w:rPr>
          <w:color w:val="000000"/>
          <w:sz w:val="24"/>
        </w:rPr>
      </w:pPr>
      <w:r>
        <w:rPr>
          <w:color w:val="000000"/>
          <w:sz w:val="24"/>
        </w:rPr>
      </w:r>
    </w:p>
    <w:p>
      <w:pPr>
        <w:pStyle w:val="Normal"/>
        <w:numPr>
          <w:ilvl w:val="0"/>
          <w:numId w:val="7"/>
        </w:numPr>
        <w:spacing w:lineRule="atLeast" w:line="240"/>
        <w:rPr>
          <w:color w:val="000000"/>
          <w:sz w:val="24"/>
        </w:rPr>
      </w:pPr>
      <w:r>
        <w:rPr>
          <w:b/>
          <w:color w:val="000000"/>
          <w:sz w:val="24"/>
        </w:rPr>
        <w:t>FERC Commissioners</w:t>
      </w:r>
      <w:r>
        <w:rPr>
          <w:color w:val="000000"/>
          <w:sz w:val="24"/>
        </w:rPr>
        <w:t>.  He declined to name his list for commissioner vacancies, but suggested that any candidate should be someone that understands not just energy, but the energy marketplace; opposes price caps; and is willing to take the political heat to stomach the ups and downs of markets.</w:t>
      </w:r>
    </w:p>
    <w:p>
      <w:pPr>
        <w:pStyle w:val="Normal"/>
        <w:spacing w:lineRule="atLeast" w:line="240"/>
        <w:rPr>
          <w:color w:val="000000"/>
          <w:sz w:val="24"/>
        </w:rPr>
      </w:pPr>
      <w:r>
        <w:rPr>
          <w:color w:val="000000"/>
          <w:sz w:val="24"/>
        </w:rPr>
      </w:r>
    </w:p>
    <w:p>
      <w:pPr>
        <w:pStyle w:val="Normal"/>
        <w:numPr>
          <w:ilvl w:val="0"/>
          <w:numId w:val="7"/>
        </w:numPr>
        <w:spacing w:lineRule="atLeast" w:line="240"/>
        <w:rPr>
          <w:color w:val="000000"/>
          <w:sz w:val="24"/>
        </w:rPr>
      </w:pPr>
      <w:r>
        <w:rPr>
          <w:b/>
          <w:color w:val="000000"/>
          <w:sz w:val="24"/>
        </w:rPr>
        <w:t>Priorities for FERC</w:t>
      </w:r>
      <w:r>
        <w:rPr>
          <w:color w:val="000000"/>
          <w:sz w:val="24"/>
        </w:rPr>
        <w:t xml:space="preserve">.  </w:t>
      </w:r>
    </w:p>
    <w:p>
      <w:pPr>
        <w:pStyle w:val="Normal"/>
        <w:numPr>
          <w:ilvl w:val="0"/>
          <w:numId w:val="5"/>
        </w:numPr>
        <w:tabs>
          <w:tab w:val="left" w:pos="720" w:leader="none"/>
        </w:tabs>
        <w:spacing w:lineRule="atLeast" w:line="240"/>
        <w:ind w:hanging="360" w:start="720" w:end="0"/>
        <w:rPr>
          <w:color w:val="000000"/>
          <w:sz w:val="24"/>
        </w:rPr>
      </w:pPr>
      <w:r>
        <w:rPr>
          <w:color w:val="000000"/>
          <w:sz w:val="24"/>
        </w:rPr>
        <w:t>RTOs &amp; performance based regulation</w:t>
      </w:r>
    </w:p>
    <w:p>
      <w:pPr>
        <w:pStyle w:val="Normal"/>
        <w:numPr>
          <w:ilvl w:val="0"/>
          <w:numId w:val="5"/>
        </w:numPr>
        <w:tabs>
          <w:tab w:val="left" w:pos="720" w:leader="none"/>
        </w:tabs>
        <w:spacing w:lineRule="atLeast" w:line="240"/>
        <w:ind w:hanging="360" w:start="720" w:end="0"/>
        <w:rPr>
          <w:color w:val="000000"/>
          <w:sz w:val="24"/>
        </w:rPr>
      </w:pPr>
      <w:r>
        <w:rPr>
          <w:color w:val="000000"/>
          <w:sz w:val="24"/>
        </w:rPr>
        <w:t>Encourage infrastructure – both pipelines and transmission.  Improve certification process, in particular compressor enhancements.  He said he would make any filings to enhance California infrastructure a top priority.</w:t>
      </w:r>
    </w:p>
    <w:p>
      <w:pPr>
        <w:pStyle w:val="Normal"/>
        <w:numPr>
          <w:ilvl w:val="0"/>
          <w:numId w:val="5"/>
        </w:numPr>
        <w:tabs>
          <w:tab w:val="left" w:pos="720" w:leader="none"/>
        </w:tabs>
        <w:spacing w:lineRule="atLeast" w:line="240"/>
        <w:ind w:hanging="360" w:start="720" w:end="0"/>
        <w:rPr>
          <w:color w:val="000000"/>
          <w:sz w:val="24"/>
        </w:rPr>
      </w:pPr>
      <w:r>
        <w:rPr>
          <w:color w:val="000000"/>
          <w:sz w:val="24"/>
        </w:rPr>
        <w:t>Hydro re-licensing</w:t>
      </w:r>
    </w:p>
    <w:p>
      <w:pPr>
        <w:pStyle w:val="Normal"/>
        <w:numPr>
          <w:ilvl w:val="0"/>
          <w:numId w:val="5"/>
        </w:numPr>
        <w:tabs>
          <w:tab w:val="left" w:pos="720" w:leader="none"/>
        </w:tabs>
        <w:spacing w:lineRule="atLeast" w:line="240"/>
        <w:ind w:hanging="360" w:start="720" w:end="0"/>
        <w:rPr>
          <w:color w:val="000000"/>
          <w:sz w:val="24"/>
        </w:rPr>
      </w:pPr>
      <w:r>
        <w:rPr>
          <w:color w:val="000000"/>
          <w:sz w:val="24"/>
        </w:rPr>
        <w:t xml:space="preserve">He doesn’t see FERC hammering states into retail deregulation against their will.  Realistically he can’t accomplish this without state regulators/legislators.  He would prefer to create a wholesale environment so that retail deregulation can work.  Then, customers will push state politicians towards choice. </w:t>
      </w:r>
    </w:p>
    <w:p>
      <w:pPr>
        <w:pStyle w:val="Normal"/>
        <w:spacing w:lineRule="atLeast" w:line="240"/>
        <w:rPr>
          <w:color w:val="000000"/>
          <w:sz w:val="24"/>
        </w:rPr>
      </w:pPr>
      <w:r>
        <w:rPr>
          <w:color w:val="000000"/>
          <w:sz w:val="24"/>
        </w:rPr>
      </w:r>
    </w:p>
    <w:p>
      <w:pPr>
        <w:pStyle w:val="Normal"/>
        <w:numPr>
          <w:ilvl w:val="0"/>
          <w:numId w:val="3"/>
        </w:numPr>
        <w:spacing w:lineRule="atLeast" w:line="240"/>
        <w:rPr>
          <w:color w:val="000000"/>
          <w:sz w:val="24"/>
        </w:rPr>
      </w:pPr>
      <w:r>
        <w:rPr>
          <w:b/>
          <w:color w:val="000000"/>
          <w:sz w:val="24"/>
        </w:rPr>
        <w:t>Approach to Market Power Concerns</w:t>
      </w:r>
      <w:r>
        <w:rPr>
          <w:color w:val="000000"/>
          <w:sz w:val="24"/>
        </w:rPr>
        <w:t xml:space="preserve">.  He said that while he appreciates that market power is an issue that needs to be considered; fear of market power can disrupt legitimate commerce.  He is more comfortable using formal complaints rather than use a broad investigative approach that violates confidentiality of commercial transactions.  He noted his recent dissents to orders requiring disclosure of contractual terms in </w:t>
      </w:r>
      <w:r>
        <w:rPr>
          <w:i/>
          <w:color w:val="000000"/>
          <w:sz w:val="24"/>
        </w:rPr>
        <w:t>CPUC v. El Paso</w:t>
      </w:r>
      <w:r>
        <w:rPr>
          <w:color w:val="000000"/>
          <w:sz w:val="24"/>
        </w:rPr>
        <w:t xml:space="preserve"> and in the </w:t>
      </w:r>
      <w:r>
        <w:rPr>
          <w:i/>
          <w:color w:val="000000"/>
          <w:sz w:val="24"/>
        </w:rPr>
        <w:t>SDG&amp;E</w:t>
      </w:r>
      <w:r>
        <w:rPr>
          <w:color w:val="000000"/>
          <w:sz w:val="24"/>
        </w:rPr>
        <w:t xml:space="preserve"> petition case.</w:t>
      </w:r>
    </w:p>
    <w:p>
      <w:pPr>
        <w:pStyle w:val="Normal"/>
        <w:spacing w:lineRule="atLeast" w:line="240"/>
        <w:rPr>
          <w:color w:val="000000"/>
          <w:sz w:val="24"/>
        </w:rPr>
      </w:pPr>
      <w:r>
        <w:rPr>
          <w:color w:val="000000"/>
          <w:sz w:val="24"/>
        </w:rPr>
      </w:r>
    </w:p>
    <w:p>
      <w:pPr>
        <w:pStyle w:val="Normal"/>
        <w:numPr>
          <w:ilvl w:val="0"/>
          <w:numId w:val="3"/>
        </w:numPr>
        <w:spacing w:lineRule="atLeast" w:line="240"/>
        <w:rPr>
          <w:color w:val="000000"/>
          <w:sz w:val="24"/>
        </w:rPr>
      </w:pPr>
      <w:r>
        <w:rPr>
          <w:b/>
          <w:color w:val="000000"/>
          <w:sz w:val="24"/>
        </w:rPr>
        <w:t>Energy Policy</w:t>
      </w:r>
      <w:r>
        <w:rPr>
          <w:color w:val="000000"/>
          <w:sz w:val="24"/>
        </w:rPr>
        <w:t>.  He is confident that there is Republican and Democratic support for energy policy legislation focused on access issues.  That said, he believes that energy access must be balanced with environmental protection.  He noted that he has a record of concern for air quality issues.  His point is that consumers need to see the price of these choices.  Drawing the discussion back to California, he said that Californian’s should have the right to limit generation and transmission growth for environmental reasons, but this choice means that Californian’s will pay higher energy prices.</w:t>
      </w:r>
    </w:p>
    <w:p>
      <w:pPr>
        <w:pStyle w:val="Normal"/>
        <w:spacing w:lineRule="atLeast" w:line="240"/>
        <w:rPr>
          <w:color w:val="000000"/>
          <w:sz w:val="24"/>
        </w:rPr>
      </w:pPr>
      <w:r>
        <w:rPr>
          <w:color w:val="000000"/>
          <w:sz w:val="24"/>
        </w:rPr>
      </w:r>
    </w:p>
    <w:p>
      <w:pPr>
        <w:pStyle w:val="Normal"/>
        <w:numPr>
          <w:ilvl w:val="0"/>
          <w:numId w:val="3"/>
        </w:numPr>
        <w:spacing w:lineRule="atLeast" w:line="240"/>
        <w:rPr/>
      </w:pPr>
      <w:r>
        <w:rPr>
          <w:b/>
          <w:color w:val="000000"/>
          <w:sz w:val="24"/>
        </w:rPr>
        <w:t>High Gas Prices</w:t>
      </w:r>
      <w:r>
        <w:rPr>
          <w:color w:val="000000"/>
          <w:sz w:val="24"/>
        </w:rPr>
        <w:t>.  He said he is often asked if natural gas prices are the next crisis.  He answers “absolutely no.”  While California electric prices are a result of failed policies that prevented wholesale prices from being recognized in retail markets and preclusion of forward contracting, current high gas prices are the result of a working market.  The current supply/demand balance is driving prices.  He is confident supply investment will respond to current price signals.  He does believe that the industry could do a better job of PR on this issue.  The negative message ads far outnumber ads on the need for energy supply/access.</w:t>
      </w:r>
      <w:r>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u w:val="single"/>
    </w:rPr>
  </w:style>
  <w:style w:type="paragraph" w:styleId="Heading3">
    <w:name w:val="heading 3"/>
    <w:basedOn w:val="Normal"/>
    <w:next w:val="Normal"/>
    <w:qFormat/>
    <w:pPr>
      <w:keepNext w:val="true"/>
      <w:numPr>
        <w:ilvl w:val="2"/>
        <w:numId w:val="1"/>
      </w:numPr>
      <w:outlineLvl w:val="2"/>
    </w:pPr>
    <w:rPr>
      <w:u w:val="single"/>
    </w:rPr>
  </w:style>
  <w:style w:type="paragraph" w:styleId="Heading4">
    <w:name w:val="heading 4"/>
    <w:basedOn w:val="Normal"/>
    <w:next w:val="Normal"/>
    <w:qFormat/>
    <w:pPr>
      <w:keepNext w:val="true"/>
      <w:numPr>
        <w:ilvl w:val="3"/>
        <w:numId w:val="1"/>
      </w:numPr>
      <w:outlineLvl w:val="3"/>
    </w:pPr>
    <w:rPr>
      <w:b/>
      <w:color w:val="000000"/>
      <w:u w:val="single"/>
    </w:rPr>
  </w:style>
  <w:style w:type="paragraph" w:styleId="Heading5">
    <w:name w:val="heading 5"/>
    <w:basedOn w:val="Normal"/>
    <w:next w:val="Normal"/>
    <w:qFormat/>
    <w:pPr>
      <w:keepNext w:val="true"/>
      <w:numPr>
        <w:ilvl w:val="4"/>
        <w:numId w:val="1"/>
      </w:numPr>
      <w:outlineLvl w:val="4"/>
    </w:pPr>
    <w:rPr>
      <w:b/>
      <w:sz w:val="24"/>
      <w:u w:val="single"/>
    </w:rPr>
  </w:style>
  <w:style w:type="paragraph" w:styleId="Heading6">
    <w:name w:val="heading 6"/>
    <w:basedOn w:val="Normal"/>
    <w:next w:val="Normal"/>
    <w:qFormat/>
    <w:pPr>
      <w:keepNext w:val="true"/>
      <w:numPr>
        <w:ilvl w:val="5"/>
        <w:numId w:val="1"/>
      </w:numPr>
      <w:outlineLvl w:val="5"/>
    </w:pPr>
    <w:rPr>
      <w:sz w:val="24"/>
      <w:u w:val="single"/>
    </w:rPr>
  </w:style>
  <w:style w:type="paragraph" w:styleId="Heading7">
    <w:name w:val="heading 7"/>
    <w:basedOn w:val="Normal"/>
    <w:next w:val="Normal"/>
    <w:qFormat/>
    <w:pPr>
      <w:keepNext w:val="true"/>
      <w:numPr>
        <w:ilvl w:val="6"/>
        <w:numId w:val="1"/>
      </w:numPr>
      <w:spacing w:lineRule="atLeast" w:line="240"/>
      <w:outlineLvl w:val="6"/>
    </w:pPr>
    <w:rPr>
      <w:b/>
      <w:color w:val="000000"/>
      <w:sz w:val="24"/>
    </w:rPr>
  </w:style>
  <w:style w:type="paragraph" w:styleId="Heading8">
    <w:name w:val="heading 8"/>
    <w:basedOn w:val="Normal"/>
    <w:next w:val="Normal"/>
    <w:qFormat/>
    <w:pPr>
      <w:keepNext w:val="true"/>
      <w:numPr>
        <w:ilvl w:val="7"/>
        <w:numId w:val="1"/>
      </w:numPr>
      <w:spacing w:lineRule="atLeast" w:line="240"/>
      <w:outlineLvl w:val="7"/>
    </w:pPr>
    <w:rPr>
      <w:b/>
      <w:color w:val="000000"/>
      <w:sz w:val="24"/>
      <w:u w:val="single"/>
    </w:rPr>
  </w:style>
  <w:style w:type="paragraph" w:styleId="Heading9">
    <w:name w:val="heading 9"/>
    <w:basedOn w:val="Normal"/>
    <w:next w:val="Normal"/>
    <w:qFormat/>
    <w:pPr>
      <w:keepNext w:val="true"/>
      <w:numPr>
        <w:ilvl w:val="8"/>
        <w:numId w:val="1"/>
      </w:numPr>
      <w:spacing w:lineRule="atLeast" w:line="240"/>
      <w:jc w:val="center"/>
      <w:outlineLvl w:val="8"/>
    </w:pPr>
    <w:rPr>
      <w:b/>
      <w:i/>
      <w:color w:val="000000"/>
      <w:sz w:val="24"/>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Wingdings" w:hAnsi="Wingdings" w:cs="Wingdings"/>
    </w:rPr>
  </w:style>
  <w:style w:type="character" w:styleId="WW8Num16z0">
    <w:name w:val="WW8Num16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2z0">
    <w:name w:val="WW8Num22z0"/>
    <w:qFormat/>
    <w:rPr>
      <w:rFonts w:ascii="Symbol" w:hAnsi="Symbol" w:cs="Symbol"/>
    </w:rPr>
  </w:style>
  <w:style w:type="character" w:styleId="WW8Num25z0">
    <w:name w:val="WW8Num25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St1z0">
    <w:name w:val="WW8NumSt1z0"/>
    <w:qFormat/>
    <w:rPr>
      <w:rFonts w:ascii="Symbol" w:hAnsi="Symbol" w:cs="Symbol"/>
    </w:rPr>
  </w:style>
  <w:style w:type="character" w:styleId="WW8NumSt2z0">
    <w:name w:val="WW8NumSt2z0"/>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ject">
    <w:name w:val="Subject"/>
    <w:basedOn w:val="Normal"/>
    <w:qFormat/>
    <w:pPr/>
    <w:rPr>
      <w:rFonts w:ascii="Arial" w:hAnsi="Arial" w:cs="Arial"/>
    </w:rPr>
  </w:style>
  <w:style w:type="paragraph" w:styleId="Date">
    <w:name w:val="Date"/>
    <w:basedOn w:val="Normal"/>
    <w:qFormat/>
    <w:pPr/>
    <w:rPr>
      <w:rFonts w:ascii="Arial" w:hAnsi="Arial" w:cs="Arial"/>
    </w:rPr>
  </w:style>
  <w:style w:type="paragraph" w:styleId="To">
    <w:name w:val="To"/>
    <w:basedOn w:val="Normal"/>
    <w:qFormat/>
    <w:pPr/>
    <w:rPr>
      <w:rFonts w:ascii="Arial" w:hAnsi="Arial" w:cs="Arial"/>
    </w:rPr>
  </w:style>
  <w:style w:type="paragraph" w:styleId="From">
    <w:name w:val="From"/>
    <w:basedOn w:val="Normal"/>
    <w:qFormat/>
    <w:pPr/>
    <w:rPr>
      <w:rFonts w:ascii="Arial" w:hAnsi="Arial" w:cs="Arial"/>
    </w:rPr>
  </w:style>
  <w:style w:type="paragraph" w:styleId="Department">
    <w:name w:val="Department"/>
    <w:basedOn w:val="Normal"/>
    <w:qFormat/>
    <w:pPr/>
    <w:rPr>
      <w:rFonts w:ascii="Arial" w:hAnsi="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rPr>
      <w:sz w:val="24"/>
    </w:rPr>
  </w:style>
  <w:style w:type="paragraph" w:styleId="BodyText3">
    <w:name w:val="Body Text 3"/>
    <w:basedOn w:val="Normal"/>
    <w:qFormat/>
    <w:pPr>
      <w:spacing w:lineRule="atLeast" w:line="240"/>
    </w:pPr>
    <w:rPr>
      <w:color w:val="000000"/>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2001-01-26T03:22:00Z</dcterms:created>
  <dc:creator>ET&amp;S LAN Support</dc:creator>
  <dc:description/>
  <dc:language>en-CA</dc:language>
  <cp:lastModifiedBy>ET&amp;S</cp:lastModifiedBy>
  <cp:lastPrinted>2001-01-25T23:46:00Z</cp:lastPrinted>
  <dcterms:modified xsi:type="dcterms:W3CDTF">2001-01-26T03:22:00Z</dcterms:modified>
  <cp:revision>2</cp:revision>
  <dc:subject/>
  <dc:title>DRAFT</dc:title>
</cp:coreProperties>
</file>