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Heartland Steel, Inc. (“HSI”) was formed to develop, construct and operate an advanced flat rolled steel processing facility with an annual processing capacity of at least 1.1 million tons.  The facility, located in Terre Haute, Indiana, will have the capabilities to pickle, cold-roll, anneal, temper, galvanize and slit flat rolled steel.  HSI will compete in the higher margin segment of the steel industry by offering its customers a selection of higher value added products with a low cost structure in the steel processing sector.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Heartland Steel, Inc.</w:t>
      </w:r>
    </w:p>
    <w:p>
      <w:pPr>
        <w:pStyle w:val="Normal"/>
        <w:pBdr>
          <w:top w:val="single" w:sz="12" w:space="1" w:color="000000"/>
          <w:bottom w:val="single" w:sz="12" w:space="1" w:color="000000"/>
        </w:pBdr>
        <w:rPr/>
      </w:pPr>
      <w:r>
        <w:rPr>
          <w:b/>
        </w:rPr>
        <w:t xml:space="preserve">TYPE OF INVESTMENT: </w:t>
      </w:r>
      <w:r>
        <w:rPr/>
        <w:t>Series A-3 Common Stock (Seed Money)</w:t>
      </w:r>
    </w:p>
    <w:p>
      <w:pPr>
        <w:pStyle w:val="Normal"/>
        <w:pBdr>
          <w:top w:val="single" w:sz="12" w:space="1" w:color="000000"/>
          <w:bottom w:val="single" w:sz="12" w:space="1" w:color="000000"/>
        </w:pBdr>
        <w:rPr/>
      </w:pPr>
      <w:r>
        <w:rPr>
          <w:b/>
        </w:rPr>
        <w:t xml:space="preserve">TICKER SYMBOL: </w:t>
      </w:r>
      <w:r>
        <w:rPr/>
        <w:t>N/A</w:t>
      </w:r>
    </w:p>
    <w:p>
      <w:pPr>
        <w:pStyle w:val="Normal"/>
        <w:pBdr>
          <w:top w:val="single" w:sz="12" w:space="1" w:color="000000"/>
          <w:bottom w:val="single" w:sz="12" w:space="1" w:color="000000"/>
        </w:pBdr>
        <w:rPr/>
      </w:pPr>
      <w:r>
        <w:rPr>
          <w:b/>
        </w:rPr>
        <w:t xml:space="preserve">TRADING EXCHANGE: </w:t>
      </w:r>
      <w:r>
        <w:rPr/>
        <w:t>N/A</w:t>
      </w:r>
    </w:p>
    <w:p>
      <w:pPr>
        <w:pStyle w:val="Normal"/>
        <w:pBdr>
          <w:top w:val="single" w:sz="12" w:space="1" w:color="000000"/>
          <w:bottom w:val="single" w:sz="12" w:space="1" w:color="000000"/>
        </w:pBdr>
        <w:rPr>
          <w:b/>
        </w:rPr>
      </w:pPr>
      <w:r>
        <w:rPr>
          <w:b/>
        </w:rPr>
        <w:t xml:space="preserve">STRIKE PRICE: </w:t>
      </w:r>
      <w:r>
        <w:rPr/>
        <w:t>$166.93314 ($2,337,064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14,000</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/mnt/main-storage/datasets/enron-docs/doc/Heartland_Seed_Capital.doc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/mnt/main-storage/datasets/enron-docs/doc/Heartland_Seed_Capital.doc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2000-09-07T13:05:00Z</dcterms:created>
  <dc:creator>mruane</dc:creator>
  <dc:description>MR: 9-20-99 added tax signoff</dc:description>
  <dc:language>en-CA</dc:language>
  <cp:lastModifiedBy>Lisa M. King</cp:lastModifiedBy>
  <cp:lastPrinted>2000-09-08T07:32:00Z</cp:lastPrinted>
  <dcterms:modified xsi:type="dcterms:W3CDTF">2000-09-08T10:02:00Z</dcterms:modified>
  <cp:revision>7</cp:revision>
  <dc:subject/>
  <dc:title>ENRON RISK ASSESSMENT AND CONTROL</dc:title>
</cp:coreProperties>
</file>