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SEPTEMBER 6, 2000</w:t>
            </w:r>
          </w:p>
          <w:p>
            <w:pPr>
              <w:pStyle w:val="Header"/>
              <w:widowControl/>
              <w:tabs>
                <w:tab w:val="clear" w:pos="4320"/>
                <w:tab w:val="clear" w:pos="8640"/>
                <w:tab w:val="left" w:pos="1530" w:leader="none"/>
              </w:tabs>
              <w:spacing w:before="0" w:after="120"/>
              <w:rPr/>
            </w:pPr>
            <w:r>
              <w:rPr/>
              <w:t>Enron person completing this form:  LISA BEST/LISA KING</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tbl>
      <w:tblPr>
        <w:tblW w:w="9216" w:type="dxa"/>
        <w:jc w:val="start"/>
        <w:tblInd w:w="0" w:type="dxa"/>
        <w:tblLayout w:type="fixed"/>
        <w:tblCellMar>
          <w:top w:w="0" w:type="dxa"/>
          <w:start w:w="30" w:type="dxa"/>
          <w:bottom w:w="0" w:type="dxa"/>
          <w:end w:w="30" w:type="dxa"/>
        </w:tblCellMar>
      </w:tblPr>
      <w:tblGrid>
        <w:gridCol w:w="9216"/>
      </w:tblGrid>
      <w:tr>
        <w:trPr>
          <w:trHeight w:val="235" w:hRule="atLeast"/>
        </w:trPr>
        <w:tc>
          <w:tcPr>
            <w:tcW w:w="9216" w:type="dxa"/>
            <w:tcBorders/>
          </w:tcPr>
          <w:p>
            <w:pPr>
              <w:pStyle w:val="Header"/>
              <w:widowControl/>
              <w:tabs>
                <w:tab w:val="clear" w:pos="4320"/>
                <w:tab w:val="clear" w:pos="8640"/>
                <w:tab w:val="left" w:pos="1530" w:leader="none"/>
              </w:tabs>
              <w:spacing w:before="0" w:after="120"/>
              <w:rPr>
                <w:color w:val="000000"/>
                <w:lang w:eastAsia="en-US"/>
              </w:rPr>
            </w:pPr>
            <w:r>
              <w:rPr>
                <w:color w:val="000000"/>
                <w:lang w:eastAsia="en-US"/>
              </w:rPr>
              <w:t xml:space="preserve">Heartland Steel, Inc. (“HSI”) was formed to develop, construct and operate an advanced flat rolled steel processing facility with an annual processing capacity of at least 1.1 million tons.  The facility, located in Terre Haute, Indiana, will have the capabilities to pickle, cold-roll, anneal, temper, galvanize and slit flat rolled steel.  HSI will compete in the higher margin segment of the steel industry by offering its customers a selection of higher value added products with a low cost structure in the steel processing sector.  </w:t>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r>
    </w:tbl>
    <w:p>
      <w:pPr>
        <w:pStyle w:val="Normal"/>
        <w:rPr/>
      </w:pPr>
      <w:r>
        <w:rPr/>
      </w:r>
    </w:p>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LEGAL NAME REPRESENTED BY STOCK:</w:t>
      </w:r>
      <w:r>
        <w:rPr/>
        <w:t xml:space="preserve"> Heartland Steel, Inc.</w:t>
      </w:r>
    </w:p>
    <w:p>
      <w:pPr>
        <w:pStyle w:val="Normal"/>
        <w:pBdr>
          <w:top w:val="single" w:sz="12" w:space="1" w:color="000000"/>
          <w:bottom w:val="single" w:sz="12" w:space="1" w:color="000000"/>
        </w:pBdr>
        <w:rPr/>
      </w:pPr>
      <w:r>
        <w:rPr>
          <w:b/>
        </w:rPr>
        <w:t xml:space="preserve">TYPE OF INVESTMENT: </w:t>
      </w:r>
      <w:r>
        <w:rPr/>
        <w:t>Series A-1 Common Stock</w:t>
      </w:r>
    </w:p>
    <w:p>
      <w:pPr>
        <w:pStyle w:val="Normal"/>
        <w:pBdr>
          <w:top w:val="single" w:sz="12" w:space="1" w:color="000000"/>
          <w:bottom w:val="single" w:sz="12" w:space="1" w:color="000000"/>
        </w:pBdr>
        <w:rPr/>
      </w:pPr>
      <w:r>
        <w:rPr>
          <w:b/>
        </w:rPr>
        <w:t xml:space="preserve">TICKER SYMBOL: </w:t>
      </w:r>
      <w:r>
        <w:rPr/>
        <w:t>N/A</w:t>
      </w:r>
    </w:p>
    <w:p>
      <w:pPr>
        <w:pStyle w:val="Normal"/>
        <w:pBdr>
          <w:top w:val="single" w:sz="12" w:space="1" w:color="000000"/>
          <w:bottom w:val="single" w:sz="12" w:space="1" w:color="000000"/>
        </w:pBdr>
        <w:rPr>
          <w:b/>
        </w:rPr>
      </w:pPr>
      <w:r>
        <w:rPr>
          <w:b/>
        </w:rPr>
        <w:t xml:space="preserve">TRADING EXCHANGE: </w:t>
      </w:r>
      <w:r>
        <w:rPr/>
        <w:t>N/A</w:t>
      </w:r>
    </w:p>
    <w:p>
      <w:pPr>
        <w:pStyle w:val="Normal"/>
        <w:pBdr>
          <w:top w:val="single" w:sz="12" w:space="1" w:color="000000"/>
          <w:bottom w:val="single" w:sz="12" w:space="1" w:color="000000"/>
        </w:pBdr>
        <w:rPr>
          <w:b/>
        </w:rPr>
      </w:pPr>
      <w:r>
        <w:rPr>
          <w:b/>
        </w:rPr>
        <w:t xml:space="preserve">STRIKE PRICE:  </w:t>
      </w:r>
      <w:r>
        <w:rPr/>
        <w:t>$196.87558 ($20,738,677 NOTIONAL VALUE)</w:t>
      </w:r>
    </w:p>
    <w:p>
      <w:pPr>
        <w:pStyle w:val="Normal"/>
        <w:pBdr>
          <w:top w:val="single" w:sz="12" w:space="1" w:color="000000"/>
          <w:bottom w:val="single" w:sz="12" w:space="1" w:color="000000"/>
        </w:pBdr>
        <w:rPr>
          <w:b/>
        </w:rPr>
      </w:pPr>
      <w:r>
        <w:rPr>
          <w:b/>
        </w:rPr>
        <w:t>NO. OF SHARES OWNED:</w:t>
      </w:r>
    </w:p>
    <w:p>
      <w:pPr>
        <w:pStyle w:val="Normal"/>
        <w:pBdr>
          <w:top w:val="single" w:sz="12" w:space="1" w:color="000000"/>
          <w:bottom w:val="single" w:sz="12" w:space="1" w:color="000000"/>
        </w:pBdr>
        <w:rPr/>
      </w:pPr>
      <w:r>
        <w:rPr>
          <w:b/>
        </w:rPr>
        <w:t xml:space="preserve"> </w:t>
      </w:r>
      <w:r>
        <w:rPr>
          <w:b/>
        </w:rPr>
        <w:tab/>
        <w:t xml:space="preserve"> NET –</w:t>
      </w:r>
      <w:r>
        <w:rPr/>
        <w:t>105,339</w:t>
      </w:r>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Header"/>
        <w:widowControl/>
        <w:tabs>
          <w:tab w:val="clear" w:pos="4320"/>
          <w:tab w:val="clear" w:pos="8640"/>
        </w:tabs>
        <w:rPr/>
      </w:pPr>
      <w:r>
        <w:rPr/>
      </w:r>
    </w:p>
    <w:p>
      <w:pPr>
        <w:pStyle w:val="Normal"/>
        <w:jc w:val="center"/>
        <w:rPr/>
      </w:pPr>
      <w:r>
        <w:rPr/>
        <w:t>N/A</w:t>
      </w:r>
    </w:p>
    <w:p>
      <w:pPr>
        <w:pStyle w:val="Normal"/>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SEE ATTACHED VALUATION SUPPORT</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/mnt/main-storage/datasets/enron-docs/doc/Heartland_Common_Stock-be09d119088fcade1387d931a553d5e46f7c8b0c9f774d09f97d029414e81936.doc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/mnt/main-storage/datasets/enron-docs/doc/Heartland_Common_Stock-be09d119088fcade1387d931a553d5e46f7c8b0c9f774d09f97d029414e81936.doc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2000-09-06T17:31:00Z</dcterms:created>
  <dc:creator>mruane</dc:creator>
  <dc:description>MR: 9-20-99 added tax signoff</dc:description>
  <dc:language>en-CA</dc:language>
  <cp:lastModifiedBy>Lisa M. King</cp:lastModifiedBy>
  <cp:lastPrinted>2000-09-11T16:55:00Z</cp:lastPrinted>
  <dcterms:modified xsi:type="dcterms:W3CDTF">2000-09-11T21:25:00Z</dcterms:modified>
  <cp:revision>10</cp:revision>
  <dc:subject/>
  <dc:title>ENRON RISK ASSESSMENT AND CONTROL</dc:title>
</cp:coreProperties>
</file>