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4"/>
        </w:rPr>
      </w:pPr>
      <w:r>
        <w:rPr>
          <w:rFonts w:cs="Arial" w:ascii="Arial" w:hAnsi="Arial"/>
          <w:b/>
          <w:sz w:val="24"/>
        </w:rPr>
        <w:t>Hazardous Waste Tank Requirements</w:t>
      </w:r>
    </w:p>
    <w:p>
      <w:pPr>
        <w:pStyle w:val="Normal"/>
        <w:jc w:val="center"/>
        <w:rPr>
          <w:rFonts w:ascii="Arial" w:hAnsi="Arial" w:cs="Arial"/>
          <w:b/>
          <w:sz w:val="24"/>
        </w:rPr>
      </w:pPr>
      <w:r>
        <w:rPr>
          <w:rFonts w:cs="Arial" w:ascii="Arial" w:hAnsi="Arial"/>
          <w:b/>
          <w:sz w:val="24"/>
        </w:rPr>
        <w:t>For New Tank Systems or Tanks Newly Storing Hazardous Waste</w:t>
      </w:r>
    </w:p>
    <w:p>
      <w:pPr>
        <w:pStyle w:val="Normal"/>
        <w:jc w:val="center"/>
        <w:rPr>
          <w:rFonts w:ascii="Arial" w:hAnsi="Arial" w:cs="Arial"/>
          <w:b/>
          <w:sz w:val="24"/>
        </w:rPr>
      </w:pPr>
      <w:r>
        <w:rPr>
          <w:rFonts w:cs="Arial" w:ascii="Arial" w:hAnsi="Arial"/>
          <w:b/>
          <w:sz w:val="24"/>
        </w:rPr>
        <w:t>Large Quantity Generator</w:t>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t>Hazardous Waste Tank Requirements at 40 CFR §265.195</w:t>
      </w:r>
    </w:p>
    <w:p>
      <w:pPr>
        <w:pStyle w:val="Normal"/>
        <w:rPr>
          <w:rFonts w:ascii="Arial" w:hAnsi="Arial" w:cs="Arial"/>
          <w:b/>
          <w:sz w:val="24"/>
        </w:rPr>
      </w:pPr>
      <w:r>
        <w:rPr>
          <w:rFonts w:cs="Arial" w:ascii="Arial" w:hAnsi="Arial"/>
          <w:b/>
          <w:sz w:val="24"/>
        </w:rPr>
      </w:r>
    </w:p>
    <w:p>
      <w:pPr>
        <w:pStyle w:val="Normal"/>
        <w:numPr>
          <w:ilvl w:val="0"/>
          <w:numId w:val="2"/>
        </w:numPr>
        <w:rPr/>
      </w:pPr>
      <w:r>
        <w:rPr/>
        <w:t>Tank must be assessed by a certified independent, qualified, registered, professional engineer that it was designed and maintained to contain the wastes stored without collapsing or rupturing.</w:t>
      </w:r>
    </w:p>
    <w:p>
      <w:pPr>
        <w:pStyle w:val="Normal"/>
        <w:rPr/>
      </w:pPr>
      <w:r>
        <w:rPr/>
      </w:r>
    </w:p>
    <w:p>
      <w:pPr>
        <w:pStyle w:val="Normal"/>
        <w:numPr>
          <w:ilvl w:val="0"/>
          <w:numId w:val="2"/>
        </w:numPr>
        <w:rPr/>
      </w:pPr>
      <w:r>
        <w:rPr/>
        <w:t>Corrosion Protection is required if the tank system components are made wholly or partly of metal and the system will be in contact with soil or water.</w:t>
      </w:r>
    </w:p>
    <w:p>
      <w:pPr>
        <w:pStyle w:val="Normal"/>
        <w:rPr/>
      </w:pPr>
      <w:r>
        <w:rPr/>
      </w:r>
    </w:p>
    <w:p>
      <w:pPr>
        <w:pStyle w:val="Normal"/>
        <w:numPr>
          <w:ilvl w:val="0"/>
          <w:numId w:val="2"/>
        </w:numPr>
        <w:rPr/>
      </w:pPr>
      <w:r>
        <w:rPr/>
        <w:t xml:space="preserve">Secondary containment designed so that no waste is released to the surrounding soil, groundwater, or surface water is required.  Meeting the secondary containment requirements can be accomplished using an external liner (hold 100% of largest tank + 25-year, 24-hour storm event), vault system, or double-walled tank.  </w:t>
      </w:r>
    </w:p>
    <w:p>
      <w:pPr>
        <w:pStyle w:val="Normal"/>
        <w:rPr/>
      </w:pPr>
      <w:r>
        <w:rPr/>
      </w:r>
    </w:p>
    <w:p>
      <w:pPr>
        <w:pStyle w:val="Normal"/>
        <w:numPr>
          <w:ilvl w:val="0"/>
          <w:numId w:val="2"/>
        </w:numPr>
        <w:rPr/>
      </w:pPr>
      <w:r>
        <w:rPr/>
        <w:t>A leak detection system capable of detecting failure in either the primary or secondary containment structures is required.  Thermal conductivity sensors, electrical resistivity sensors, and vapor detectors are commonly used as leak detection devices.  The presence of accumulated waste in the secondary containment system must be detected a system capable of detecting the leak within 24 hours.</w:t>
      </w:r>
    </w:p>
    <w:p>
      <w:pPr>
        <w:pStyle w:val="Normal"/>
        <w:rPr/>
      </w:pPr>
      <w:r>
        <w:rPr/>
      </w:r>
    </w:p>
    <w:p>
      <w:pPr>
        <w:pStyle w:val="Normal"/>
        <w:numPr>
          <w:ilvl w:val="0"/>
          <w:numId w:val="2"/>
        </w:numPr>
        <w:rPr/>
      </w:pPr>
      <w:r>
        <w:rPr/>
        <w:t>Ancillary equipment must also have full secondary containment in addition to the tank itself.  Examples include a trench, jacketing, or double-walled piping.  If inspected daily, aboveground piping (not flanges, joints, valves or connections), welded connections, seal-less or magnetic coupling pumps and aboveground pressured piping systems with automatic shut-off devices are exempt from the secondary containment requirements.</w:t>
      </w:r>
    </w:p>
    <w:p>
      <w:pPr>
        <w:pStyle w:val="Normal"/>
        <w:rPr/>
      </w:pPr>
      <w:r>
        <w:rPr/>
      </w:r>
    </w:p>
    <w:p>
      <w:pPr>
        <w:pStyle w:val="Normal"/>
        <w:numPr>
          <w:ilvl w:val="0"/>
          <w:numId w:val="2"/>
        </w:numPr>
        <w:rPr/>
      </w:pPr>
      <w:r>
        <w:rPr/>
        <w:t>Spills or overflows from the tank or secondary containment system must be prevented by the use of :</w:t>
      </w:r>
    </w:p>
    <w:p>
      <w:pPr>
        <w:pStyle w:val="Normal"/>
        <w:rPr/>
      </w:pPr>
      <w:r>
        <w:rPr/>
      </w:r>
    </w:p>
    <w:p>
      <w:pPr>
        <w:pStyle w:val="Normal"/>
        <w:numPr>
          <w:ilvl w:val="0"/>
          <w:numId w:val="3"/>
        </w:numPr>
        <w:rPr/>
      </w:pPr>
      <w:r>
        <w:rPr/>
        <w:t>Spill prevention controls such as check valves</w:t>
      </w:r>
    </w:p>
    <w:p>
      <w:pPr>
        <w:pStyle w:val="Normal"/>
        <w:numPr>
          <w:ilvl w:val="0"/>
          <w:numId w:val="3"/>
        </w:numPr>
        <w:rPr/>
      </w:pPr>
      <w:r>
        <w:rPr/>
        <w:t>Overfill prevention controls such as high level alarms and automatic feed cutoffs</w:t>
      </w:r>
    </w:p>
    <w:p>
      <w:pPr>
        <w:pStyle w:val="Normal"/>
        <w:numPr>
          <w:ilvl w:val="0"/>
          <w:numId w:val="3"/>
        </w:numPr>
        <w:rPr/>
      </w:pPr>
      <w:r>
        <w:rPr/>
        <w:t>Sufficient freeboard in uncovered tanks to prevent overflow due to wave or wind action.</w:t>
      </w:r>
    </w:p>
    <w:p>
      <w:pPr>
        <w:pStyle w:val="Normal"/>
        <w:rPr/>
      </w:pPr>
      <w:r>
        <w:rPr/>
      </w:r>
    </w:p>
    <w:p>
      <w:pPr>
        <w:pStyle w:val="Normal"/>
        <w:numPr>
          <w:ilvl w:val="0"/>
          <w:numId w:val="4"/>
        </w:numPr>
        <w:rPr/>
      </w:pPr>
      <w:r>
        <w:rPr/>
        <w:t>Tank must be marked with the words “Hazardous Waste.”</w:t>
      </w:r>
    </w:p>
    <w:p>
      <w:pPr>
        <w:pStyle w:val="Normal"/>
        <w:rPr/>
      </w:pPr>
      <w:r>
        <w:rPr/>
      </w:r>
    </w:p>
    <w:p>
      <w:pPr>
        <w:pStyle w:val="Normal"/>
        <w:numPr>
          <w:ilvl w:val="0"/>
          <w:numId w:val="4"/>
        </w:numPr>
        <w:rPr/>
      </w:pPr>
      <w:r>
        <w:rPr/>
        <w:t>Tanks must be “emptied” for disposal every 90-days.  The 90-day requirement relates to the 90-day storage limit applicable to large quantity generators of hazardous waste.</w:t>
      </w:r>
    </w:p>
    <w:p>
      <w:pPr>
        <w:pStyle w:val="Normal"/>
        <w:rPr/>
      </w:pPr>
      <w:r>
        <w:rPr/>
      </w:r>
    </w:p>
    <w:p>
      <w:pPr>
        <w:pStyle w:val="Normal"/>
        <w:numPr>
          <w:ilvl w:val="0"/>
          <w:numId w:val="4"/>
        </w:numPr>
        <w:rPr/>
      </w:pPr>
      <w:r>
        <w:rPr/>
        <w:t>Inspection and recordkeeping requirements also apply.</w:t>
      </w:r>
    </w:p>
    <w:p>
      <w:pPr>
        <w:pStyle w:val="Normal"/>
        <w:rPr/>
      </w:pPr>
      <w:r>
        <w:rPr/>
      </w:r>
    </w:p>
    <w:p>
      <w:pPr>
        <w:pStyle w:val="Heading1"/>
        <w:ind w:hanging="0" w:start="0"/>
        <w:rPr>
          <w:rFonts w:ascii="Tahoma" w:hAnsi="Tahoma" w:cs="Tahoma"/>
          <w:sz w:val="24"/>
        </w:rPr>
      </w:pPr>
      <w:r>
        <w:rPr>
          <w:rFonts w:cs="Tahoma" w:ascii="Tahoma" w:hAnsi="Tahoma"/>
          <w:sz w:val="24"/>
        </w:rPr>
        <w:t>40 CFR Part 265 Subpart BB and CC Organic Air Emissions Requirements for Tanks</w:t>
      </w:r>
    </w:p>
    <w:p>
      <w:pPr>
        <w:pStyle w:val="Normal"/>
        <w:rPr>
          <w:rFonts w:ascii="Tahoma" w:hAnsi="Tahoma" w:cs="Tahoma"/>
          <w:sz w:val="24"/>
        </w:rPr>
      </w:pPr>
      <w:r>
        <w:rPr>
          <w:rFonts w:cs="Tahoma" w:ascii="Tahoma" w:hAnsi="Tahoma"/>
          <w:sz w:val="24"/>
        </w:rPr>
      </w:r>
    </w:p>
    <w:p>
      <w:pPr>
        <w:pStyle w:val="Normal"/>
        <w:rPr/>
      </w:pPr>
      <w:r>
        <w:rPr/>
        <w:t>1.  Compliance with Subpart CC is required if the waste stored in the tank contains an average volatile organic concentration of 500 ppmw or more.</w:t>
      </w:r>
    </w:p>
    <w:p>
      <w:pPr>
        <w:pStyle w:val="Normal"/>
        <w:rPr/>
      </w:pPr>
      <w:r>
        <w:rPr/>
      </w:r>
    </w:p>
    <w:p>
      <w:pPr>
        <w:pStyle w:val="Normal"/>
        <w:rPr/>
      </w:pPr>
      <w:r>
        <w:rPr/>
        <w:t>There are two levels of air emissions controls for tanks based on the size of the tank, maximum organic vapor pressure of the waste and whether the tank is used in a waste stabilization process.  First you must determine if Tank Level 1 or Tank Level 2 controls are required.</w:t>
      </w:r>
    </w:p>
    <w:p>
      <w:pPr>
        <w:pStyle w:val="Normal"/>
        <w:rPr/>
      </w:pPr>
      <w:r>
        <w:rPr/>
      </w:r>
    </w:p>
    <w:p>
      <w:pPr>
        <w:pStyle w:val="Normal"/>
        <w:rPr/>
      </w:pPr>
      <w:r>
        <w:rPr/>
        <w:t>Assuming that no waste stabilization occurs in the tank and the tank meets the following criteria, Tank Level 1 controls are all that is required.  Tank Level 1 control is the use of a fixed roof tank (i.e., a tight-fitting cover).</w:t>
      </w:r>
    </w:p>
    <w:p>
      <w:pPr>
        <w:pStyle w:val="Normal"/>
        <w:rPr/>
      </w:pPr>
      <w:r>
        <w:rPr/>
      </w:r>
    </w:p>
    <w:tbl>
      <w:tblPr>
        <w:tblW w:w="8190" w:type="dxa"/>
        <w:jc w:val="start"/>
        <w:tblInd w:w="440" w:type="dxa"/>
        <w:tblLayout w:type="fixed"/>
        <w:tblCellMar>
          <w:top w:w="0" w:type="dxa"/>
          <w:start w:w="80" w:type="dxa"/>
          <w:bottom w:w="0" w:type="dxa"/>
          <w:end w:w="80" w:type="dxa"/>
        </w:tblCellMar>
      </w:tblPr>
      <w:tblGrid>
        <w:gridCol w:w="5133"/>
        <w:gridCol w:w="3057"/>
      </w:tblGrid>
      <w:tr>
        <w:trPr>
          <w:trHeight w:val="633" w:hRule="atLeast"/>
        </w:trPr>
        <w:tc>
          <w:tcPr>
            <w:tcW w:w="5133" w:type="dxa"/>
            <w:tcBorders>
              <w:top w:val="single" w:sz="6" w:space="0" w:color="000000"/>
              <w:start w:val="single" w:sz="6" w:space="0" w:color="000000"/>
              <w:bottom w:val="single" w:sz="6" w:space="0" w:color="000000"/>
              <w:end w:val="single" w:sz="6" w:space="0" w:color="000000"/>
            </w:tcBorders>
          </w:tcPr>
          <w:p>
            <w:pPr>
              <w:pStyle w:val="TableHeaderText"/>
              <w:rPr/>
            </w:pPr>
            <w:r>
              <w:rPr/>
              <w:t>Tank Size</w:t>
            </w:r>
          </w:p>
        </w:tc>
        <w:tc>
          <w:tcPr>
            <w:tcW w:w="3057" w:type="dxa"/>
            <w:tcBorders>
              <w:top w:val="single" w:sz="6" w:space="0" w:color="000000"/>
              <w:start w:val="single" w:sz="6" w:space="0" w:color="000000"/>
              <w:bottom w:val="single" w:sz="6" w:space="0" w:color="000000"/>
              <w:end w:val="single" w:sz="6" w:space="0" w:color="000000"/>
            </w:tcBorders>
          </w:tcPr>
          <w:p>
            <w:pPr>
              <w:pStyle w:val="TableHeaderText"/>
              <w:rPr/>
            </w:pPr>
            <w:r>
              <w:rPr/>
              <w:t>Maximum Organic Vapor Pressure of Waste</w:t>
            </w:r>
          </w:p>
        </w:tc>
      </w:tr>
      <w:tr>
        <w:trPr/>
        <w:tc>
          <w:tcPr>
            <w:tcW w:w="5133" w:type="dxa"/>
            <w:tcBorders>
              <w:top w:val="single" w:sz="6" w:space="0" w:color="000000"/>
              <w:start w:val="single" w:sz="6" w:space="0" w:color="000000"/>
              <w:bottom w:val="single" w:sz="6" w:space="0" w:color="000000"/>
              <w:end w:val="single" w:sz="6" w:space="0" w:color="000000"/>
            </w:tcBorders>
          </w:tcPr>
          <w:p>
            <w:pPr>
              <w:pStyle w:val="TableText"/>
              <w:jc w:val="center"/>
              <w:rPr/>
            </w:pPr>
            <w:r>
              <w:rPr>
                <w:rFonts w:eastAsia="Courier New" w:cs="Courier New" w:ascii="Courier New" w:hAnsi="Courier New"/>
              </w:rPr>
              <w:t>≥</w:t>
            </w:r>
            <w:r>
              <w:rPr/>
              <w:t xml:space="preserve"> </w:t>
            </w:r>
            <w:r>
              <w:rPr/>
              <w:t>151 m</w:t>
            </w:r>
            <w:r>
              <w:rPr>
                <w:vertAlign w:val="superscript"/>
              </w:rPr>
              <w:t>3</w:t>
            </w:r>
            <w:r>
              <w:rPr/>
              <w:t xml:space="preserve"> (approx.  40,000 gal)</w:t>
            </w:r>
          </w:p>
        </w:tc>
        <w:tc>
          <w:tcPr>
            <w:tcW w:w="3057" w:type="dxa"/>
            <w:tcBorders>
              <w:top w:val="single" w:sz="6" w:space="0" w:color="000000"/>
              <w:start w:val="single" w:sz="6" w:space="0" w:color="000000"/>
              <w:bottom w:val="single" w:sz="6" w:space="0" w:color="000000"/>
              <w:end w:val="single" w:sz="6" w:space="0" w:color="000000"/>
            </w:tcBorders>
          </w:tcPr>
          <w:p>
            <w:pPr>
              <w:pStyle w:val="TableText"/>
              <w:jc w:val="center"/>
              <w:rPr/>
            </w:pPr>
            <w:r>
              <w:rPr>
                <w:rFonts w:eastAsia="Symbol" w:cs="Symbol" w:ascii="Symbol" w:hAnsi="Symbol"/>
              </w:rPr>
              <w:sym w:font="Symbol" w:char="f0a3"/>
            </w:r>
            <w:r>
              <w:rPr/>
              <w:t xml:space="preserve"> </w:t>
            </w:r>
            <w:r>
              <w:rPr/>
              <w:t>5.2 kPa (approx. 0.75 psi)</w:t>
            </w:r>
          </w:p>
        </w:tc>
      </w:tr>
      <w:tr>
        <w:trPr/>
        <w:tc>
          <w:tcPr>
            <w:tcW w:w="5133" w:type="dxa"/>
            <w:tcBorders>
              <w:top w:val="single" w:sz="6" w:space="0" w:color="000000"/>
              <w:start w:val="single" w:sz="6" w:space="0" w:color="000000"/>
              <w:bottom w:val="single" w:sz="6" w:space="0" w:color="000000"/>
              <w:end w:val="single" w:sz="6" w:space="0" w:color="000000"/>
            </w:tcBorders>
          </w:tcPr>
          <w:p>
            <w:pPr>
              <w:pStyle w:val="TableText"/>
              <w:jc w:val="center"/>
              <w:rPr/>
            </w:pPr>
            <w:r>
              <w:rPr>
                <w:rFonts w:eastAsia="Courier New" w:cs="Courier New" w:ascii="Courier New" w:hAnsi="Courier New"/>
              </w:rPr>
              <w:t>≥</w:t>
            </w:r>
            <w:r>
              <w:rPr/>
              <w:t xml:space="preserve"> </w:t>
            </w:r>
            <w:r>
              <w:rPr/>
              <w:t>75 m</w:t>
            </w:r>
            <w:r>
              <w:rPr>
                <w:vertAlign w:val="superscript"/>
              </w:rPr>
              <w:t>3</w:t>
            </w:r>
            <w:r>
              <w:rPr/>
              <w:t xml:space="preserve"> and </w:t>
            </w:r>
            <w:r>
              <w:rPr>
                <w:rFonts w:eastAsia="Courier New" w:cs="Courier New" w:ascii="Courier New" w:hAnsi="Courier New"/>
              </w:rPr>
              <w:t>&lt;</w:t>
            </w:r>
            <w:r>
              <w:rPr/>
              <w:t xml:space="preserve"> 151 m</w:t>
            </w:r>
            <w:r>
              <w:rPr>
                <w:vertAlign w:val="superscript"/>
              </w:rPr>
              <w:t>3</w:t>
            </w:r>
            <w:r>
              <w:rPr/>
              <w:t xml:space="preserve"> (approx.  20,000 and 40,000 gal, respectively)</w:t>
            </w:r>
          </w:p>
        </w:tc>
        <w:tc>
          <w:tcPr>
            <w:tcW w:w="3057" w:type="dxa"/>
            <w:tcBorders>
              <w:top w:val="single" w:sz="6" w:space="0" w:color="000000"/>
              <w:start w:val="single" w:sz="6" w:space="0" w:color="000000"/>
              <w:bottom w:val="single" w:sz="6" w:space="0" w:color="000000"/>
              <w:end w:val="single" w:sz="6" w:space="0" w:color="000000"/>
            </w:tcBorders>
          </w:tcPr>
          <w:p>
            <w:pPr>
              <w:pStyle w:val="TableText"/>
              <w:jc w:val="center"/>
              <w:rPr/>
            </w:pPr>
            <w:r>
              <w:rPr>
                <w:rFonts w:eastAsia="Symbol" w:cs="Symbol" w:ascii="Symbol" w:hAnsi="Symbol"/>
              </w:rPr>
              <w:sym w:font="Symbol" w:char="f0a3"/>
            </w:r>
            <w:r>
              <w:rPr/>
              <w:t xml:space="preserve"> </w:t>
            </w:r>
            <w:r>
              <w:rPr/>
              <w:t>27.6 kPa (approx. 4.0 psi)</w:t>
            </w:r>
          </w:p>
        </w:tc>
      </w:tr>
      <w:tr>
        <w:trPr/>
        <w:tc>
          <w:tcPr>
            <w:tcW w:w="5133" w:type="dxa"/>
            <w:tcBorders>
              <w:top w:val="single" w:sz="6" w:space="0" w:color="000000"/>
              <w:start w:val="single" w:sz="6" w:space="0" w:color="000000"/>
              <w:bottom w:val="single" w:sz="6" w:space="0" w:color="000000"/>
              <w:end w:val="single" w:sz="6" w:space="0" w:color="000000"/>
            </w:tcBorders>
          </w:tcPr>
          <w:p>
            <w:pPr>
              <w:pStyle w:val="TableText"/>
              <w:jc w:val="center"/>
              <w:rPr/>
            </w:pPr>
            <w:r>
              <w:rPr>
                <w:rFonts w:eastAsia="Courier New" w:cs="Courier New" w:ascii="Courier New" w:hAnsi="Courier New"/>
              </w:rPr>
              <w:t>&lt;</w:t>
            </w:r>
            <w:r>
              <w:rPr/>
              <w:t xml:space="preserve"> 75 m</w:t>
            </w:r>
            <w:r>
              <w:rPr>
                <w:vertAlign w:val="superscript"/>
              </w:rPr>
              <w:t>3</w:t>
            </w:r>
            <w:r>
              <w:rPr/>
              <w:t xml:space="preserve"> (approx. 20,000 gal)</w:t>
            </w:r>
          </w:p>
        </w:tc>
        <w:tc>
          <w:tcPr>
            <w:tcW w:w="3057" w:type="dxa"/>
            <w:tcBorders>
              <w:top w:val="single" w:sz="6" w:space="0" w:color="000000"/>
              <w:start w:val="single" w:sz="6" w:space="0" w:color="000000"/>
              <w:bottom w:val="single" w:sz="6" w:space="0" w:color="000000"/>
              <w:end w:val="single" w:sz="6" w:space="0" w:color="000000"/>
            </w:tcBorders>
          </w:tcPr>
          <w:p>
            <w:pPr>
              <w:pStyle w:val="TableText"/>
              <w:jc w:val="center"/>
              <w:rPr/>
            </w:pPr>
            <w:r>
              <w:rPr>
                <w:rFonts w:eastAsia="Symbol" w:cs="Symbol" w:ascii="Symbol" w:hAnsi="Symbol"/>
              </w:rPr>
              <w:sym w:font="Symbol" w:char="f0a3"/>
            </w:r>
            <w:r>
              <w:rPr/>
              <w:t xml:space="preserve"> </w:t>
            </w:r>
            <w:r>
              <w:rPr/>
              <w:t>76.6 kPa (approx. 11.1 psi)</w:t>
            </w:r>
          </w:p>
        </w:tc>
      </w:tr>
    </w:tbl>
    <w:p>
      <w:pPr>
        <w:pStyle w:val="Normal"/>
        <w:rPr/>
      </w:pPr>
      <w:r>
        <w:rPr/>
      </w:r>
    </w:p>
    <w:p>
      <w:pPr>
        <w:pStyle w:val="Normal"/>
        <w:rPr/>
      </w:pPr>
      <w:r>
        <w:rPr/>
        <w:t>If the tank and waste do not meet the above criteria, then Tank Level 2 controls are required.  Tank level 2 control options include (one of the following is required):</w:t>
      </w:r>
    </w:p>
    <w:p>
      <w:pPr>
        <w:pStyle w:val="Normal"/>
        <w:rPr/>
      </w:pPr>
      <w:r>
        <w:rPr/>
      </w:r>
    </w:p>
    <w:p>
      <w:pPr>
        <w:pStyle w:val="Normal"/>
        <w:numPr>
          <w:ilvl w:val="0"/>
          <w:numId w:val="5"/>
        </w:numPr>
        <w:rPr/>
      </w:pPr>
      <w:r>
        <w:rPr/>
        <w:t>External Floating Roof</w:t>
      </w:r>
    </w:p>
    <w:p>
      <w:pPr>
        <w:pStyle w:val="Normal"/>
        <w:numPr>
          <w:ilvl w:val="0"/>
          <w:numId w:val="5"/>
        </w:numPr>
        <w:rPr/>
      </w:pPr>
      <w:r>
        <w:rPr/>
        <w:t>Internal Floating roof</w:t>
      </w:r>
    </w:p>
    <w:p>
      <w:pPr>
        <w:pStyle w:val="Normal"/>
        <w:numPr>
          <w:ilvl w:val="0"/>
          <w:numId w:val="5"/>
        </w:numPr>
        <w:rPr/>
      </w:pPr>
      <w:r>
        <w:rPr/>
        <w:t>Vent to control device</w:t>
      </w:r>
    </w:p>
    <w:p>
      <w:pPr>
        <w:pStyle w:val="Normal"/>
        <w:numPr>
          <w:ilvl w:val="0"/>
          <w:numId w:val="5"/>
        </w:numPr>
        <w:rPr/>
      </w:pPr>
      <w:r>
        <w:rPr/>
        <w:t>Pressure Tank</w:t>
      </w:r>
    </w:p>
    <w:p>
      <w:pPr>
        <w:pStyle w:val="Normal"/>
        <w:numPr>
          <w:ilvl w:val="0"/>
          <w:numId w:val="5"/>
        </w:numPr>
        <w:rPr/>
      </w:pPr>
      <w:r>
        <w:rPr/>
        <w:t>Vent to an enclosed combustion device.</w:t>
      </w:r>
    </w:p>
    <w:p>
      <w:pPr>
        <w:pStyle w:val="Normal"/>
        <w:rPr/>
      </w:pPr>
      <w:r>
        <w:rPr/>
      </w:r>
    </w:p>
    <w:p>
      <w:pPr>
        <w:pStyle w:val="Normal"/>
        <w:rPr/>
      </w:pPr>
      <w:r>
        <w:rPr/>
        <w:t>The recordkeeping and monitoring requirements vary on the level of control and control option used.</w:t>
      </w:r>
    </w:p>
    <w:p>
      <w:pPr>
        <w:pStyle w:val="Normal"/>
        <w:rPr/>
      </w:pPr>
      <w:r>
        <w:rPr/>
      </w:r>
    </w:p>
    <w:p>
      <w:pPr>
        <w:pStyle w:val="Normal"/>
        <w:rPr/>
      </w:pPr>
      <w:r>
        <w:rPr/>
        <w:t>2.  Subpart BB applies to equipment such as pumps, compressors, pressure-relief devices, sampling connection systems, valves, open-ended valves or lines and flanges that come in contract with hazardous waste with an organic concentration of at least 10% by weight.  Each piece of equipment that is subject to Subpart BB standards must be marked so that is readily distinguished from other pieces of equipment. Each type of equipment may also be subject to specific operation and design standards, (e.g., dual seals, closed vents, caps, closed-loop sampling), visual inspections for detectable emissions (Method 21 of 40 C.F.R. Part 60, Appendix A) and leak repair within 15 days.  Recordkeeping and reporting standards also apply.  Equipment that is in hazardous waste service less than 300 hours per year is exempt from Subpart BB requirements.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7"/>
      <w:numFmt w:val="decimal"/>
      <w:lvlText w:val="%1."/>
      <w:lvlJc w:val="start"/>
      <w:pPr>
        <w:tabs>
          <w:tab w:val="num" w:pos="360"/>
        </w:tabs>
        <w:ind w:start="36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5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character" w:styleId="WW8Num3z0">
    <w:name w:val="WW8Num3z0"/>
    <w:qFormat/>
    <w:rPr>
      <w:rFonts w:ascii="Symbol" w:hAnsi="Symbol" w:cs="Symbol"/>
    </w:rPr>
  </w:style>
  <w:style w:type="character" w:styleId="WW8Num5z0">
    <w:name w:val="WW8Num5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Text">
    <w:name w:val="Table Text"/>
    <w:basedOn w:val="Normal"/>
    <w:qFormat/>
    <w:pPr/>
    <w:rPr>
      <w:sz w:val="24"/>
    </w:rPr>
  </w:style>
  <w:style w:type="paragraph" w:styleId="TableHeaderText">
    <w:name w:val="Table Header Text"/>
    <w:basedOn w:val="TableText"/>
    <w:qFormat/>
    <w:pPr>
      <w:jc w:val="center"/>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2000-08-24T13:12:00Z</dcterms:created>
  <dc:creator>SFERNAN</dc:creator>
  <dc:description/>
  <dc:language>en-CA</dc:language>
  <cp:lastModifiedBy>SFERNAN</cp:lastModifiedBy>
  <cp:lastPrinted>2000-08-24T13:06:00Z</cp:lastPrinted>
  <dcterms:modified xsi:type="dcterms:W3CDTF">2000-08-24T16:28:00Z</dcterms:modified>
  <cp:revision>5</cp:revision>
  <dc:subject/>
  <dc:title>Hazardous Waste Tank Requirements</dc:title>
</cp:coreProperties>
</file>