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jc w:val="both"/>
        <w:rPr>
          <w:rFonts w:cs="Arial"/>
          <w:bCs/>
          <w:sz w:val="18"/>
          <w:szCs w:val="24"/>
        </w:rPr>
      </w:pPr>
      <w:r>
        <w:rPr>
          <w:rFonts w:cs="Arial"/>
          <w:bCs/>
          <w:sz w:val="18"/>
          <w:szCs w:val="24"/>
        </w:rPr>
        <w:t>Mohsin Hayat</w:t>
      </w:r>
    </w:p>
    <w:p>
      <w:pPr>
        <w:pStyle w:val="Heading4"/>
        <w:ind w:hanging="0" w:start="0"/>
        <w:jc w:val="both"/>
        <w:rPr/>
      </w:pPr>
      <w:r>
        <w:rPr>
          <w:rFonts w:cs="Arial"/>
          <w:b w:val="false"/>
          <w:sz w:val="18"/>
        </w:rPr>
        <w:t>155 East 38</w:t>
      </w:r>
      <w:r>
        <w:rPr>
          <w:rFonts w:cs="Arial"/>
          <w:b w:val="false"/>
          <w:sz w:val="18"/>
          <w:vertAlign w:val="superscript"/>
        </w:rPr>
        <w:t>th</w:t>
      </w:r>
      <w:r>
        <w:rPr>
          <w:rFonts w:cs="Arial"/>
          <w:b w:val="false"/>
          <w:sz w:val="18"/>
        </w:rPr>
        <w:t xml:space="preserve"> street, Apt. 6H, New York, NY 10016,</w:t>
        <w:tab/>
        <w:tab/>
        <w:tab/>
        <w:tab/>
      </w:r>
      <w:hyperlink r:id="rId2">
        <w:r>
          <w:rPr>
            <w:rStyle w:val="Hyperlink"/>
            <w:rFonts w:cs="Arial"/>
            <w:b/>
            <w:color w:val="000000"/>
            <w:sz w:val="18"/>
            <w:u w:val="none"/>
          </w:rPr>
          <w:t>mohsin@webtitude.com</w:t>
        </w:r>
      </w:hyperlink>
      <w:r>
        <w:rPr>
          <w:rFonts w:cs="Arial"/>
          <w:b w:val="false"/>
          <w:sz w:val="18"/>
        </w:rPr>
        <w:t>, +1.917.365.5653</w:t>
      </w:r>
    </w:p>
    <w:p>
      <w:pPr>
        <w:pStyle w:val="Header"/>
        <w:pBdr>
          <w:bottom w:val="single" w:sz="4" w:space="1" w:color="000000"/>
        </w:pBdr>
        <w:jc w:val="both"/>
        <w:rPr>
          <w:rFonts w:ascii="Arial" w:hAnsi="Arial" w:cs="Arial"/>
          <w:b/>
          <w:sz w:val="18"/>
        </w:rPr>
      </w:pPr>
      <w:r>
        <w:rPr>
          <w:rFonts w:cs="Arial" w:ascii="Arial" w:hAnsi="Arial"/>
          <w:b/>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ind w:start="720" w:end="0"/>
        <w:rPr>
          <w:rFonts w:ascii="Arial" w:hAnsi="Arial" w:cs="Arial"/>
          <w:sz w:val="18"/>
        </w:rPr>
      </w:pPr>
      <w:r>
        <w:rPr>
          <w:rFonts w:cs="Arial" w:ascii="Arial" w:hAnsi="Arial"/>
          <w:sz w:val="18"/>
        </w:rPr>
        <w:t>Experienced professional with more than eight yeas of international equity sales, sales trading and management experience in agency brokerage, investment banking and hi-tech startups.</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BodyText3"/>
        <w:rPr>
          <w:b/>
          <w:bCs/>
          <w:sz w:val="18"/>
        </w:rPr>
      </w:pPr>
      <w:r>
        <w:rPr>
          <w:b/>
          <w:bCs/>
          <w:sz w:val="18"/>
        </w:rPr>
        <w:t>PROFILE OF SKILLS</w:t>
      </w:r>
    </w:p>
    <w:p>
      <w:pPr>
        <w:pStyle w:val="Normal"/>
        <w:rPr>
          <w:rFonts w:ascii="Arial" w:hAnsi="Arial" w:cs="Arial"/>
          <w:b/>
          <w:bCs/>
          <w:sz w:val="18"/>
        </w:rPr>
      </w:pPr>
      <w:r>
        <w:rPr>
          <w:rFonts w:cs="Arial" w:ascii="Arial" w:hAnsi="Arial"/>
          <w:b/>
          <w:bCs/>
          <w:sz w:val="18"/>
        </w:rPr>
      </w:r>
    </w:p>
    <w:p>
      <w:pPr>
        <w:pStyle w:val="Normal"/>
        <w:rPr>
          <w:rFonts w:ascii="Arial" w:hAnsi="Arial" w:cs="Arial"/>
          <w:sz w:val="18"/>
        </w:rPr>
      </w:pPr>
      <w:r>
        <w:rPr>
          <w:rFonts w:cs="Arial" w:ascii="Arial" w:hAnsi="Arial"/>
          <w:sz w:val="18"/>
        </w:rPr>
      </w:r>
    </w:p>
    <w:p>
      <w:pPr>
        <w:pStyle w:val="Normal"/>
        <w:ind w:start="720" w:end="0"/>
        <w:rPr>
          <w:rFonts w:ascii="Arial" w:hAnsi="Arial" w:cs="Arial"/>
          <w:sz w:val="18"/>
        </w:rPr>
      </w:pPr>
      <w:r>
        <w:rPr>
          <w:rFonts w:cs="Arial" w:ascii="Arial" w:hAnsi="Arial"/>
          <w:b/>
          <w:bCs/>
          <w:sz w:val="18"/>
        </w:rPr>
        <w:t>Sell Side Investment Banking:</w:t>
      </w:r>
    </w:p>
    <w:p>
      <w:pPr>
        <w:pStyle w:val="Normal"/>
        <w:ind w:start="720" w:end="0"/>
        <w:rPr>
          <w:rFonts w:ascii="Arial" w:hAnsi="Arial" w:cs="Arial"/>
          <w:sz w:val="18"/>
        </w:rPr>
      </w:pPr>
      <w:r>
        <w:rPr>
          <w:rFonts w:cs="Arial" w:ascii="Arial" w:hAnsi="Arial"/>
          <w:sz w:val="18"/>
        </w:rPr>
        <w:t>Research Sales</w:t>
        <w:tab/>
        <w:tab/>
        <w:t>Sales Trading</w:t>
        <w:tab/>
        <w:tab/>
        <w:t>Market Making</w:t>
        <w:tab/>
        <w:tab/>
        <w:t xml:space="preserve">Global Account Management </w:t>
      </w:r>
    </w:p>
    <w:p>
      <w:pPr>
        <w:pStyle w:val="Normal"/>
        <w:ind w:start="720" w:end="0"/>
        <w:rPr>
          <w:rFonts w:ascii="Arial" w:hAnsi="Arial" w:cs="Arial"/>
          <w:sz w:val="18"/>
        </w:rPr>
      </w:pPr>
      <w:r>
        <w:rPr>
          <w:rFonts w:cs="Arial" w:ascii="Arial" w:hAnsi="Arial"/>
          <w:sz w:val="18"/>
        </w:rPr>
        <w:t>P/L Ownership</w:t>
        <w:tab/>
        <w:tab/>
        <w:t>Equity Arbitrage</w:t>
        <w:tab/>
        <w:tab/>
        <w:t>Private Placements</w:t>
        <w:tab/>
        <w:t>Equity Capital Markets</w:t>
      </w:r>
    </w:p>
    <w:p>
      <w:pPr>
        <w:pStyle w:val="Normal"/>
        <w:ind w:start="720" w:end="0"/>
        <w:rPr>
          <w:rFonts w:ascii="Arial" w:hAnsi="Arial" w:cs="Arial"/>
          <w:sz w:val="18"/>
        </w:rPr>
      </w:pPr>
      <w:r>
        <w:rPr>
          <w:rFonts w:cs="Arial" w:ascii="Arial" w:hAnsi="Arial"/>
          <w:sz w:val="18"/>
        </w:rPr>
        <w:t>Corporate Finance</w:t>
        <w:tab/>
        <w:t>Organizing Road Shows</w:t>
        <w:tab/>
        <w:t>Trading System Design</w:t>
        <w:tab/>
        <w:t>Managing Research Teams</w:t>
      </w:r>
    </w:p>
    <w:p>
      <w:pPr>
        <w:pStyle w:val="Normal"/>
        <w:ind w:start="720" w:end="0"/>
        <w:rPr>
          <w:rFonts w:ascii="Arial" w:hAnsi="Arial" w:cs="Arial"/>
          <w:b/>
          <w:bCs/>
          <w:sz w:val="18"/>
        </w:rPr>
      </w:pPr>
      <w:r>
        <w:rPr>
          <w:rFonts w:cs="Arial" w:ascii="Arial" w:hAnsi="Arial"/>
          <w:b/>
          <w:bCs/>
          <w:sz w:val="18"/>
        </w:rPr>
      </w:r>
    </w:p>
    <w:p>
      <w:pPr>
        <w:pStyle w:val="Normal"/>
        <w:ind w:start="720" w:end="0"/>
        <w:rPr>
          <w:rFonts w:ascii="Arial" w:hAnsi="Arial" w:cs="Arial"/>
          <w:b/>
          <w:bCs/>
          <w:sz w:val="18"/>
        </w:rPr>
      </w:pPr>
      <w:r>
        <w:rPr>
          <w:rFonts w:cs="Arial" w:ascii="Arial" w:hAnsi="Arial"/>
          <w:b/>
          <w:bCs/>
          <w:sz w:val="18"/>
        </w:rPr>
        <w:t>Startup Management:</w:t>
      </w:r>
    </w:p>
    <w:p>
      <w:pPr>
        <w:pStyle w:val="Normal"/>
        <w:ind w:start="720" w:end="0"/>
        <w:rPr>
          <w:rFonts w:ascii="Arial" w:hAnsi="Arial" w:cs="Arial"/>
          <w:sz w:val="18"/>
        </w:rPr>
      </w:pPr>
      <w:r>
        <w:rPr>
          <w:rFonts w:cs="Arial" w:ascii="Arial" w:hAnsi="Arial"/>
          <w:sz w:val="18"/>
        </w:rPr>
        <w:t>Financial Modeling</w:t>
        <w:tab/>
        <w:t>Strategic Decision Making</w:t>
        <w:tab/>
        <w:t>Budget planning</w:t>
        <w:tab/>
        <w:tab/>
        <w:t>Cost Reduction</w:t>
      </w:r>
    </w:p>
    <w:p>
      <w:pPr>
        <w:pStyle w:val="Normal"/>
        <w:ind w:start="720" w:end="0"/>
        <w:rPr>
          <w:rFonts w:ascii="Arial" w:hAnsi="Arial" w:cs="Arial"/>
          <w:sz w:val="18"/>
        </w:rPr>
      </w:pPr>
      <w:r>
        <w:rPr>
          <w:rFonts w:cs="Arial" w:ascii="Arial" w:hAnsi="Arial"/>
          <w:sz w:val="18"/>
        </w:rPr>
        <w:t>Change Management</w:t>
        <w:tab/>
        <w:t>Strategic Alliances</w:t>
        <w:tab/>
        <w:t>M&amp;A</w:t>
        <w:tab/>
        <w:tab/>
        <w:tab/>
        <w:t>Team Building &amp; Mentoring</w:t>
      </w:r>
    </w:p>
    <w:p>
      <w:pPr>
        <w:pStyle w:val="Normal"/>
        <w:ind w:start="720" w:end="0"/>
        <w:rPr>
          <w:rFonts w:ascii="Arial" w:hAnsi="Arial" w:cs="Arial"/>
          <w:sz w:val="18"/>
        </w:rPr>
      </w:pPr>
      <w:r>
        <w:rPr>
          <w:rFonts w:cs="Arial" w:ascii="Arial" w:hAnsi="Arial"/>
          <w:sz w:val="18"/>
        </w:rPr>
        <w:t>Due Diligence</w:t>
        <w:tab/>
        <w:tab/>
        <w:t>Deal Making</w:t>
        <w:tab/>
        <w:tab/>
        <w:t>Advanced Analytical Skills</w:t>
      </w:r>
    </w:p>
    <w:p>
      <w:pPr>
        <w:pStyle w:val="BodyText3"/>
        <w:jc w:val="both"/>
        <w:rPr>
          <w:rFonts w:ascii="Arial" w:hAnsi="Arial" w:cs="Arial"/>
          <w:sz w:val="18"/>
        </w:rPr>
      </w:pPr>
      <w:r>
        <w:rPr>
          <w:rFonts w:cs="Arial"/>
          <w:sz w:val="18"/>
        </w:rPr>
      </w:r>
    </w:p>
    <w:p>
      <w:pPr>
        <w:pStyle w:val="BodyText3"/>
        <w:jc w:val="both"/>
        <w:rPr>
          <w:sz w:val="18"/>
        </w:rPr>
      </w:pPr>
      <w:r>
        <w:rPr>
          <w:sz w:val="18"/>
        </w:rPr>
      </w:r>
    </w:p>
    <w:p>
      <w:pPr>
        <w:pStyle w:val="BodyText3"/>
        <w:jc w:val="both"/>
        <w:rPr>
          <w:sz w:val="18"/>
        </w:rPr>
      </w:pPr>
      <w:r>
        <w:rPr>
          <w:b/>
          <w:bCs/>
          <w:sz w:val="18"/>
        </w:rPr>
        <w:t>EXPERIENCE</w:t>
      </w:r>
    </w:p>
    <w:p>
      <w:pPr>
        <w:pStyle w:val="Normal"/>
        <w:jc w:val="both"/>
        <w:rPr>
          <w:rFonts w:ascii="Arial" w:hAnsi="Arial" w:cs="Arial"/>
          <w:b/>
          <w:bCs/>
          <w:sz w:val="18"/>
        </w:rPr>
      </w:pPr>
      <w:r>
        <w:rPr>
          <w:rFonts w:cs="Arial" w:ascii="Arial" w:hAnsi="Arial"/>
          <w:b/>
          <w:bCs/>
          <w:sz w:val="18"/>
        </w:rPr>
      </w:r>
    </w:p>
    <w:p>
      <w:pPr>
        <w:pStyle w:val="Heading5"/>
        <w:ind w:hanging="0" w:start="0"/>
        <w:rPr>
          <w:sz w:val="18"/>
        </w:rPr>
      </w:pPr>
      <w:r>
        <w:rPr>
          <w:sz w:val="18"/>
        </w:rPr>
        <w:t>Investment Banking</w:t>
      </w:r>
    </w:p>
    <w:p>
      <w:pPr>
        <w:pStyle w:val="Normal"/>
        <w:ind w:start="720" w:end="0"/>
        <w:jc w:val="both"/>
        <w:rPr>
          <w:rFonts w:ascii="Arial" w:hAnsi="Arial" w:cs="Arial"/>
          <w:b/>
          <w:bCs/>
          <w:sz w:val="18"/>
        </w:rPr>
      </w:pPr>
      <w:r>
        <w:rPr>
          <w:rFonts w:cs="Arial" w:ascii="Arial" w:hAnsi="Arial"/>
          <w:b/>
          <w:bCs/>
          <w:sz w:val="18"/>
        </w:rPr>
      </w:r>
    </w:p>
    <w:p>
      <w:pPr>
        <w:pStyle w:val="Normal"/>
        <w:ind w:start="720" w:end="0"/>
        <w:jc w:val="both"/>
        <w:rPr>
          <w:rFonts w:ascii="Arial" w:hAnsi="Arial" w:cs="Arial"/>
          <w:b/>
          <w:bCs/>
          <w:sz w:val="18"/>
        </w:rPr>
      </w:pPr>
      <w:r>
        <w:rPr>
          <w:rFonts w:cs="Arial" w:ascii="Arial" w:hAnsi="Arial"/>
          <w:b/>
          <w:bCs/>
          <w:sz w:val="18"/>
        </w:rPr>
      </w:r>
    </w:p>
    <w:p>
      <w:pPr>
        <w:pStyle w:val="Normal"/>
        <w:ind w:firstLine="720" w:end="0"/>
        <w:jc w:val="both"/>
        <w:rPr>
          <w:rFonts w:ascii="Arial" w:hAnsi="Arial" w:cs="Arial"/>
          <w:sz w:val="18"/>
        </w:rPr>
      </w:pPr>
      <w:r>
        <w:rPr>
          <w:rFonts w:cs="Arial" w:ascii="Arial" w:hAnsi="Arial"/>
          <w:sz w:val="18"/>
        </w:rPr>
        <w:t>02/1994 – 12/1994</w:t>
        <w:tab/>
        <w:tab/>
        <w:tab/>
        <w:t>Merrill Lynch</w:t>
      </w:r>
    </w:p>
    <w:p>
      <w:pPr>
        <w:pStyle w:val="Normal"/>
        <w:ind w:firstLine="720" w:end="0"/>
        <w:jc w:val="both"/>
        <w:rPr>
          <w:rFonts w:ascii="Arial" w:hAnsi="Arial" w:cs="Arial"/>
          <w:sz w:val="18"/>
        </w:rPr>
      </w:pPr>
      <w:r>
        <w:rPr>
          <w:rFonts w:cs="Arial" w:ascii="Arial" w:hAnsi="Arial"/>
          <w:sz w:val="18"/>
        </w:rPr>
        <w:tab/>
        <w:tab/>
        <w:tab/>
        <w:tab/>
        <w:tab/>
        <w:t>KASB &amp; Co.</w:t>
      </w:r>
    </w:p>
    <w:p>
      <w:pPr>
        <w:pStyle w:val="Normal"/>
        <w:ind w:firstLine="720" w:end="0"/>
        <w:jc w:val="both"/>
        <w:rPr>
          <w:rFonts w:ascii="Arial" w:hAnsi="Arial" w:cs="Arial"/>
          <w:b/>
          <w:bCs/>
          <w:sz w:val="18"/>
        </w:rPr>
      </w:pPr>
      <w:r>
        <w:rPr>
          <w:rFonts w:cs="Arial" w:ascii="Arial" w:hAnsi="Arial"/>
          <w:b/>
          <w:bCs/>
          <w:sz w:val="18"/>
        </w:rPr>
        <w:t>Corporate Finance Analyst</w:t>
      </w:r>
    </w:p>
    <w:p>
      <w:pPr>
        <w:pStyle w:val="Normal"/>
        <w:ind w:firstLine="720" w:end="0"/>
        <w:jc w:val="both"/>
        <w:rPr>
          <w:rFonts w:ascii="Arial" w:hAnsi="Arial" w:cs="Arial"/>
          <w:b/>
          <w:bCs/>
          <w:sz w:val="18"/>
        </w:rPr>
      </w:pPr>
      <w:r>
        <w:rPr>
          <w:rFonts w:cs="Arial" w:ascii="Arial" w:hAnsi="Arial"/>
          <w:b/>
          <w:bCs/>
          <w:sz w:val="18"/>
        </w:rPr>
      </w:r>
    </w:p>
    <w:p>
      <w:pPr>
        <w:pStyle w:val="Normal"/>
        <w:numPr>
          <w:ilvl w:val="0"/>
          <w:numId w:val="7"/>
        </w:numPr>
        <w:jc w:val="both"/>
        <w:rPr>
          <w:rFonts w:ascii="Arial" w:hAnsi="Arial" w:cs="Arial"/>
          <w:sz w:val="18"/>
        </w:rPr>
      </w:pPr>
      <w:r>
        <w:rPr>
          <w:rFonts w:cs="Arial" w:ascii="Arial" w:hAnsi="Arial"/>
          <w:sz w:val="18"/>
        </w:rPr>
        <w:t xml:space="preserve">Assignment with KASB &amp; Co. (affiliate of ML in Pakistan) to set-up a trading desk and assist on domestic placement of a US$900mn telco privatization. </w:t>
      </w:r>
    </w:p>
    <w:p>
      <w:pPr>
        <w:pStyle w:val="Normal"/>
        <w:ind w:start="720" w:end="0"/>
        <w:jc w:val="both"/>
        <w:rPr>
          <w:rFonts w:ascii="Arial" w:hAnsi="Arial" w:cs="Arial"/>
          <w:sz w:val="18"/>
        </w:rPr>
      </w:pPr>
      <w:r>
        <w:rPr>
          <w:rFonts w:cs="Arial" w:ascii="Arial" w:hAnsi="Arial"/>
          <w:sz w:val="18"/>
        </w:rPr>
      </w:r>
    </w:p>
    <w:p>
      <w:pPr>
        <w:pStyle w:val="Normal"/>
        <w:numPr>
          <w:ilvl w:val="0"/>
          <w:numId w:val="7"/>
        </w:numPr>
        <w:jc w:val="both"/>
        <w:rPr>
          <w:rFonts w:ascii="Arial" w:hAnsi="Arial" w:cs="Arial"/>
          <w:sz w:val="18"/>
        </w:rPr>
      </w:pPr>
      <w:r>
        <w:rPr>
          <w:rFonts w:cs="Arial" w:ascii="Arial" w:hAnsi="Arial"/>
          <w:sz w:val="18"/>
        </w:rPr>
        <w:t>Responsible for setting-up and managing road shows and company visits with in-house research analysts and client fund managers.</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ind w:start="720" w:end="0"/>
        <w:jc w:val="both"/>
        <w:rPr/>
      </w:pPr>
      <w:r>
        <w:rPr>
          <w:rFonts w:cs="Arial" w:ascii="Arial" w:hAnsi="Arial"/>
          <w:sz w:val="18"/>
        </w:rPr>
        <w:t>12/1994 – 1/1998</w:t>
        <w:tab/>
        <w:tab/>
        <w:tab/>
        <w:tab/>
      </w:r>
      <w:r>
        <w:rPr>
          <w:rStyle w:val="vert3"/>
          <w:rFonts w:cs="Arial" w:ascii="Arial" w:hAnsi="Arial"/>
          <w:sz w:val="18"/>
        </w:rPr>
        <w:t>Crédit Agricole Indosuez Group</w:t>
      </w:r>
      <w:r>
        <w:rPr>
          <w:rFonts w:cs="Arial" w:ascii="Arial" w:hAnsi="Arial"/>
          <w:sz w:val="18"/>
        </w:rPr>
        <w:tab/>
        <w:tab/>
        <w:tab/>
        <w:tab/>
        <w:t>Hong Kong</w:t>
      </w:r>
    </w:p>
    <w:p>
      <w:pPr>
        <w:pStyle w:val="Normal"/>
        <w:ind w:start="720" w:end="0"/>
        <w:jc w:val="both"/>
        <w:rPr>
          <w:rFonts w:ascii="Arial" w:hAnsi="Arial" w:cs="Arial"/>
          <w:sz w:val="18"/>
        </w:rPr>
      </w:pPr>
      <w:r>
        <w:rPr>
          <w:rFonts w:cs="Arial" w:ascii="Arial" w:hAnsi="Arial"/>
          <w:sz w:val="18"/>
        </w:rPr>
        <w:tab/>
        <w:tab/>
        <w:tab/>
        <w:tab/>
        <w:tab/>
        <w:t>Indosuez W.I.Carr Securities FE Limited</w:t>
      </w:r>
    </w:p>
    <w:p>
      <w:pPr>
        <w:pStyle w:val="Heading6"/>
        <w:ind w:hanging="0" w:start="720" w:end="0"/>
        <w:rPr>
          <w:b/>
          <w:bCs/>
          <w:i w:val="false"/>
          <w:i w:val="false"/>
          <w:iCs w:val="false"/>
          <w:sz w:val="18"/>
        </w:rPr>
      </w:pPr>
      <w:r>
        <w:rPr>
          <w:b/>
          <w:bCs/>
          <w:i w:val="false"/>
          <w:iCs w:val="false"/>
          <w:sz w:val="18"/>
        </w:rPr>
        <w:t>Institutional Sales &amp; Trading, Asian equities</w:t>
      </w:r>
    </w:p>
    <w:p>
      <w:pPr>
        <w:pStyle w:val="Normal"/>
        <w:ind w:start="720" w:end="0"/>
        <w:jc w:val="both"/>
        <w:rPr>
          <w:rFonts w:ascii="Arial" w:hAnsi="Arial" w:cs="Arial"/>
          <w:b/>
          <w:bCs/>
          <w:i/>
          <w:i/>
          <w:iCs/>
          <w:sz w:val="18"/>
        </w:rPr>
      </w:pPr>
      <w:r>
        <w:rPr>
          <w:rFonts w:cs="Arial" w:ascii="Arial" w:hAnsi="Arial"/>
          <w:b/>
          <w:bCs/>
          <w:i/>
          <w:iCs/>
          <w:sz w:val="18"/>
        </w:rPr>
      </w:r>
    </w:p>
    <w:p>
      <w:pPr>
        <w:pStyle w:val="BodyTextIndent"/>
        <w:numPr>
          <w:ilvl w:val="0"/>
          <w:numId w:val="4"/>
        </w:numPr>
        <w:rPr>
          <w:sz w:val="18"/>
        </w:rPr>
      </w:pPr>
      <w:r>
        <w:rPr>
          <w:sz w:val="18"/>
        </w:rPr>
        <w:t>Sold Asian listed, private and structured equities to institutional investors in the United States, United Kingdom, Germany, Switzerland, Bahamas, Hong Kong, Singapore, Japan, Australia, the Middle East, and South Asia.</w:t>
      </w:r>
    </w:p>
    <w:p>
      <w:pPr>
        <w:pStyle w:val="Normal"/>
        <w:ind w:start="720" w:end="0"/>
        <w:jc w:val="both"/>
        <w:rPr>
          <w:rFonts w:ascii="Arial" w:hAnsi="Arial" w:cs="Arial"/>
          <w:sz w:val="18"/>
        </w:rPr>
      </w:pPr>
      <w:r>
        <w:rPr>
          <w:rFonts w:cs="Arial" w:ascii="Arial" w:hAnsi="Arial"/>
          <w:sz w:val="18"/>
        </w:rPr>
      </w:r>
    </w:p>
    <w:p>
      <w:pPr>
        <w:pStyle w:val="Normal"/>
        <w:numPr>
          <w:ilvl w:val="0"/>
          <w:numId w:val="4"/>
        </w:numPr>
        <w:jc w:val="both"/>
        <w:rPr>
          <w:rFonts w:ascii="Arial" w:hAnsi="Arial" w:cs="Arial"/>
          <w:sz w:val="18"/>
        </w:rPr>
      </w:pPr>
      <w:r>
        <w:rPr>
          <w:rFonts w:cs="Arial" w:ascii="Arial" w:hAnsi="Arial"/>
          <w:sz w:val="18"/>
        </w:rPr>
        <w:t xml:space="preserve">Initiated sales relationships with Barclays Global Investors, </w:t>
      </w:r>
      <w:r>
        <w:rPr>
          <w:rFonts w:cs="Arial" w:ascii="Arial" w:hAnsi="Arial"/>
          <w:color w:val="000000"/>
          <w:sz w:val="18"/>
          <w:szCs w:val="15"/>
        </w:rPr>
        <w:t>Société Générale</w:t>
      </w:r>
      <w:r>
        <w:rPr>
          <w:rFonts w:cs="Arial" w:ascii="Arial" w:hAnsi="Arial"/>
          <w:sz w:val="18"/>
        </w:rPr>
        <w:t xml:space="preserve"> Asset Management, UBS Brinson, Morgan Grenfell Asset Management on a company wide basis. Other tier 1 clients were LGT Asset Management, Fidelity Investments and Kleinwort Benson Investment Management. Direct commission revenues (in addition to trading profits) for FY97 &amp; 96 were US$3mn and US$ 2.5mn respectively. </w:t>
      </w:r>
    </w:p>
    <w:p>
      <w:pPr>
        <w:pStyle w:val="Normal"/>
        <w:ind w:start="720" w:end="0"/>
        <w:jc w:val="both"/>
        <w:rPr>
          <w:rFonts w:ascii="Arial" w:hAnsi="Arial" w:cs="Arial"/>
          <w:sz w:val="18"/>
        </w:rPr>
      </w:pPr>
      <w:r>
        <w:rPr>
          <w:rFonts w:cs="Arial" w:ascii="Arial" w:hAnsi="Arial"/>
          <w:sz w:val="18"/>
        </w:rPr>
      </w:r>
    </w:p>
    <w:p>
      <w:pPr>
        <w:pStyle w:val="Normal"/>
        <w:numPr>
          <w:ilvl w:val="0"/>
          <w:numId w:val="4"/>
        </w:numPr>
        <w:jc w:val="both"/>
        <w:rPr>
          <w:rFonts w:ascii="Arial" w:hAnsi="Arial" w:cs="Arial"/>
          <w:sz w:val="18"/>
        </w:rPr>
      </w:pPr>
      <w:r>
        <w:rPr>
          <w:rFonts w:cs="Arial" w:ascii="Arial" w:hAnsi="Arial"/>
          <w:sz w:val="18"/>
        </w:rPr>
        <w:t>Initiated the first Global Depository Receipt / underlying asset arbitrage book for Indosuez Capital, the proprietary trading arm, and sold it to hedge funds. In FY96, the book appreciated by 240%.</w:t>
      </w:r>
    </w:p>
    <w:p>
      <w:pPr>
        <w:pStyle w:val="Normal"/>
        <w:jc w:val="both"/>
        <w:rPr>
          <w:rFonts w:ascii="Arial" w:hAnsi="Arial" w:cs="Arial"/>
          <w:sz w:val="18"/>
        </w:rPr>
      </w:pPr>
      <w:r>
        <w:rPr>
          <w:rFonts w:cs="Arial" w:ascii="Arial" w:hAnsi="Arial"/>
          <w:sz w:val="18"/>
        </w:rPr>
      </w:r>
    </w:p>
    <w:p>
      <w:pPr>
        <w:pStyle w:val="Normal"/>
        <w:numPr>
          <w:ilvl w:val="0"/>
          <w:numId w:val="4"/>
        </w:numPr>
        <w:jc w:val="both"/>
        <w:rPr>
          <w:rFonts w:ascii="Arial" w:hAnsi="Arial" w:cs="Arial"/>
          <w:sz w:val="18"/>
        </w:rPr>
      </w:pPr>
      <w:r>
        <w:rPr>
          <w:rFonts w:cs="Arial" w:ascii="Arial" w:hAnsi="Arial"/>
          <w:sz w:val="18"/>
        </w:rPr>
        <w:t>Worked with structured equity team to create ‘Participation Note’ style structures for institutional investors, enabling investment in block or hard to find /invest equity.</w:t>
      </w:r>
    </w:p>
    <w:p>
      <w:pPr>
        <w:pStyle w:val="BodyTextIndent"/>
        <w:rPr>
          <w:rFonts w:ascii="Arial" w:hAnsi="Arial" w:cs="Arial"/>
          <w:sz w:val="18"/>
        </w:rPr>
      </w:pPr>
      <w:r>
        <w:rPr>
          <w:rFonts w:cs="Arial"/>
          <w:sz w:val="18"/>
        </w:rPr>
      </w:r>
    </w:p>
    <w:p>
      <w:pPr>
        <w:pStyle w:val="BodyTextIndent"/>
        <w:numPr>
          <w:ilvl w:val="0"/>
          <w:numId w:val="4"/>
        </w:numPr>
        <w:rPr>
          <w:sz w:val="18"/>
        </w:rPr>
      </w:pPr>
      <w:r>
        <w:rPr>
          <w:sz w:val="18"/>
        </w:rPr>
        <w:t>Worked with the investment bank’s business development arm in accessing newer/emergent markets and special situations by developing back office for securities there, creating deal flows for investors and liaison with the privatization function of local governments.</w:t>
      </w:r>
    </w:p>
    <w:p>
      <w:pPr>
        <w:pStyle w:val="Normal"/>
        <w:ind w:start="720" w:end="0"/>
        <w:jc w:val="both"/>
        <w:rPr>
          <w:rFonts w:ascii="Arial" w:hAnsi="Arial" w:cs="Arial"/>
          <w:sz w:val="18"/>
        </w:rPr>
      </w:pPr>
      <w:r>
        <w:rPr>
          <w:rFonts w:cs="Arial" w:ascii="Arial" w:hAnsi="Arial"/>
          <w:sz w:val="18"/>
        </w:rPr>
      </w:r>
    </w:p>
    <w:p>
      <w:pPr>
        <w:pStyle w:val="Normal"/>
        <w:numPr>
          <w:ilvl w:val="0"/>
          <w:numId w:val="4"/>
        </w:numPr>
        <w:jc w:val="both"/>
        <w:rPr>
          <w:rFonts w:ascii="Arial" w:hAnsi="Arial" w:cs="Arial"/>
          <w:sz w:val="18"/>
        </w:rPr>
      </w:pPr>
      <w:r>
        <w:rPr>
          <w:rFonts w:cs="Arial" w:ascii="Arial" w:hAnsi="Arial"/>
          <w:sz w:val="18"/>
        </w:rPr>
        <w:t>Institutional Investor &amp; Euromoney ranked the sales &amp; research team in my markets within top 5 in Asia for all of 1994-1998.</w:t>
      </w:r>
    </w:p>
    <w:p>
      <w:pPr>
        <w:pStyle w:val="Normal"/>
        <w:jc w:val="both"/>
        <w:rPr>
          <w:rFonts w:ascii="Arial" w:hAnsi="Arial" w:cs="Arial"/>
          <w:sz w:val="18"/>
        </w:rPr>
      </w:pPr>
      <w:r>
        <w:rPr>
          <w:rFonts w:cs="Arial" w:ascii="Arial" w:hAnsi="Arial"/>
          <w:sz w:val="18"/>
        </w:rPr>
      </w:r>
      <w:r>
        <w:br w:type="page"/>
      </w:r>
    </w:p>
    <w:p>
      <w:pPr>
        <w:pStyle w:val="Normal"/>
        <w:jc w:val="both"/>
        <w:rPr>
          <w:rFonts w:ascii="Arial" w:hAnsi="Arial" w:cs="Arial"/>
          <w:sz w:val="18"/>
        </w:rPr>
      </w:pPr>
      <w:r>
        <w:rPr>
          <w:rFonts w:cs="Arial" w:ascii="Arial" w:hAnsi="Arial"/>
          <w:sz w:val="18"/>
        </w:rPr>
      </w:r>
    </w:p>
    <w:p>
      <w:pPr>
        <w:pStyle w:val="Normal"/>
        <w:ind w:start="720" w:end="0"/>
        <w:jc w:val="both"/>
        <w:rPr/>
      </w:pPr>
      <w:r>
        <w:rPr>
          <w:rFonts w:cs="Arial" w:ascii="Arial" w:hAnsi="Arial"/>
          <w:sz w:val="18"/>
        </w:rPr>
        <w:t>2/1998 – 12/1998</w:t>
        <w:tab/>
        <w:tab/>
        <w:tab/>
        <w:tab/>
      </w:r>
      <w:r>
        <w:rPr>
          <w:rFonts w:cs="Arial" w:ascii="Arial" w:hAnsi="Arial"/>
          <w:color w:val="000000"/>
          <w:sz w:val="18"/>
          <w:szCs w:val="15"/>
        </w:rPr>
        <w:t>Société Générale,</w:t>
        <w:tab/>
        <w:tab/>
        <w:tab/>
        <w:tab/>
        <w:tab/>
        <w:t>Singapore</w:t>
      </w:r>
    </w:p>
    <w:p>
      <w:pPr>
        <w:pStyle w:val="Normal"/>
        <w:ind w:start="720" w:end="0"/>
        <w:jc w:val="both"/>
        <w:rPr/>
      </w:pPr>
      <w:r>
        <w:rPr>
          <w:rFonts w:cs="Arial" w:ascii="Arial" w:hAnsi="Arial"/>
          <w:color w:val="000000"/>
          <w:sz w:val="18"/>
          <w:szCs w:val="15"/>
        </w:rPr>
        <w:tab/>
        <w:tab/>
        <w:tab/>
        <w:tab/>
        <w:tab/>
      </w:r>
      <w:r>
        <w:rPr>
          <w:rFonts w:cs="Arial" w:ascii="Arial" w:hAnsi="Arial"/>
          <w:sz w:val="18"/>
        </w:rPr>
        <w:t>SG Securities Asia</w:t>
      </w:r>
    </w:p>
    <w:p>
      <w:pPr>
        <w:pStyle w:val="Heading7"/>
        <w:ind w:hanging="0" w:end="0"/>
        <w:rPr>
          <w:b/>
          <w:bCs/>
          <w:i w:val="false"/>
          <w:i w:val="false"/>
          <w:iCs w:val="false"/>
          <w:sz w:val="18"/>
        </w:rPr>
      </w:pPr>
      <w:r>
        <w:rPr>
          <w:b/>
          <w:bCs/>
          <w:i w:val="false"/>
          <w:iCs w:val="false"/>
          <w:sz w:val="18"/>
        </w:rPr>
        <w:t>Institutional Sales, Global Emerging Markets, Asian Equity Specialist</w:t>
      </w:r>
    </w:p>
    <w:p>
      <w:pPr>
        <w:pStyle w:val="Normal"/>
        <w:ind w:start="720" w:end="0"/>
        <w:jc w:val="both"/>
        <w:rPr>
          <w:rFonts w:ascii="Arial" w:hAnsi="Arial" w:cs="Arial"/>
          <w:b/>
          <w:bCs/>
          <w:i/>
          <w:i/>
          <w:iCs/>
          <w:sz w:val="18"/>
        </w:rPr>
      </w:pPr>
      <w:r>
        <w:rPr>
          <w:rFonts w:cs="Arial" w:ascii="Arial" w:hAnsi="Arial"/>
          <w:b/>
          <w:bCs/>
          <w:i/>
          <w:iCs/>
          <w:sz w:val="18"/>
        </w:rPr>
      </w:r>
    </w:p>
    <w:p>
      <w:pPr>
        <w:pStyle w:val="BodyText2"/>
        <w:numPr>
          <w:ilvl w:val="0"/>
          <w:numId w:val="6"/>
        </w:numPr>
        <w:rPr>
          <w:rFonts w:ascii="Arial" w:hAnsi="Arial" w:cs="Arial"/>
          <w:sz w:val="18"/>
          <w:szCs w:val="24"/>
        </w:rPr>
      </w:pPr>
      <w:r>
        <w:rPr>
          <w:rFonts w:cs="Arial" w:ascii="Arial" w:hAnsi="Arial"/>
          <w:sz w:val="18"/>
          <w:szCs w:val="24"/>
        </w:rPr>
        <w:t>Sold &amp; traded global equities to institutional investors in the United States, Japan, Hong Kong, Singapore, Australia, the Middle East and South Asia.  Tier 1 clients included Morgan Stanley Asset Management, Fidelity Investments, UBS Brinson, Morgan Grenfell Asset Management, Bankers Trust Asset Management, Regent Pacific Group, Templeton Investments and Capital Research. Generated US$2mn in commission revenues in FY98.</w:t>
      </w:r>
    </w:p>
    <w:p>
      <w:pPr>
        <w:pStyle w:val="Normal"/>
        <w:numPr>
          <w:ilvl w:val="0"/>
          <w:numId w:val="6"/>
        </w:numPr>
        <w:jc w:val="both"/>
        <w:rPr>
          <w:rFonts w:ascii="Arial" w:hAnsi="Arial" w:cs="Arial"/>
          <w:sz w:val="18"/>
        </w:rPr>
      </w:pPr>
      <w:r>
        <w:rPr>
          <w:rFonts w:cs="Arial" w:ascii="Arial" w:hAnsi="Arial"/>
          <w:sz w:val="18"/>
        </w:rPr>
        <w:t>Managed the above account relationships to market equity capital market placements, corporate finance and research from the Asian equity research team. Co-managed four emerging market products in Asia.</w:t>
      </w:r>
    </w:p>
    <w:p>
      <w:pPr>
        <w:pStyle w:val="Normal"/>
        <w:ind w:start="720" w:end="0"/>
        <w:jc w:val="both"/>
        <w:rPr>
          <w:rFonts w:ascii="Arial" w:hAnsi="Arial" w:cs="Arial"/>
          <w:sz w:val="18"/>
        </w:rPr>
      </w:pPr>
      <w:r>
        <w:rPr>
          <w:rFonts w:cs="Arial" w:ascii="Arial" w:hAnsi="Arial"/>
          <w:sz w:val="18"/>
        </w:rPr>
      </w:r>
    </w:p>
    <w:p>
      <w:pPr>
        <w:pStyle w:val="Normal"/>
        <w:numPr>
          <w:ilvl w:val="0"/>
          <w:numId w:val="6"/>
        </w:numPr>
        <w:jc w:val="both"/>
        <w:rPr>
          <w:rFonts w:ascii="Arial" w:hAnsi="Arial" w:cs="Arial"/>
          <w:sz w:val="18"/>
        </w:rPr>
      </w:pPr>
      <w:r>
        <w:rPr>
          <w:rFonts w:cs="Arial" w:ascii="Arial" w:hAnsi="Arial"/>
          <w:sz w:val="18"/>
        </w:rPr>
        <w:t>Part responsibility for the GDR book P&amp;L. Traded the book in Asia time to create liquidity for institutional clients.</w:t>
      </w:r>
    </w:p>
    <w:p>
      <w:pPr>
        <w:pStyle w:val="Normal"/>
        <w:jc w:val="both"/>
        <w:rPr>
          <w:rFonts w:ascii="Arial" w:hAnsi="Arial" w:cs="Arial"/>
          <w:sz w:val="18"/>
        </w:rPr>
      </w:pPr>
      <w:r>
        <w:rPr>
          <w:rFonts w:cs="Arial" w:ascii="Arial" w:hAnsi="Arial"/>
          <w:sz w:val="18"/>
        </w:rPr>
      </w:r>
    </w:p>
    <w:p>
      <w:pPr>
        <w:pStyle w:val="Normal"/>
        <w:numPr>
          <w:ilvl w:val="0"/>
          <w:numId w:val="6"/>
        </w:numPr>
        <w:jc w:val="both"/>
        <w:rPr>
          <w:rFonts w:ascii="Arial" w:hAnsi="Arial" w:cs="Arial"/>
          <w:sz w:val="18"/>
        </w:rPr>
      </w:pPr>
      <w:r>
        <w:rPr>
          <w:rFonts w:cs="Arial" w:ascii="Arial" w:hAnsi="Arial"/>
          <w:sz w:val="18"/>
        </w:rPr>
        <w:t>Risk management of GDR P/L book by hedging positions in Asian markets, enabling a larger book with less risk.</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Heading5"/>
        <w:ind w:hanging="0" w:start="0"/>
        <w:rPr>
          <w:sz w:val="18"/>
        </w:rPr>
      </w:pPr>
      <w:r>
        <w:rPr>
          <w:sz w:val="18"/>
        </w:rPr>
        <w:t>Management and Technology Projects</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ind w:start="720" w:end="0"/>
        <w:jc w:val="both"/>
        <w:rPr>
          <w:rFonts w:ascii="Arial" w:hAnsi="Arial" w:cs="Arial"/>
          <w:sz w:val="18"/>
        </w:rPr>
      </w:pPr>
      <w:r>
        <w:rPr>
          <w:rFonts w:cs="Arial" w:ascii="Arial" w:hAnsi="Arial"/>
          <w:sz w:val="18"/>
        </w:rPr>
        <w:t>4/1999 – 11/2000</w:t>
        <w:tab/>
        <w:tab/>
        <w:tab/>
        <w:tab/>
        <w:t>Orientation Global Network International</w:t>
        <w:tab/>
        <w:tab/>
        <w:tab/>
        <w:t>New York</w:t>
      </w:r>
    </w:p>
    <w:p>
      <w:pPr>
        <w:pStyle w:val="Heading8"/>
        <w:ind w:start="720" w:end="0"/>
        <w:rPr>
          <w:b/>
          <w:bCs/>
          <w:i w:val="false"/>
          <w:i w:val="false"/>
          <w:iCs w:val="false"/>
          <w:sz w:val="18"/>
        </w:rPr>
      </w:pPr>
      <w:r>
        <w:rPr>
          <w:b/>
          <w:bCs/>
          <w:i w:val="false"/>
          <w:iCs w:val="false"/>
          <w:sz w:val="18"/>
        </w:rPr>
        <w:t>Director, Business Development</w:t>
      </w:r>
    </w:p>
    <w:p>
      <w:pPr>
        <w:pStyle w:val="Normal"/>
        <w:ind w:start="720" w:end="0"/>
        <w:jc w:val="both"/>
        <w:rPr>
          <w:rFonts w:ascii="Arial" w:hAnsi="Arial" w:cs="Arial"/>
          <w:b/>
          <w:bCs/>
          <w:i/>
          <w:i/>
          <w:iCs/>
          <w:sz w:val="18"/>
        </w:rPr>
      </w:pPr>
      <w:r>
        <w:rPr>
          <w:rFonts w:cs="Arial" w:ascii="Arial" w:hAnsi="Arial"/>
          <w:b/>
          <w:bCs/>
          <w:i/>
          <w:iCs/>
          <w:sz w:val="18"/>
        </w:rPr>
      </w:r>
    </w:p>
    <w:p>
      <w:pPr>
        <w:pStyle w:val="Normal"/>
        <w:numPr>
          <w:ilvl w:val="0"/>
          <w:numId w:val="5"/>
        </w:numPr>
        <w:jc w:val="both"/>
        <w:rPr>
          <w:rFonts w:ascii="Arial" w:hAnsi="Arial" w:cs="Arial"/>
          <w:sz w:val="18"/>
        </w:rPr>
      </w:pPr>
      <w:r>
        <w:rPr>
          <w:rFonts w:cs="Arial" w:ascii="Arial" w:hAnsi="Arial"/>
          <w:sz w:val="18"/>
        </w:rPr>
        <w:t>Built a global network of 192 portals in 46 Asian and European markets through deals with indigenous Internet and media service providers.</w:t>
      </w:r>
    </w:p>
    <w:p>
      <w:pPr>
        <w:pStyle w:val="Normal"/>
        <w:ind w:start="720" w:end="0"/>
        <w:jc w:val="both"/>
        <w:rPr>
          <w:rFonts w:ascii="Arial" w:hAnsi="Arial" w:cs="Arial"/>
          <w:sz w:val="18"/>
        </w:rPr>
      </w:pPr>
      <w:r>
        <w:rPr>
          <w:rFonts w:cs="Arial" w:ascii="Arial" w:hAnsi="Arial"/>
          <w:sz w:val="18"/>
        </w:rPr>
      </w:r>
    </w:p>
    <w:p>
      <w:pPr>
        <w:pStyle w:val="Normal"/>
        <w:numPr>
          <w:ilvl w:val="0"/>
          <w:numId w:val="5"/>
        </w:numPr>
        <w:jc w:val="both"/>
        <w:rPr>
          <w:rFonts w:ascii="Arial" w:hAnsi="Arial" w:cs="Arial"/>
          <w:sz w:val="18"/>
        </w:rPr>
      </w:pPr>
      <w:r>
        <w:rPr>
          <w:rFonts w:cs="Arial" w:ascii="Arial" w:hAnsi="Arial"/>
          <w:sz w:val="18"/>
        </w:rPr>
        <w:t>Initiated strategic relationships with key telecommunication players including Telenor (Norwegian Telecom), Sonera (Finnish Telecom) and Startec. Originated Orientation’s possible acquisition with Telenor and closed first round negotiations.</w:t>
      </w:r>
    </w:p>
    <w:p>
      <w:pPr>
        <w:pStyle w:val="Normal"/>
        <w:ind w:start="720" w:end="0"/>
        <w:jc w:val="both"/>
        <w:rPr>
          <w:rFonts w:ascii="Arial" w:hAnsi="Arial" w:cs="Arial"/>
          <w:sz w:val="18"/>
        </w:rPr>
      </w:pPr>
      <w:r>
        <w:rPr>
          <w:rFonts w:cs="Arial" w:ascii="Arial" w:hAnsi="Arial"/>
          <w:sz w:val="18"/>
        </w:rPr>
      </w:r>
    </w:p>
    <w:p>
      <w:pPr>
        <w:pStyle w:val="Normal"/>
        <w:numPr>
          <w:ilvl w:val="0"/>
          <w:numId w:val="5"/>
        </w:numPr>
        <w:jc w:val="both"/>
        <w:rPr>
          <w:rFonts w:ascii="Arial" w:hAnsi="Arial" w:cs="Arial"/>
          <w:sz w:val="18"/>
        </w:rPr>
      </w:pPr>
      <w:r>
        <w:rPr>
          <w:rFonts w:cs="Arial" w:ascii="Arial" w:hAnsi="Arial"/>
          <w:sz w:val="18"/>
        </w:rPr>
        <w:t>Co-structured over 70 local financial, trade and commercial content deals and 24 technology alliance agreements with media and technology (BBC World, Global Sources, PSINet, The Economist) players in Europe, Asia, Africa, Latin America and the Caribbean.</w:t>
      </w:r>
    </w:p>
    <w:p>
      <w:pPr>
        <w:pStyle w:val="Normal"/>
        <w:jc w:val="both"/>
        <w:rPr>
          <w:rFonts w:ascii="Arial" w:hAnsi="Arial" w:cs="Arial"/>
          <w:sz w:val="18"/>
        </w:rPr>
      </w:pPr>
      <w:r>
        <w:rPr>
          <w:rFonts w:cs="Arial" w:ascii="Arial" w:hAnsi="Arial"/>
          <w:sz w:val="18"/>
        </w:rPr>
      </w:r>
    </w:p>
    <w:p>
      <w:pPr>
        <w:pStyle w:val="Normal"/>
        <w:numPr>
          <w:ilvl w:val="0"/>
          <w:numId w:val="5"/>
        </w:numPr>
        <w:jc w:val="both"/>
        <w:rPr>
          <w:rFonts w:ascii="Arial" w:hAnsi="Arial" w:cs="Arial"/>
          <w:b/>
          <w:bCs/>
          <w:sz w:val="18"/>
        </w:rPr>
      </w:pPr>
      <w:r>
        <w:rPr>
          <w:rFonts w:cs="Arial" w:ascii="Arial" w:hAnsi="Arial"/>
          <w:sz w:val="18"/>
        </w:rPr>
        <w:t>Reduced operating costs “burn rate” from $900k per month to $250k, by moving development offshore, cutting marketing &amp; advertising budgets and streamlining teams. Product launches increased from an average of 3 per month to 5 per month.</w:t>
      </w:r>
    </w:p>
    <w:p>
      <w:pPr>
        <w:pStyle w:val="Normal"/>
        <w:jc w:val="both"/>
        <w:rPr>
          <w:rFonts w:ascii="Arial" w:hAnsi="Arial" w:cs="Arial"/>
          <w:b/>
          <w:bCs/>
          <w:sz w:val="18"/>
        </w:rPr>
      </w:pPr>
      <w:r>
        <w:rPr>
          <w:rFonts w:cs="Arial" w:ascii="Arial" w:hAnsi="Arial"/>
          <w:b/>
          <w:bCs/>
          <w:sz w:val="18"/>
        </w:rPr>
      </w:r>
    </w:p>
    <w:p>
      <w:pPr>
        <w:pStyle w:val="Normal"/>
        <w:jc w:val="both"/>
        <w:rPr>
          <w:rFonts w:ascii="Arial" w:hAnsi="Arial" w:cs="Arial"/>
          <w:sz w:val="18"/>
        </w:rPr>
      </w:pPr>
      <w:r>
        <w:rPr>
          <w:rFonts w:cs="Arial" w:ascii="Arial" w:hAnsi="Arial"/>
          <w:sz w:val="18"/>
        </w:rPr>
      </w:r>
    </w:p>
    <w:p>
      <w:pPr>
        <w:pStyle w:val="Normal"/>
        <w:ind w:start="720" w:end="0"/>
        <w:jc w:val="both"/>
        <w:rPr>
          <w:rFonts w:ascii="Arial" w:hAnsi="Arial" w:cs="Arial"/>
          <w:sz w:val="18"/>
        </w:rPr>
      </w:pPr>
      <w:r>
        <w:rPr>
          <w:rFonts w:cs="Arial" w:ascii="Arial" w:hAnsi="Arial"/>
          <w:sz w:val="18"/>
        </w:rPr>
        <w:t>11/2000 – Present</w:t>
        <w:tab/>
        <w:tab/>
        <w:tab/>
        <w:t>Microband, Inc.</w:t>
        <w:tab/>
        <w:tab/>
        <w:tab/>
        <w:tab/>
        <w:tab/>
        <w:tab/>
        <w:t>New York</w:t>
      </w:r>
    </w:p>
    <w:p>
      <w:pPr>
        <w:pStyle w:val="Heading9"/>
        <w:rPr>
          <w:sz w:val="18"/>
        </w:rPr>
      </w:pPr>
      <w:r>
        <w:rPr>
          <w:sz w:val="18"/>
        </w:rPr>
        <w:t>Vice President, Strategic Business Development</w:t>
      </w:r>
    </w:p>
    <w:p>
      <w:pPr>
        <w:pStyle w:val="Normal"/>
        <w:ind w:start="720" w:end="0"/>
        <w:jc w:val="both"/>
        <w:rPr>
          <w:rFonts w:ascii="Arial" w:hAnsi="Arial" w:cs="Arial"/>
          <w:sz w:val="18"/>
        </w:rPr>
      </w:pPr>
      <w:r>
        <w:rPr>
          <w:rFonts w:cs="Arial" w:ascii="Arial" w:hAnsi="Arial"/>
          <w:sz w:val="18"/>
        </w:rPr>
      </w:r>
    </w:p>
    <w:p>
      <w:pPr>
        <w:pStyle w:val="BodyTextIndent2"/>
        <w:numPr>
          <w:ilvl w:val="0"/>
          <w:numId w:val="3"/>
        </w:numPr>
        <w:rPr/>
      </w:pPr>
      <w:r>
        <w:rPr/>
        <w:t>Build and manage relationships with investors and bankers to seek institutional &amp; angel funding for corporate projects. Responsible for due diligence, pitch books, investor presentations and term sheets.</w:t>
      </w:r>
    </w:p>
    <w:p>
      <w:pPr>
        <w:pStyle w:val="BodyTextIndent2"/>
        <w:ind w:start="0" w:end="0"/>
        <w:rPr/>
      </w:pPr>
      <w:r>
        <w:rPr/>
      </w:r>
    </w:p>
    <w:p>
      <w:pPr>
        <w:pStyle w:val="BodyText2"/>
        <w:numPr>
          <w:ilvl w:val="0"/>
          <w:numId w:val="3"/>
        </w:numPr>
        <w:rPr>
          <w:rFonts w:ascii="Arial" w:hAnsi="Arial" w:cs="Arial"/>
          <w:sz w:val="18"/>
          <w:szCs w:val="24"/>
        </w:rPr>
      </w:pPr>
      <w:r>
        <w:rPr>
          <w:rFonts w:cs="Arial" w:ascii="Arial" w:hAnsi="Arial"/>
          <w:sz w:val="18"/>
          <w:szCs w:val="24"/>
        </w:rPr>
        <w:t>Presently negotiating agreement with the New York City government &amp; agencies to grant Microband the first approval for launching wireless / GPS connectivity in taxicabs through a proprietary wireless technology platform for passenger telematics in public transportation.</w:t>
      </w:r>
    </w:p>
    <w:p>
      <w:pPr>
        <w:pStyle w:val="BodyText2"/>
        <w:rPr>
          <w:rFonts w:ascii="Arial" w:hAnsi="Arial" w:cs="Arial"/>
          <w:sz w:val="18"/>
          <w:szCs w:val="24"/>
        </w:rPr>
      </w:pPr>
      <w:r>
        <w:rPr>
          <w:rFonts w:cs="Arial" w:ascii="Arial" w:hAnsi="Arial"/>
          <w:sz w:val="18"/>
          <w:szCs w:val="24"/>
        </w:rPr>
      </w:r>
    </w:p>
    <w:p>
      <w:pPr>
        <w:pStyle w:val="BodyTextIndent2"/>
        <w:numPr>
          <w:ilvl w:val="0"/>
          <w:numId w:val="3"/>
        </w:numPr>
        <w:rPr/>
      </w:pPr>
      <w:r>
        <w:rPr/>
        <w:t>Identified and closed financial and premier entertainment content, commerce and technology alliances with more than 20 companies (First Data Corp, NY.com, Hollywood Media, Time Out and more). Travel across the US to seek co-branding partners.</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BodyText2"/>
        <w:rPr>
          <w:rFonts w:ascii="Arial" w:hAnsi="Arial" w:cs="Arial"/>
          <w:b/>
          <w:bCs/>
          <w:sz w:val="18"/>
          <w:szCs w:val="24"/>
        </w:rPr>
      </w:pPr>
      <w:r>
        <w:rPr>
          <w:rFonts w:cs="Arial" w:ascii="Arial" w:hAnsi="Arial"/>
          <w:b/>
          <w:bCs/>
          <w:sz w:val="18"/>
          <w:szCs w:val="24"/>
        </w:rPr>
        <w:t>EDUCATION &amp; OTHER PROJECTS</w:t>
      </w:r>
    </w:p>
    <w:p>
      <w:pPr>
        <w:pStyle w:val="Normal"/>
        <w:jc w:val="both"/>
        <w:rPr>
          <w:rFonts w:ascii="Arial" w:hAnsi="Arial" w:cs="Arial"/>
          <w:b/>
          <w:bCs/>
          <w:sz w:val="18"/>
          <w:szCs w:val="24"/>
        </w:rPr>
      </w:pPr>
      <w:r>
        <w:rPr>
          <w:rFonts w:cs="Arial" w:ascii="Arial" w:hAnsi="Arial"/>
          <w:b/>
          <w:bCs/>
          <w:sz w:val="18"/>
          <w:szCs w:val="24"/>
        </w:rPr>
      </w:r>
    </w:p>
    <w:p>
      <w:pPr>
        <w:pStyle w:val="Normal"/>
        <w:numPr>
          <w:ilvl w:val="0"/>
          <w:numId w:val="2"/>
        </w:numPr>
        <w:tabs>
          <w:tab w:val="clear" w:pos="720"/>
          <w:tab w:val="left" w:pos="900" w:leader="none"/>
        </w:tabs>
        <w:ind w:hanging="360" w:start="1080" w:end="0"/>
        <w:jc w:val="both"/>
        <w:rPr>
          <w:rFonts w:ascii="Arial" w:hAnsi="Arial" w:cs="Arial"/>
          <w:sz w:val="18"/>
        </w:rPr>
      </w:pPr>
      <w:r>
        <w:rPr>
          <w:rFonts w:cs="Arial" w:ascii="Arial" w:hAnsi="Arial"/>
          <w:sz w:val="18"/>
        </w:rPr>
        <w:t>SUNY at StonyBrook, New York. Bachelor of Management &amp; Sciences. Major: Finance. May 1992</w:t>
      </w:r>
    </w:p>
    <w:p>
      <w:pPr>
        <w:pStyle w:val="Normal"/>
        <w:numPr>
          <w:ilvl w:val="0"/>
          <w:numId w:val="2"/>
        </w:numPr>
        <w:tabs>
          <w:tab w:val="clear" w:pos="720"/>
          <w:tab w:val="left" w:pos="900" w:leader="none"/>
        </w:tabs>
        <w:ind w:hanging="360" w:start="1080" w:end="0"/>
        <w:jc w:val="both"/>
        <w:rPr>
          <w:rFonts w:ascii="Arial" w:hAnsi="Arial" w:cs="Arial"/>
          <w:sz w:val="18"/>
        </w:rPr>
      </w:pPr>
      <w:r>
        <w:rPr>
          <w:rFonts w:cs="Arial" w:ascii="Arial" w:hAnsi="Arial"/>
          <w:sz w:val="18"/>
        </w:rPr>
        <w:t xml:space="preserve">New York University, entrepreneurial studies “Venture Capital”. Fall 1999 </w:t>
      </w:r>
    </w:p>
    <w:p>
      <w:pPr>
        <w:pStyle w:val="Normal"/>
        <w:ind w:start="720" w:end="0"/>
        <w:jc w:val="both"/>
        <w:rPr>
          <w:rFonts w:ascii="Arial" w:hAnsi="Arial" w:cs="Arial"/>
          <w:sz w:val="18"/>
        </w:rPr>
      </w:pPr>
      <w:r>
        <w:rPr>
          <w:rFonts w:cs="Arial" w:ascii="Arial" w:hAnsi="Arial"/>
          <w:sz w:val="18"/>
        </w:rPr>
      </w:r>
    </w:p>
    <w:p>
      <w:pPr>
        <w:pStyle w:val="Normal"/>
        <w:numPr>
          <w:ilvl w:val="0"/>
          <w:numId w:val="2"/>
        </w:numPr>
        <w:tabs>
          <w:tab w:val="clear" w:pos="720"/>
          <w:tab w:val="left" w:pos="900" w:leader="none"/>
        </w:tabs>
        <w:ind w:hanging="360" w:start="1080" w:end="0"/>
        <w:jc w:val="both"/>
        <w:rPr>
          <w:rFonts w:ascii="Arial" w:hAnsi="Arial" w:cs="Arial"/>
          <w:sz w:val="18"/>
        </w:rPr>
      </w:pPr>
      <w:r>
        <w:rPr>
          <w:rFonts w:cs="Arial" w:ascii="Arial" w:hAnsi="Arial"/>
          <w:sz w:val="18"/>
        </w:rPr>
        <w:t>Securities &amp; Futures Commission, Hong Kong. Registered dealer’s representative.</w:t>
      </w:r>
    </w:p>
    <w:p>
      <w:pPr>
        <w:pStyle w:val="Normal"/>
        <w:numPr>
          <w:ilvl w:val="0"/>
          <w:numId w:val="2"/>
        </w:numPr>
        <w:tabs>
          <w:tab w:val="clear" w:pos="720"/>
          <w:tab w:val="left" w:pos="900" w:leader="none"/>
        </w:tabs>
        <w:ind w:hanging="360" w:start="1080" w:end="0"/>
        <w:jc w:val="both"/>
        <w:rPr>
          <w:rFonts w:ascii="Arial" w:hAnsi="Arial" w:cs="Arial"/>
          <w:sz w:val="18"/>
        </w:rPr>
      </w:pPr>
      <w:r>
        <w:rPr>
          <w:rFonts w:cs="Arial" w:ascii="Arial" w:hAnsi="Arial"/>
          <w:sz w:val="18"/>
        </w:rPr>
        <w:t>Securities &amp; Exchange Commission, Singapore. Licensed equities broker.</w:t>
      </w:r>
    </w:p>
    <w:p>
      <w:pPr>
        <w:pStyle w:val="Normal"/>
        <w:numPr>
          <w:ilvl w:val="0"/>
          <w:numId w:val="2"/>
        </w:numPr>
        <w:tabs>
          <w:tab w:val="clear" w:pos="720"/>
          <w:tab w:val="left" w:pos="900" w:leader="none"/>
        </w:tabs>
        <w:ind w:hanging="360" w:start="1080" w:end="0"/>
        <w:jc w:val="both"/>
        <w:rPr>
          <w:rFonts w:ascii="Arial" w:hAnsi="Arial" w:cs="Arial"/>
          <w:sz w:val="18"/>
        </w:rPr>
      </w:pPr>
      <w:r>
        <w:rPr>
          <w:rFonts w:cs="Arial" w:ascii="Arial" w:hAnsi="Arial"/>
          <w:sz w:val="18"/>
        </w:rPr>
        <w:t>Qualified for NASD’s series 7 &amp; 55.</w:t>
      </w:r>
    </w:p>
    <w:p>
      <w:pPr>
        <w:pStyle w:val="Normal"/>
        <w:ind w:start="720" w:end="0"/>
        <w:jc w:val="both"/>
        <w:rPr>
          <w:rFonts w:ascii="Arial" w:hAnsi="Arial" w:cs="Arial"/>
          <w:sz w:val="18"/>
        </w:rPr>
      </w:pPr>
      <w:r>
        <w:rPr>
          <w:rFonts w:cs="Arial" w:ascii="Arial" w:hAnsi="Arial"/>
          <w:sz w:val="18"/>
        </w:rPr>
      </w:r>
    </w:p>
    <w:p>
      <w:pPr>
        <w:pStyle w:val="Normal"/>
        <w:numPr>
          <w:ilvl w:val="0"/>
          <w:numId w:val="2"/>
        </w:numPr>
        <w:tabs>
          <w:tab w:val="clear" w:pos="720"/>
          <w:tab w:val="left" w:pos="900" w:leader="none"/>
        </w:tabs>
        <w:ind w:hanging="360" w:start="1080" w:end="0"/>
        <w:jc w:val="both"/>
        <w:rPr>
          <w:rFonts w:ascii="Arial" w:hAnsi="Arial" w:cs="Arial"/>
          <w:sz w:val="18"/>
        </w:rPr>
      </w:pPr>
      <w:r>
        <w:rPr>
          <w:rFonts w:cs="Arial" w:ascii="Arial" w:hAnsi="Arial"/>
          <w:sz w:val="18"/>
        </w:rPr>
        <w:t>GoHome, Hong Kong. (Acquired by NextMedia Ventures), advisor.</w:t>
      </w:r>
    </w:p>
    <w:p>
      <w:pPr>
        <w:pStyle w:val="Normal"/>
        <w:jc w:val="both"/>
        <w:rPr>
          <w:rFonts w:ascii="Arial" w:hAnsi="Arial" w:cs="Arial"/>
          <w:sz w:val="18"/>
        </w:rPr>
      </w:pPr>
      <w:r>
        <w:rPr>
          <w:rFonts w:cs="Arial" w:ascii="Arial" w:hAnsi="Arial"/>
          <w:sz w:val="18"/>
        </w:rPr>
      </w:r>
    </w:p>
    <w:p>
      <w:pPr>
        <w:pStyle w:val="Normal"/>
        <w:numPr>
          <w:ilvl w:val="0"/>
          <w:numId w:val="2"/>
        </w:numPr>
        <w:tabs>
          <w:tab w:val="clear" w:pos="720"/>
          <w:tab w:val="left" w:pos="900" w:leader="none"/>
        </w:tabs>
        <w:ind w:hanging="360" w:start="1080" w:end="0"/>
        <w:jc w:val="both"/>
        <w:rPr>
          <w:rFonts w:ascii="Arial" w:hAnsi="Arial" w:cs="Arial"/>
          <w:sz w:val="18"/>
        </w:rPr>
      </w:pPr>
      <w:r>
        <w:rPr>
          <w:rFonts w:cs="Arial" w:ascii="Arial" w:hAnsi="Arial"/>
          <w:sz w:val="18"/>
        </w:rPr>
        <w:t>Phoenix Consulting, New York. Consultant on design &amp; business logic of Financial Trading Management solutions, Trade Order Flow Management and Investor/Research Relation Management solution.</w:t>
      </w:r>
    </w:p>
    <w:sectPr>
      <w:footerReference w:type="default" r:id="rId3"/>
      <w:type w:val="nextPage"/>
      <w:pgSz w:w="12240" w:h="15840"/>
      <w:pgMar w:left="864" w:right="864"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Fonts w:cs="Verdana" w:ascii="Verdana" w:hAnsi="Verdana"/>
        <w:sz w:val="16"/>
      </w:rPr>
      <w:t xml:space="preserve">Mohsin Hayat, resume, Page </w:t>
    </w:r>
    <w:r>
      <w:rPr>
        <w:rStyle w:val="PageNumber"/>
        <w:rFonts w:cs="Verdana" w:ascii="Verdana" w:hAnsi="Verdana"/>
        <w:sz w:val="16"/>
      </w:rPr>
      <w:fldChar w:fldCharType="begin"/>
    </w:r>
    <w:r>
      <w:rPr>
        <w:rStyle w:val="PageNumber"/>
        <w:sz w:val="16"/>
        <w:rFonts w:cs="Verdana" w:ascii="Verdana" w:hAnsi="Verdana"/>
      </w:rPr>
      <w:instrText xml:space="preserve"> PAGE </w:instrText>
    </w:r>
    <w:r>
      <w:rPr>
        <w:rStyle w:val="PageNumber"/>
        <w:sz w:val="16"/>
        <w:rFonts w:cs="Verdana" w:ascii="Verdana" w:hAnsi="Verdana"/>
      </w:rPr>
      <w:fldChar w:fldCharType="separate"/>
    </w:r>
    <w:r>
      <w:rPr>
        <w:rStyle w:val="PageNumber"/>
        <w:sz w:val="16"/>
        <w:rFonts w:cs="Verdana" w:ascii="Verdana" w:hAnsi="Verdana"/>
      </w:rPr>
      <w:t>2</w:t>
    </w:r>
    <w:r>
      <w:rPr>
        <w:rStyle w:val="PageNumber"/>
        <w:sz w:val="16"/>
        <w:rFonts w:cs="Verdana" w:ascii="Verdana" w:hAnsi="Verdana"/>
      </w:rPr>
      <w:fldChar w:fldCharType="end"/>
    </w:r>
    <w:r>
      <w:rPr>
        <w:rStyle w:val="PageNumber"/>
        <w:rFonts w:cs="Verdana" w:ascii="Verdana" w:hAnsi="Verdana"/>
        <w:sz w:val="16"/>
      </w:rPr>
      <w:t xml:space="preserve"> of </w:t>
    </w:r>
    <w:r>
      <w:rPr>
        <w:rStyle w:val="PageNumber"/>
        <w:rFonts w:cs="Verdana" w:ascii="Verdana" w:hAnsi="Verdana"/>
        <w:sz w:val="16"/>
      </w:rPr>
      <w:fldChar w:fldCharType="begin"/>
    </w:r>
    <w:r>
      <w:rPr>
        <w:rStyle w:val="PageNumber"/>
        <w:sz w:val="16"/>
        <w:rFonts w:cs="Verdana" w:ascii="Verdana" w:hAnsi="Verdana"/>
      </w:rPr>
      <w:instrText xml:space="preserve"> NUMPAGES \* ARABIC </w:instrText>
    </w:r>
    <w:r>
      <w:rPr>
        <w:rStyle w:val="PageNumber"/>
        <w:sz w:val="16"/>
        <w:rFonts w:cs="Verdana" w:ascii="Verdana" w:hAnsi="Verdana"/>
      </w:rPr>
      <w:fldChar w:fldCharType="separate"/>
    </w:r>
    <w:r>
      <w:rPr>
        <w:rStyle w:val="PageNumber"/>
        <w:sz w:val="16"/>
        <w:rFonts w:cs="Verdana" w:ascii="Verdana" w:hAnsi="Verdana"/>
      </w:rPr>
      <w:t>2</w:t>
    </w:r>
    <w:r>
      <w:rPr>
        <w:rStyle w:val="PageNumber"/>
        <w:sz w:val="16"/>
        <w:rFonts w:cs="Verdana" w:ascii="Verdana" w:hAnsi="Verdana"/>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Wingdings" w:hAnsi="Wingdings" w:cs="Wingdings" w:hint="default"/>
      </w:rPr>
    </w:lvl>
  </w:abstractNum>
  <w:abstractNum w:abstractNumId="3">
    <w:lvl w:ilvl="0">
      <w:start w:val="1"/>
      <w:numFmt w:val="bullet"/>
      <w:lvlText w:val=""/>
      <w:lvlJc w:val="start"/>
      <w:pPr>
        <w:tabs>
          <w:tab w:val="num" w:pos="1080"/>
        </w:tabs>
        <w:ind w:start="1080" w:hanging="360"/>
      </w:pPr>
      <w:rPr>
        <w:rFonts w:ascii="Wingdings" w:hAnsi="Wingdings" w:cs="Wingdings" w:hint="default"/>
      </w:rPr>
    </w:lvl>
  </w:abstractNum>
  <w:abstractNum w:abstractNumId="4">
    <w:lvl w:ilvl="0">
      <w:start w:val="1"/>
      <w:numFmt w:val="bullet"/>
      <w:lvlText w:val=""/>
      <w:lvlJc w:val="start"/>
      <w:pPr>
        <w:tabs>
          <w:tab w:val="num" w:pos="1080"/>
        </w:tabs>
        <w:ind w:start="1080" w:hanging="360"/>
      </w:pPr>
      <w:rPr>
        <w:rFonts w:ascii="Wingdings" w:hAnsi="Wingdings" w:cs="Wingdings" w:hint="default"/>
      </w:rPr>
    </w:lvl>
  </w:abstractNum>
  <w:abstractNum w:abstractNumId="5">
    <w:lvl w:ilvl="0">
      <w:start w:val="1"/>
      <w:numFmt w:val="bullet"/>
      <w:lvlText w:val=""/>
      <w:lvlJc w:val="start"/>
      <w:pPr>
        <w:tabs>
          <w:tab w:val="num" w:pos="1080"/>
        </w:tabs>
        <w:ind w:start="1080" w:hanging="360"/>
      </w:pPr>
      <w:rPr>
        <w:rFonts w:ascii="Wingdings" w:hAnsi="Wingdings" w:cs="Wingdings" w:hint="default"/>
      </w:rPr>
    </w:lvl>
  </w:abstractNum>
  <w:abstractNum w:abstractNumId="6">
    <w:lvl w:ilvl="0">
      <w:start w:val="1"/>
      <w:numFmt w:val="bullet"/>
      <w:lvlText w:val=""/>
      <w:lvlJc w:val="start"/>
      <w:pPr>
        <w:tabs>
          <w:tab w:val="num" w:pos="1080"/>
        </w:tabs>
        <w:ind w:start="1080" w:hanging="360"/>
      </w:pPr>
      <w:rPr>
        <w:rFonts w:ascii="Wingdings" w:hAnsi="Wingdings" w:cs="Wingdings" w:hint="default"/>
      </w:rPr>
    </w:lvl>
  </w:abstractNum>
  <w:abstractNum w:abstractNumId="7">
    <w:lvl w:ilvl="0">
      <w:start w:val="1"/>
      <w:numFmt w:val="bullet"/>
      <w:lvlText w:val=""/>
      <w:lvlJc w:val="start"/>
      <w:pPr>
        <w:tabs>
          <w:tab w:val="num" w:pos="1080"/>
        </w:tabs>
        <w:ind w:start="10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sz w:val="22"/>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i/>
      <w:iCs/>
      <w:sz w:val="20"/>
    </w:rPr>
  </w:style>
  <w:style w:type="paragraph" w:styleId="Heading4">
    <w:name w:val="heading 4"/>
    <w:basedOn w:val="Normal"/>
    <w:next w:val="Normal"/>
    <w:qFormat/>
    <w:pPr>
      <w:keepNext w:val="true"/>
      <w:numPr>
        <w:ilvl w:val="3"/>
        <w:numId w:val="1"/>
      </w:numPr>
      <w:outlineLvl w:val="3"/>
    </w:pPr>
    <w:rPr>
      <w:rFonts w:ascii="Arial" w:hAnsi="Arial" w:cs="Arial"/>
      <w:b/>
      <w:sz w:val="20"/>
      <w:szCs w:val="20"/>
    </w:rPr>
  </w:style>
  <w:style w:type="paragraph" w:styleId="Heading5">
    <w:name w:val="heading 5"/>
    <w:basedOn w:val="Normal"/>
    <w:next w:val="Normal"/>
    <w:qFormat/>
    <w:pPr>
      <w:keepNext w:val="true"/>
      <w:numPr>
        <w:ilvl w:val="4"/>
        <w:numId w:val="1"/>
      </w:numPr>
      <w:jc w:val="both"/>
      <w:outlineLvl w:val="4"/>
    </w:pPr>
    <w:rPr>
      <w:rFonts w:ascii="Arial" w:hAnsi="Arial" w:cs="Arial"/>
      <w:b/>
      <w:bCs/>
      <w:sz w:val="20"/>
    </w:rPr>
  </w:style>
  <w:style w:type="paragraph" w:styleId="Heading6">
    <w:name w:val="heading 6"/>
    <w:basedOn w:val="Normal"/>
    <w:next w:val="Normal"/>
    <w:qFormat/>
    <w:pPr>
      <w:keepNext w:val="true"/>
      <w:numPr>
        <w:ilvl w:val="5"/>
        <w:numId w:val="1"/>
      </w:numPr>
      <w:jc w:val="both"/>
      <w:outlineLvl w:val="5"/>
    </w:pPr>
    <w:rPr>
      <w:rFonts w:ascii="Arial" w:hAnsi="Arial" w:cs="Arial"/>
      <w:i/>
      <w:iCs/>
      <w:sz w:val="20"/>
    </w:rPr>
  </w:style>
  <w:style w:type="paragraph" w:styleId="Heading7">
    <w:name w:val="heading 7"/>
    <w:basedOn w:val="Normal"/>
    <w:next w:val="Normal"/>
    <w:qFormat/>
    <w:pPr>
      <w:keepNext w:val="true"/>
      <w:numPr>
        <w:ilvl w:val="6"/>
        <w:numId w:val="1"/>
      </w:numPr>
      <w:ind w:hanging="360" w:start="720" w:end="0"/>
      <w:jc w:val="both"/>
      <w:outlineLvl w:val="6"/>
    </w:pPr>
    <w:rPr>
      <w:rFonts w:ascii="Arial" w:hAnsi="Arial" w:cs="Arial"/>
      <w:i/>
      <w:iCs/>
      <w:sz w:val="20"/>
    </w:rPr>
  </w:style>
  <w:style w:type="paragraph" w:styleId="Heading8">
    <w:name w:val="heading 8"/>
    <w:basedOn w:val="Normal"/>
    <w:next w:val="Normal"/>
    <w:qFormat/>
    <w:pPr>
      <w:keepNext w:val="true"/>
      <w:numPr>
        <w:ilvl w:val="7"/>
        <w:numId w:val="1"/>
      </w:numPr>
      <w:ind w:hanging="0" w:start="360" w:end="0"/>
      <w:jc w:val="both"/>
      <w:outlineLvl w:val="7"/>
    </w:pPr>
    <w:rPr>
      <w:rFonts w:ascii="Arial" w:hAnsi="Arial" w:cs="Arial"/>
      <w:i/>
      <w:iCs/>
      <w:sz w:val="20"/>
    </w:rPr>
  </w:style>
  <w:style w:type="paragraph" w:styleId="Heading9">
    <w:name w:val="heading 9"/>
    <w:basedOn w:val="Normal"/>
    <w:next w:val="Normal"/>
    <w:qFormat/>
    <w:pPr>
      <w:keepNext w:val="true"/>
      <w:numPr>
        <w:ilvl w:val="8"/>
        <w:numId w:val="1"/>
      </w:numPr>
      <w:ind w:hanging="0" w:start="720" w:end="0"/>
      <w:jc w:val="both"/>
      <w:outlineLvl w:val="8"/>
    </w:pPr>
    <w:rPr>
      <w:rFonts w:ascii="Arial" w:hAnsi="Arial" w:cs="Arial"/>
      <w:b/>
      <w:bCs/>
      <w:sz w:val="20"/>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Wingdings" w:hAnsi="Wingdings" w:cs="Wingdings"/>
    </w:rPr>
  </w:style>
  <w:style w:type="character" w:styleId="WW8Num32z1">
    <w:name w:val="WW8Num32z1"/>
    <w:qFormat/>
    <w:rPr>
      <w:rFonts w:ascii="Courier New" w:hAnsi="Courier New" w:cs="Courier New"/>
    </w:rPr>
  </w:style>
  <w:style w:type="character" w:styleId="WW8Num32z3">
    <w:name w:val="WW8Num32z3"/>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Wingdings" w:hAnsi="Wingdings" w:cs="Wingdings"/>
    </w:rPr>
  </w:style>
  <w:style w:type="character" w:styleId="WW8Num35z1">
    <w:name w:val="WW8Num35z1"/>
    <w:qFormat/>
    <w:rPr>
      <w:rFonts w:ascii="Courier New" w:hAnsi="Courier New" w:cs="Courier New"/>
    </w:rPr>
  </w:style>
  <w:style w:type="character" w:styleId="WW8Num35z3">
    <w:name w:val="WW8Num35z3"/>
    <w:qFormat/>
    <w:rPr>
      <w:rFonts w:ascii="Symbol" w:hAnsi="Symbol" w:cs="Symbol"/>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Wingdings" w:hAnsi="Wingdings" w:cs="Wingdings"/>
    </w:rPr>
  </w:style>
  <w:style w:type="character" w:styleId="WW8Num38z1">
    <w:name w:val="WW8Num38z1"/>
    <w:qFormat/>
    <w:rPr>
      <w:rFonts w:ascii="Courier New" w:hAnsi="Courier New" w:cs="Courier New"/>
    </w:rPr>
  </w:style>
  <w:style w:type="character" w:styleId="WW8Num38z3">
    <w:name w:val="WW8Num38z3"/>
    <w:qFormat/>
    <w:rPr>
      <w:rFonts w:ascii="Symbol" w:hAnsi="Symbol" w:cs="Symbol"/>
    </w:rPr>
  </w:style>
  <w:style w:type="character" w:styleId="WW8Num39z0">
    <w:name w:val="WW8Num39z0"/>
    <w:qFormat/>
    <w:rPr>
      <w:rFonts w:ascii="Wingdings" w:hAnsi="Wingdings" w:cs="Wingdings"/>
    </w:rPr>
  </w:style>
  <w:style w:type="character" w:styleId="WW8Num39z1">
    <w:name w:val="WW8Num39z1"/>
    <w:qFormat/>
    <w:rPr>
      <w:rFonts w:ascii="Courier New" w:hAnsi="Courier New" w:cs="Courier New"/>
    </w:rPr>
  </w:style>
  <w:style w:type="character" w:styleId="WW8Num39z3">
    <w:name w:val="WW8Num39z3"/>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Wingdings" w:hAnsi="Wingdings" w:cs="Wingdings"/>
    </w:rPr>
  </w:style>
  <w:style w:type="character" w:styleId="WW8Num43z1">
    <w:name w:val="WW8Num43z1"/>
    <w:qFormat/>
    <w:rPr>
      <w:rFonts w:ascii="Courier New" w:hAnsi="Courier New" w:cs="Courier New"/>
    </w:rPr>
  </w:style>
  <w:style w:type="character" w:styleId="WW8Num43z3">
    <w:name w:val="WW8Num43z3"/>
    <w:qFormat/>
    <w:rPr>
      <w:rFonts w:ascii="Symbol" w:hAnsi="Symbol" w:cs="Symbol"/>
    </w:rPr>
  </w:style>
  <w:style w:type="character" w:styleId="WW8Num44z0">
    <w:name w:val="WW8Num44z0"/>
    <w:qFormat/>
    <w:rPr>
      <w:rFonts w:ascii="Wingdings" w:hAnsi="Wingdings" w:cs="Wingdings"/>
    </w:rPr>
  </w:style>
  <w:style w:type="character" w:styleId="WW8Num44z1">
    <w:name w:val="WW8Num44z1"/>
    <w:qFormat/>
    <w:rPr>
      <w:rFonts w:ascii="Courier New" w:hAnsi="Courier New" w:cs="Courier New"/>
    </w:rPr>
  </w:style>
  <w:style w:type="character" w:styleId="WW8Num44z3">
    <w:name w:val="WW8Num44z3"/>
    <w:qFormat/>
    <w:rPr>
      <w:rFonts w:ascii="Symbol" w:hAnsi="Symbol" w:cs="Symbol"/>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Wingdings" w:hAnsi="Wingdings" w:cs="Wingdings"/>
    </w:rPr>
  </w:style>
  <w:style w:type="character" w:styleId="WW8Num48z1">
    <w:name w:val="WW8Num48z1"/>
    <w:qFormat/>
    <w:rPr>
      <w:rFonts w:ascii="Courier New" w:hAnsi="Courier New" w:cs="Courier New"/>
    </w:rPr>
  </w:style>
  <w:style w:type="character" w:styleId="WW8Num48z3">
    <w:name w:val="WW8Num48z3"/>
    <w:qFormat/>
    <w:rPr>
      <w:rFonts w:ascii="Symbol" w:hAnsi="Symbol" w:cs="Symbol"/>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rFonts w:ascii="Symbol" w:hAnsi="Symbol" w:cs="Symbol"/>
    </w:rPr>
  </w:style>
  <w:style w:type="character" w:styleId="WW8Num52z0">
    <w:name w:val="WW8Num52z0"/>
    <w:qFormat/>
    <w:rPr>
      <w:rFonts w:ascii="Wingdings" w:hAnsi="Wingdings" w:cs="Wingdings"/>
    </w:rPr>
  </w:style>
  <w:style w:type="character" w:styleId="WW8Num52z1">
    <w:name w:val="WW8Num52z1"/>
    <w:qFormat/>
    <w:rPr>
      <w:rFonts w:ascii="Courier New" w:hAnsi="Courier New" w:cs="Courier New"/>
    </w:rPr>
  </w:style>
  <w:style w:type="character" w:styleId="WW8Num52z3">
    <w:name w:val="WW8Num52z3"/>
    <w:qFormat/>
    <w:rPr>
      <w:rFonts w:ascii="Symbol" w:hAnsi="Symbol" w:cs="Symbol"/>
    </w:rPr>
  </w:style>
  <w:style w:type="character" w:styleId="WW8Num53z0">
    <w:name w:val="WW8Num53z0"/>
    <w:qFormat/>
    <w:rPr>
      <w:rFonts w:ascii="Wingdings" w:hAnsi="Wingdings" w:cs="Wingdings"/>
    </w:rPr>
  </w:style>
  <w:style w:type="character" w:styleId="WW8Num53z1">
    <w:name w:val="WW8Num53z1"/>
    <w:qFormat/>
    <w:rPr>
      <w:rFonts w:ascii="Courier New" w:hAnsi="Courier New" w:cs="Courier New"/>
    </w:rPr>
  </w:style>
  <w:style w:type="character" w:styleId="WW8Num53z3">
    <w:name w:val="WW8Num53z3"/>
    <w:qFormat/>
    <w:rPr>
      <w:rFonts w:ascii="Symbol" w:hAnsi="Symbol" w:cs="Symbol"/>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vert3">
    <w:name w:val="vert3"/>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pBd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0"/>
      <w:szCs w:val="20"/>
    </w:rPr>
  </w:style>
  <w:style w:type="paragraph" w:styleId="BodyText3">
    <w:name w:val="Body Text 3"/>
    <w:basedOn w:val="Normal"/>
    <w:qFormat/>
    <w:pPr/>
    <w:rPr>
      <w:rFonts w:ascii="Arial" w:hAnsi="Arial" w:cs="Arial"/>
      <w:sz w:val="20"/>
    </w:rPr>
  </w:style>
  <w:style w:type="paragraph" w:styleId="BodyTextIndent">
    <w:name w:val="Body Text Indent"/>
    <w:basedOn w:val="Normal"/>
    <w:pPr>
      <w:ind w:hanging="0" w:start="720" w:end="0"/>
      <w:jc w:val="both"/>
    </w:pPr>
    <w:rPr>
      <w:rFonts w:ascii="Arial" w:hAnsi="Arial" w:cs="Arial"/>
      <w:sz w:val="20"/>
    </w:rPr>
  </w:style>
  <w:style w:type="paragraph" w:styleId="BodyTextIndent2">
    <w:name w:val="Body Text Indent 2"/>
    <w:basedOn w:val="Normal"/>
    <w:qFormat/>
    <w:pPr>
      <w:ind w:hanging="0" w:start="720" w:end="0"/>
      <w:jc w:val="both"/>
    </w:pPr>
    <w:rPr>
      <w:rFonts w:ascii="Arial" w:hAnsi="Arial" w:cs="Arial"/>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ohsin@webtitude.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2001-10-15T14:20:00Z</dcterms:created>
  <dc:creator>Mohsin Hayat</dc:creator>
  <dc:description/>
  <dc:language>en-CA</dc:language>
  <cp:lastModifiedBy>Mohsin Hayat</cp:lastModifiedBy>
  <cp:lastPrinted>2000-11-14T09:49:00Z</cp:lastPrinted>
  <dcterms:modified xsi:type="dcterms:W3CDTF">2001-10-15T14:20:00Z</dcterms:modified>
  <cp:revision>2</cp:revision>
  <dc:subject/>
  <dc:title>Mohsin Hayat</dc:title>
</cp:coreProperties>
</file>