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36.xml" ContentType="application/vnd.openxmlformats-officedocument.wordprocessingml.footer+xml"/>
  <Override PartName="/word/footer35.xml" ContentType="application/vnd.openxmlformats-officedocument.wordprocessingml.footer+xml"/>
  <Override PartName="/word/footer34.xml" ContentType="application/vnd.openxmlformats-officedocument.wordprocessingml.footer+xml"/>
  <Override PartName="/word/footer2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8.xml" ContentType="application/vnd.openxmlformats-officedocument.wordprocessingml.footer+xml"/>
  <Override PartName="/word/theme/theme1.xml" ContentType="application/vnd.openxmlformats-officedocument.theme+xml"/>
  <Override PartName="/word/footer27.xml" ContentType="application/vnd.openxmlformats-officedocument.wordprocessingml.footer+xml"/>
  <Override PartName="/word/footer26.xml" ContentType="application/vnd.openxmlformats-officedocument.wordprocessingml.footer+xml"/>
  <Override PartName="/word/footer25.xml" ContentType="application/vnd.openxmlformats-officedocument.wordprocessingml.footer+xml"/>
  <Override PartName="/word/footer24.xml" ContentType="application/vnd.openxmlformats-officedocument.wordprocessingml.footer+xml"/>
  <Override PartName="/word/footer23.xml" ContentType="application/vnd.openxmlformats-officedocument.wordprocessingml.footer+xml"/>
  <Override PartName="/word/footer22.xml" ContentType="application/vnd.openxmlformats-officedocument.wordprocessingml.footer+xml"/>
  <Override PartName="/word/footer21.xml" ContentType="application/vnd.openxmlformats-officedocument.wordprocessingml.footer+xml"/>
  <Override PartName="/word/footer20.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54.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footer30.xml" ContentType="application/vnd.openxmlformats-officedocument.wordprocessingml.footer+xml"/>
  <Override PartName="/word/header18.xml" ContentType="application/vnd.openxmlformats-officedocument.wordprocessingml.header+xml"/>
  <Override PartName="/word/footer6.xml" ContentType="application/vnd.openxmlformats-officedocument.wordprocessingml.footer+xml"/>
  <Override PartName="/word/footer45.xml" ContentType="application/vnd.openxmlformats-officedocument.wordprocessingml.footer+xml"/>
  <Override PartName="/word/header9.xml" ContentType="application/vnd.openxmlformats-officedocument.wordprocessingml.header+xml"/>
  <Override PartName="/word/footer59.xml" ContentType="application/vnd.openxmlformats-officedocument.wordprocessingml.footer+xml"/>
  <Override PartName="/word/footer19.xml" ContentType="application/vnd.openxmlformats-officedocument.wordprocessingml.footer+xml"/>
  <Override PartName="/word/header10.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footer53.xml" ContentType="application/vnd.openxmlformats-officedocument.wordprocessingml.footer+xml"/>
  <Override PartName="/word/header11.xml" ContentType="application/vnd.openxmlformats-officedocument.wordprocessingml.header+xml"/>
  <Override PartName="/word/footer18.xml" ContentType="application/vnd.openxmlformats-officedocument.wordprocessingml.footer+xml"/>
  <Override PartName="/word/header2.xml" ContentType="application/vnd.openxmlformats-officedocument.wordprocessingml.header+xml"/>
  <Override PartName="/word/footer52.xml" ContentType="application/vnd.openxmlformats-officedocument.wordprocessingml.footer+xml"/>
  <Override PartName="/word/header14.xml" ContentType="application/vnd.openxmlformats-officedocument.wordprocessingml.header+xml"/>
  <Override PartName="/word/document.xml" ContentType="application/vnd.openxmlformats-officedocument.wordprocessingml.document.main+xml"/>
  <Override PartName="/word/header5.xml" ContentType="application/vnd.openxmlformats-officedocument.wordprocessingml.header+xml"/>
  <Override PartName="/word/footer55.xml" ContentType="application/vnd.openxmlformats-officedocument.wordprocessingml.footer+xml"/>
  <Override PartName="/word/_rels/document.xml.rels" ContentType="application/vnd.openxmlformats-package.relationships+xml"/>
  <Override PartName="/word/footer2.xml" ContentType="application/vnd.openxmlformats-officedocument.wordprocessingml.footer+xml"/>
  <Override PartName="/word/footer41.xml" ContentType="application/vnd.openxmlformats-officedocument.wordprocessingml.footer+xml"/>
  <Override PartName="/word/styles.xml" ContentType="application/vnd.openxmlformats-officedocument.wordprocessingml.styles+xml"/>
  <Override PartName="/word/header17.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footer43.xml" ContentType="application/vnd.openxmlformats-officedocument.wordprocessingml.footer+xml"/>
  <Override PartName="/word/header23.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1.xml" ContentType="application/vnd.openxmlformats-officedocument.wordprocessingml.header+xml"/>
  <Override PartName="/word/header30.xml" ContentType="application/vnd.openxmlformats-officedocument.wordprocessingml.header+xml"/>
  <Override PartName="/word/footer39.xml" ContentType="application/vnd.openxmlformats-officedocument.wordprocessingml.footer+xml"/>
  <Override PartName="/word/header32.xml" ContentType="application/vnd.openxmlformats-officedocument.wordprocessingml.header+xml"/>
  <Override PartName="/word/header24.xml" ContentType="application/vnd.openxmlformats-officedocument.wordprocessingml.header+xml"/>
  <Override PartName="/word/footer17.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2.xml" ContentType="application/vnd.openxmlformats-officedocument.wordprocessingml.header+xml"/>
  <Override PartName="/word/footer49.xml" ContentType="application/vnd.openxmlformats-officedocument.wordprocessingml.footer+xml"/>
  <Override PartName="/word/footer12.xml" ContentType="application/vnd.openxmlformats-officedocument.wordprocessingml.footer+xml"/>
  <Override PartName="/word/footer50.xml" ContentType="application/vnd.openxmlformats-officedocument.wordprocessingml.footer+xml"/>
  <Override PartName="/word/header38.xml" ContentType="application/vnd.openxmlformats-officedocument.wordprocessingml.header+xml"/>
  <Override PartName="/word/fontTable.xml" ContentType="application/vnd.openxmlformats-officedocument.wordprocessingml.fontTable+xml"/>
  <Override PartName="/word/header35.xml" ContentType="application/vnd.openxmlformats-officedocument.wordprocessingml.header+xml"/>
  <Override PartName="/word/header39.xml" ContentType="application/vnd.openxmlformats-officedocument.wordprocessingml.header+xml"/>
  <Override PartName="/word/header1.xml" ContentType="application/vnd.openxmlformats-officedocument.wordprocessingml.header+xml"/>
  <Override PartName="/word/footer51.xml" ContentType="application/vnd.openxmlformats-officedocument.wordprocessingml.footer+xml"/>
  <Override PartName="/word/header29.xml" ContentType="application/vnd.openxmlformats-officedocument.wordprocessingml.header+xml"/>
  <Override PartName="/word/footer60.xml" ContentType="application/vnd.openxmlformats-officedocument.wordprocessingml.footer+xml"/>
  <Override PartName="/word/header37.xml" ContentType="application/vnd.openxmlformats-officedocument.wordprocessingml.header+xml"/>
  <Override PartName="/word/header36.xml" ContentType="application/vnd.openxmlformats-officedocument.wordprocessingml.header+xml"/>
  <Override PartName="/word/footer63.xml" ContentType="application/vnd.openxmlformats-officedocument.wordprocessingml.footer+xml"/>
  <Override PartName="/word/header34.xml" ContentType="application/vnd.openxmlformats-officedocument.wordprocessingml.header+xml"/>
  <Override PartName="/word/footer62.xml" ContentType="application/vnd.openxmlformats-officedocument.wordprocessingml.footer+xml"/>
  <Override PartName="/word/header33.xml" ContentType="application/vnd.openxmlformats-officedocument.wordprocessingml.header+xml"/>
  <Override PartName="/word/footer61.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settings.xml" ContentType="application/vnd.openxmlformats-officedocument.wordprocessingml.settings+xml"/>
  <Override PartName="/word/footer13.xml" ContentType="application/vnd.openxmlformats-officedocument.wordprocessingml.footer+xml"/>
  <Override PartName="/word/footer58.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oter44.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48.xml" ContentType="application/vnd.openxmlformats-officedocument.wordprocessingml.footer+xml"/>
  <Override PartName="/word/footer9.xml" ContentType="application/vnd.openxmlformats-officedocument.wordprocessingml.footer+xml"/>
  <Override PartName="/word/footer33.xml" ContentType="application/vnd.openxmlformats-officedocument.wordprocessingml.footer+xml"/>
  <Override PartName="/word/footer47.xml" ContentType="application/vnd.openxmlformats-officedocument.wordprocessingml.footer+xml"/>
  <Override PartName="/word/footer8.xml" ContentType="application/vnd.openxmlformats-officedocument.wordprocessingml.footer+xml"/>
  <Override PartName="/word/footer32.xml" ContentType="application/vnd.openxmlformats-officedocument.wordprocessingml.footer+xml"/>
  <Override PartName="/word/footer46.xml" ContentType="application/vnd.openxmlformats-officedocument.wordprocessingml.footer+xml"/>
  <Override PartName="/word/footer7.xml" ContentType="application/vnd.openxmlformats-officedocument.wordprocessingml.footer+xml"/>
  <Override PartName="/word/header19.xml" ContentType="application/vnd.openxmlformats-officedocument.wordprocessingml.header+xml"/>
  <Override PartName="/word/footer31.xml" ContentType="application/vnd.openxmlformats-officedocument.wordprocessingml.footer+xml"/>
  <Override PartName="/word/footer56.xml" ContentType="application/vnd.openxmlformats-officedocument.wordprocessingml.footer+xml"/>
  <Override PartName="/word/header6.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footer42.xml" ContentType="application/vnd.openxmlformats-officedocument.wordprocessingml.footer+xml"/>
  <Override PartName="/word/header7.xml" ContentType="application/vnd.openxmlformats-officedocument.wordprocessingml.header+xml"/>
  <Override PartName="/word/footer5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r>
      <w:bookmarkStart w:id="0" w:name="Security_Agreement"/>
      <w:bookmarkStart w:id="1" w:name="Standard_Agreement"/>
      <w:bookmarkStart w:id="2" w:name="Security_Agreement"/>
      <w:bookmarkStart w:id="3" w:name="Standard_Agreement"/>
      <w:bookmarkEnd w:id="2"/>
      <w:bookmarkEnd w:id="3"/>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480"/>
        <w:jc w:val="center"/>
        <w:rPr>
          <w:b/>
          <w:sz w:val="24"/>
        </w:rPr>
      </w:pPr>
      <w:ins w:id="0" w:author="">
        <w:r>
          <w:rPr>
            <w:b/>
            <w:strike/>
            <w:sz w:val="24"/>
          </w:rPr>
          <w:t>AMENDED AND RESTATED</w:t>
        </w:r>
      </w:ins>
      <w:r>
        <w:rPr>
          <w:b/>
          <w:sz w:val="24"/>
        </w:rPr>
        <w:t xml:space="preserve"> FACILITY AGREEMENT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48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480"/>
        <w:jc w:val="center"/>
        <w:rPr>
          <w:b/>
          <w:sz w:val="24"/>
        </w:rPr>
      </w:pPr>
      <w:r>
        <w:rPr>
          <w:b/>
          <w:sz w:val="24"/>
        </w:rPr>
        <w:t xml:space="preserve">Dated as of </w:t>
      </w:r>
      <w:ins w:id="1" w:author="">
        <w:r>
          <w:rPr>
            <w:b/>
            <w:strike/>
            <w:sz w:val="24"/>
          </w:rPr>
          <w:t>May 31</w:t>
        </w:r>
      </w:ins>
      <w:r>
        <w:rPr>
          <w:b/>
          <w:sz w:val="24"/>
        </w:rPr>
        <w:t xml:space="preserve"> </w:t>
      </w:r>
      <w:ins w:id="2" w:author="">
        <w:r>
          <w:rPr>
            <w:b/>
            <w:sz w:val="24"/>
            <w:u w:val="double"/>
          </w:rPr>
          <w:t>November [17]</w:t>
        </w:r>
      </w:ins>
      <w:r>
        <w:rPr>
          <w:b/>
          <w:sz w:val="24"/>
        </w:rPr>
        <w:t>, 2000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480"/>
        <w:jc w:val="center"/>
        <w:rPr>
          <w:b/>
          <w:sz w:val="24"/>
        </w:rPr>
      </w:pPr>
      <w:r>
        <w:rPr>
          <w:b/>
          <w:sz w:val="24"/>
        </w:rPr>
        <w:t>Among</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 xml:space="preserve">HAWAII </w:t>
      </w:r>
      <w:ins w:id="3" w:author="">
        <w:r>
          <w:rPr>
            <w:b/>
            <w:sz w:val="24"/>
            <w:u w:val="double"/>
          </w:rPr>
          <w:t>I</w:t>
        </w:r>
      </w:ins>
      <w:r>
        <w:rPr>
          <w:b/>
          <w:sz w:val="24"/>
        </w:rPr>
        <w:t xml:space="preserve"> 125</w:t>
        <w:noBreakHyphen/>
        <w:t>0 TRUST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as issuer of the Notes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the LENDERS,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party hereto,</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Canadian Imperial Bank of Commerce</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as Administrative Agent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CIBC World Markets Corp.</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as Sole Lead Arranger and Bookrunner</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First Union National Bank and San Paolo IMI S.p.A.</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as Co</w:t>
        <w:noBreakHyphen/>
        <w:t>Arrangers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ins w:id="4" w:author="">
        <w:r>
          <w:rPr>
            <w:b/>
            <w:sz w:val="24"/>
            <w:u w:val="double"/>
          </w:rPr>
          <w:t>BNP</w:t>
        </w:r>
      </w:ins>
      <w:r>
        <w:rPr>
          <w:b/>
          <w:sz w:val="24"/>
        </w:rPr>
        <w:t xml:space="preserve"> Paribas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as Syndication Agent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and</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 xml:space="preserve">Bayerische Landesbank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as Documentation Agent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480"/>
        <w:jc w:val="both"/>
        <w:rPr>
          <w:b/>
          <w:sz w:val="24"/>
        </w:rPr>
      </w:pPr>
      <w:r>
        <w:rPr>
          <w:b/>
          <w:sz w:val="24"/>
        </w:rPr>
        <w:tab/>
        <w:tab/>
        <w:tab/>
      </w:r>
      <w:r>
        <w:rPr>
          <w:b/>
          <w:sz w:val="24"/>
          <w:u w:val="single"/>
        </w:rPr>
        <w:t xml:space="preserve">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ins w:id="5" w:author="">
        <w:r>
          <w:rPr>
            <w:b/>
            <w:strike/>
            <w:sz w:val="24"/>
          </w:rPr>
          <w:t>$485,000,000</w:t>
        </w:r>
      </w:ins>
      <w:r>
        <w:rPr>
          <w:b/>
          <w:sz w:val="24"/>
        </w:rPr>
        <w:t xml:space="preserve"> </w:t>
      </w:r>
      <w:ins w:id="6" w:author="">
        <w:r>
          <w:rPr>
            <w:b/>
            <w:sz w:val="24"/>
            <w:u w:val="double"/>
          </w:rPr>
          <w:t>$[165,000,000]</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r>
      <w:r>
        <w:rPr>
          <w:sz w:val="24"/>
          <w:u w:val="single"/>
        </w:rPr>
        <w:t xml:space="preserve">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24"/>
        </w:rPr>
      </w:pPr>
      <w:r>
        <w:rPr>
          <w:sz w:val="24"/>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440" w:top="1497" w:footer="1344" w:bottom="1401"/>
          <w:pgNumType w:fmt="decimal"/>
          <w:formProt w:val="false"/>
          <w:titlePg/>
          <w:textDirection w:val="lrTb"/>
        </w:sectPr>
      </w:pP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TABLE OF CONTENTS</w:t>
      </w:r>
    </w:p>
    <w:p>
      <w:pPr>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1440" w:top="1497" w:footer="1344" w:bottom="1401"/>
          <w:pgNumType w:start="1" w:fmt="lowerRoman"/>
          <w:formProt w:val="false"/>
          <w:textDirection w:val="lrTb"/>
          <w:docGrid w:type="default" w:linePitch="100" w:charSpace="0"/>
        </w:sectPr>
      </w:pP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end"/>
        <w:rPr>
          <w:sz w:val="24"/>
        </w:rPr>
      </w:pPr>
      <w:r>
        <w:rPr>
          <w:b/>
          <w:sz w:val="24"/>
          <w:u w:val="single"/>
        </w:rPr>
        <w:t>Page</w:t>
      </w:r>
    </w:p>
    <w:sdt>
      <w:sdtPr>
        <w:docPartObj>
          <w:docPartGallery w:val="Table of Contents"/>
          <w:docPartUnique w:val="true"/>
        </w:docPartObj>
      </w:sdtPr>
      <w:sdtContent>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fldChar w:fldCharType="begin"/>
          </w:r>
          <w:r>
            <w:rPr>
              <w:sz w:val="24"/>
            </w:rPr>
            <w:instrText xml:space="preserve"> TOC \f \h</w:instrText>
          </w:r>
          <w:r>
            <w:rPr>
              <w:sz w:val="24"/>
            </w:rPr>
            <w:fldChar w:fldCharType="separate"/>
          </w: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I </w:t>
            <w:noBreakHyphen/>
            <w:t xml:space="preserve"> DEFINITIONS AND INTERPRETATION</w:t>
            <w:tab/>
            <w:t>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   Definitions</w:t>
            <w:tab/>
            <w:t>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1.2   Interpretation</w:t>
            <w:tab/>
          </w:r>
          <w:ins w:id="7" w:author="">
            <w:r>
              <w:rPr>
                <w:strike/>
                <w:sz w:val="24"/>
              </w:rPr>
              <w:t>13</w:t>
            </w:r>
          </w:ins>
          <w:r>
            <w:rPr>
              <w:sz w:val="24"/>
            </w:rPr>
            <w:t xml:space="preserve"> </w:t>
          </w:r>
          <w:ins w:id="8" w:author="">
            <w:r>
              <w:rPr>
                <w:b/>
                <w:sz w:val="24"/>
                <w:u w:val="double"/>
              </w:rPr>
              <w:t>14</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II </w:t>
            <w:noBreakHyphen/>
            <w:t xml:space="preserve"> TRANCHES AND ADVANCES</w:t>
            <w:tab/>
          </w:r>
          <w:ins w:id="9" w:author="">
            <w:r>
              <w:rPr>
                <w:strike/>
                <w:sz w:val="24"/>
              </w:rPr>
              <w:t>14</w:t>
            </w:r>
          </w:ins>
          <w:r>
            <w:rPr>
              <w:sz w:val="24"/>
            </w:rPr>
            <w:t xml:space="preserve"> </w:t>
          </w:r>
          <w:ins w:id="10" w:author="">
            <w:r>
              <w:rPr>
                <w:b/>
                <w:sz w:val="24"/>
                <w:u w:val="double"/>
              </w:rPr>
              <w:t>15</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2.1   Tranches</w:t>
            <w:tab/>
          </w:r>
          <w:ins w:id="11" w:author="">
            <w:r>
              <w:rPr>
                <w:strike/>
                <w:sz w:val="24"/>
              </w:rPr>
              <w:t>14</w:t>
            </w:r>
          </w:ins>
          <w:r>
            <w:rPr>
              <w:sz w:val="24"/>
            </w:rPr>
            <w:t xml:space="preserve"> </w:t>
          </w:r>
          <w:ins w:id="12" w:author="">
            <w:r>
              <w:rPr>
                <w:b/>
                <w:sz w:val="24"/>
                <w:u w:val="double"/>
              </w:rPr>
              <w:t>15</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2.2   Advances</w:t>
            <w:tab/>
          </w:r>
          <w:ins w:id="13" w:author="">
            <w:r>
              <w:rPr>
                <w:strike/>
                <w:sz w:val="24"/>
              </w:rPr>
              <w:t>14</w:t>
            </w:r>
          </w:ins>
          <w:r>
            <w:rPr>
              <w:sz w:val="24"/>
            </w:rPr>
            <w:t xml:space="preserve"> </w:t>
          </w:r>
          <w:ins w:id="14" w:author="">
            <w:r>
              <w:rPr>
                <w:b/>
                <w:sz w:val="24"/>
                <w:u w:val="double"/>
              </w:rPr>
              <w:t>15</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III </w:t>
            <w:noBreakHyphen/>
            <w:t xml:space="preserve"> PARTICIPATION OF LENDERS</w:t>
            <w:tab/>
          </w:r>
          <w:ins w:id="15" w:author="">
            <w:r>
              <w:rPr>
                <w:strike/>
                <w:sz w:val="24"/>
              </w:rPr>
              <w:t>15</w:t>
            </w:r>
          </w:ins>
          <w:r>
            <w:rPr>
              <w:sz w:val="24"/>
            </w:rPr>
            <w:t xml:space="preserve"> </w:t>
          </w:r>
          <w:ins w:id="16" w:author="">
            <w:r>
              <w:rPr>
                <w:b/>
                <w:sz w:val="24"/>
                <w:u w:val="double"/>
              </w:rPr>
              <w:t>16</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3.1   Funding Office</w:t>
            <w:tab/>
          </w:r>
          <w:ins w:id="17" w:author="">
            <w:r>
              <w:rPr>
                <w:strike/>
                <w:sz w:val="24"/>
              </w:rPr>
              <w:t>15</w:t>
            </w:r>
          </w:ins>
          <w:r>
            <w:rPr>
              <w:sz w:val="24"/>
            </w:rPr>
            <w:t xml:space="preserve"> </w:t>
          </w:r>
          <w:ins w:id="18" w:author="">
            <w:r>
              <w:rPr>
                <w:b/>
                <w:sz w:val="24"/>
                <w:u w:val="double"/>
              </w:rPr>
              <w:t>16</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3.2   Rights and Obligations of Finance Parties</w:t>
            <w:tab/>
          </w:r>
          <w:ins w:id="19" w:author="">
            <w:r>
              <w:rPr>
                <w:strike/>
                <w:sz w:val="24"/>
              </w:rPr>
              <w:t>15</w:t>
            </w:r>
          </w:ins>
          <w:r>
            <w:rPr>
              <w:sz w:val="24"/>
            </w:rPr>
            <w:t xml:space="preserve"> </w:t>
          </w:r>
          <w:ins w:id="20" w:author="">
            <w:r>
              <w:rPr>
                <w:b/>
                <w:sz w:val="24"/>
                <w:u w:val="double"/>
              </w:rPr>
              <w:t>16</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3.3   Second Closing Date; Addition of Lenders and Increase in Commitments</w:t>
          </w:r>
          <w:ins w:id="21" w:author="">
            <w:r>
              <w:rPr>
                <w:strike/>
                <w:sz w:val="24"/>
              </w:rPr>
              <w:t>. 15</w:t>
            </w:r>
          </w:ins>
          <w:r>
            <w:rPr>
              <w:sz w:val="24"/>
            </w:rPr>
            <w:tab/>
          </w:r>
          <w:ins w:id="22" w:author="">
            <w:r>
              <w:rPr>
                <w:b/>
                <w:sz w:val="24"/>
                <w:u w:val="double"/>
              </w:rPr>
              <w:t>16</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IV </w:t>
            <w:noBreakHyphen/>
            <w:t xml:space="preserve"> CONDITIONS PRECEDENT</w:t>
            <w:tab/>
          </w:r>
          <w:ins w:id="23" w:author="">
            <w:r>
              <w:rPr>
                <w:strike/>
                <w:sz w:val="24"/>
              </w:rPr>
              <w:t>17</w:t>
            </w:r>
          </w:ins>
          <w:r>
            <w:rPr>
              <w:sz w:val="24"/>
            </w:rPr>
            <w:t xml:space="preserve"> </w:t>
          </w:r>
          <w:ins w:id="24" w:author="">
            <w:r>
              <w:rPr>
                <w:b/>
                <w:sz w:val="24"/>
                <w:u w:val="double"/>
              </w:rPr>
              <w:t>18</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b/>
              <w:sz w:val="24"/>
              <w:u w:val="double"/>
              <w:ins w:id="27" w:author=""/>
            </w:rPr>
          </w:pPr>
          <w:r>
            <w:rPr>
              <w:sz w:val="24"/>
            </w:rPr>
            <w:t>Section  4.1   Conditions Precedent to Lenders’ Obligations</w:t>
          </w:r>
          <w:ins w:id="25" w:author="">
            <w:r>
              <w:rPr>
                <w:strike/>
                <w:sz w:val="24"/>
              </w:rPr>
              <w:t>. 17</w:t>
            </w:r>
          </w:ins>
          <w:r>
            <w:rPr>
              <w:sz w:val="24"/>
            </w:rPr>
            <w:t xml:space="preserve"> </w:t>
          </w:r>
          <w:ins w:id="26" w:author="">
            <w:r>
              <w:rPr>
                <w:b/>
                <w:sz w:val="24"/>
                <w:u w:val="double"/>
              </w:rPr>
              <w:t xml:space="preserve">under this </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800" w:start="2880"/>
            <w:jc w:val="start"/>
            <w:rPr>
              <w:sz w:val="24"/>
            </w:rPr>
          </w:pPr>
          <w:ins w:id="28" w:author="">
            <w:r>
              <w:rPr>
                <w:b/>
                <w:sz w:val="24"/>
                <w:u w:val="double"/>
              </w:rPr>
              <w:tab/>
              <w:tab/>
              <w:tab/>
              <w:t>Agreement</w:t>
              <w:tab/>
              <w:t>18</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ins w:id="31" w:author=""/>
            </w:rPr>
          </w:pPr>
          <w:r>
            <w:rPr>
              <w:sz w:val="24"/>
            </w:rPr>
            <w:t xml:space="preserve">Section  4.2   Conditions Precedent to Lenders’ Obligations to Make Advances.  </w:t>
            <w:tab/>
          </w:r>
          <w:ins w:id="29" w:author="">
            <w:r>
              <w:rPr>
                <w:strike/>
                <w:sz w:val="24"/>
              </w:rPr>
              <w:t>18</w:t>
            </w:r>
          </w:ins>
          <w:r>
            <w:rPr>
              <w:sz w:val="24"/>
            </w:rPr>
            <w:t xml:space="preserve"> </w:t>
          </w:r>
          <w:ins w:id="30" w:author="">
            <w:r>
              <w:rPr>
                <w:b/>
                <w:sz w:val="24"/>
                <w:u w:val="double"/>
              </w:rPr>
              <w:t>19</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b/>
              <w:sz w:val="24"/>
              <w:u w:val="double"/>
              <w:ins w:id="34" w:author=""/>
            </w:rPr>
          </w:pPr>
          <w:ins w:id="32" w:author="">
            <w:r>
              <w:rPr>
                <w:strike/>
                <w:sz w:val="24"/>
              </w:rPr>
              <w:t>Section 4.3</w:t>
            </w:r>
          </w:ins>
          <w:r>
            <w:rPr>
              <w:sz w:val="24"/>
            </w:rPr>
            <w:t xml:space="preserve"> </w:t>
          </w:r>
          <w:ins w:id="33" w:author="">
            <w:r>
              <w:rPr>
                <w:b/>
                <w:sz w:val="24"/>
                <w:u w:val="double"/>
              </w:rPr>
              <w:t>Section  4.3   Conditions Precedent to Lenders’ Obligations to Make Advances</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800" w:start="2880"/>
            <w:jc w:val="start"/>
            <w:rPr>
              <w:b/>
              <w:sz w:val="24"/>
              <w:u w:val="double"/>
              <w:ins w:id="36" w:author=""/>
            </w:rPr>
          </w:pPr>
          <w:ins w:id="35" w:author="">
            <w:r>
              <w:rPr>
                <w:b/>
                <w:sz w:val="24"/>
                <w:u w:val="double"/>
              </w:rPr>
              <w:tab/>
              <w:tab/>
              <w:tab/>
              <w:t xml:space="preserve"> with Respect to the Hawaii Tranche.  </w:t>
              <w:tab/>
              <w:t>22</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b/>
              <w:sz w:val="24"/>
              <w:u w:val="double"/>
              <w:ins w:id="38" w:author=""/>
            </w:rPr>
          </w:pPr>
          <w:ins w:id="37" w:author="">
            <w:r>
              <w:rPr>
                <w:b/>
                <w:sz w:val="24"/>
                <w:u w:val="double"/>
              </w:rPr>
              <w:t xml:space="preserve">Section  4.4   Conditions Precedent to Lenders’ Obligations to Make Advances </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800" w:start="2880"/>
            <w:jc w:val="start"/>
            <w:rPr>
              <w:b/>
              <w:sz w:val="24"/>
              <w:u w:val="double"/>
              <w:ins w:id="40" w:author=""/>
            </w:rPr>
          </w:pPr>
          <w:ins w:id="39" w:author="">
            <w:r>
              <w:rPr>
                <w:b/>
                <w:sz w:val="24"/>
                <w:u w:val="double"/>
              </w:rPr>
              <w:tab/>
              <w:tab/>
              <w:tab/>
              <w:t xml:space="preserve">with Respect to the Hawaii II Tranches.  </w:t>
              <w:tab/>
              <w:t>23</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ins w:id="41" w:author="">
            <w:r>
              <w:rPr>
                <w:b/>
                <w:sz w:val="24"/>
                <w:u w:val="double"/>
              </w:rPr>
              <w:t>Section  4.5</w:t>
            </w:r>
          </w:ins>
          <w:r>
            <w:rPr>
              <w:sz w:val="24"/>
            </w:rPr>
            <w:t xml:space="preserve">   Commitments Not Drawn.  </w:t>
            <w:tab/>
          </w:r>
          <w:ins w:id="42" w:author="">
            <w:r>
              <w:rPr>
                <w:strike/>
                <w:sz w:val="24"/>
              </w:rPr>
              <w:t>20</w:t>
            </w:r>
          </w:ins>
          <w:r>
            <w:rPr>
              <w:sz w:val="24"/>
            </w:rPr>
            <w:t xml:space="preserve"> </w:t>
          </w:r>
          <w:ins w:id="43" w:author="">
            <w:r>
              <w:rPr>
                <w:b/>
                <w:sz w:val="24"/>
                <w:u w:val="double"/>
              </w:rPr>
              <w:t>26</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V </w:t>
            <w:noBreakHyphen/>
            <w:t xml:space="preserve"> DRAWDOWN CERTIFICATION AND DRAWDOWN PROCEDURES</w:t>
            <w:tab/>
          </w:r>
          <w:ins w:id="44" w:author="">
            <w:r>
              <w:rPr>
                <w:strike/>
                <w:sz w:val="24"/>
              </w:rPr>
              <w:t>20</w:t>
            </w:r>
          </w:ins>
          <w:r>
            <w:rPr>
              <w:sz w:val="24"/>
            </w:rPr>
            <w:t xml:space="preserve"> </w:t>
          </w:r>
          <w:ins w:id="45" w:author="">
            <w:r>
              <w:rPr>
                <w:b/>
                <w:sz w:val="24"/>
                <w:u w:val="double"/>
              </w:rPr>
              <w:t>26</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5.1   Certification Procedure.</w:t>
            <w:tab/>
          </w:r>
          <w:ins w:id="46" w:author="">
            <w:r>
              <w:rPr>
                <w:strike/>
                <w:sz w:val="24"/>
              </w:rPr>
              <w:t>20</w:t>
            </w:r>
          </w:ins>
          <w:r>
            <w:rPr>
              <w:sz w:val="24"/>
            </w:rPr>
            <w:t xml:space="preserve"> </w:t>
          </w:r>
          <w:ins w:id="47" w:author="">
            <w:r>
              <w:rPr>
                <w:b/>
                <w:sz w:val="24"/>
                <w:u w:val="double"/>
              </w:rPr>
              <w:t>26</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5.2   Drawdown of the Advances</w:t>
            <w:tab/>
          </w:r>
          <w:ins w:id="48" w:author="">
            <w:r>
              <w:rPr>
                <w:strike/>
                <w:sz w:val="24"/>
              </w:rPr>
              <w:t>22</w:t>
            </w:r>
          </w:ins>
          <w:r>
            <w:rPr>
              <w:sz w:val="24"/>
            </w:rPr>
            <w:t xml:space="preserve"> </w:t>
          </w:r>
          <w:ins w:id="49" w:author="">
            <w:r>
              <w:rPr>
                <w:b/>
                <w:sz w:val="24"/>
                <w:u w:val="double"/>
              </w:rPr>
              <w:t>28</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5.3   Advances</w:t>
            <w:tab/>
          </w:r>
          <w:ins w:id="50" w:author="">
            <w:r>
              <w:rPr>
                <w:strike/>
                <w:sz w:val="24"/>
              </w:rPr>
              <w:t>23</w:t>
            </w:r>
          </w:ins>
          <w:r>
            <w:rPr>
              <w:sz w:val="24"/>
            </w:rPr>
            <w:t xml:space="preserve"> </w:t>
          </w:r>
          <w:ins w:id="51" w:author="">
            <w:r>
              <w:rPr>
                <w:b/>
                <w:sz w:val="24"/>
                <w:u w:val="double"/>
              </w:rPr>
              <w:t>29</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5.4   Notice to Lenders of a Proposed Drawdown</w:t>
            <w:tab/>
          </w:r>
          <w:ins w:id="52" w:author="">
            <w:r>
              <w:rPr>
                <w:strike/>
                <w:sz w:val="24"/>
              </w:rPr>
              <w:t>23</w:t>
            </w:r>
          </w:ins>
          <w:r>
            <w:rPr>
              <w:sz w:val="24"/>
            </w:rPr>
            <w:t xml:space="preserve"> </w:t>
          </w:r>
          <w:ins w:id="53" w:author="">
            <w:r>
              <w:rPr>
                <w:b/>
                <w:sz w:val="24"/>
                <w:u w:val="double"/>
              </w:rPr>
              <w:t>29</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VI </w:t>
            <w:noBreakHyphen/>
            <w:t xml:space="preserve"> REPAYMENT OF ADVANCES</w:t>
            <w:tab/>
          </w:r>
          <w:ins w:id="54" w:author="">
            <w:r>
              <w:rPr>
                <w:strike/>
                <w:sz w:val="24"/>
              </w:rPr>
              <w:t>23</w:t>
            </w:r>
          </w:ins>
          <w:r>
            <w:rPr>
              <w:sz w:val="24"/>
            </w:rPr>
            <w:t xml:space="preserve"> </w:t>
          </w:r>
          <w:ins w:id="55" w:author="">
            <w:r>
              <w:rPr>
                <w:b/>
                <w:sz w:val="24"/>
                <w:u w:val="double"/>
              </w:rPr>
              <w:t>29</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6.1   Obligation to Repay</w:t>
            <w:tab/>
          </w:r>
          <w:ins w:id="56" w:author="">
            <w:r>
              <w:rPr>
                <w:strike/>
                <w:sz w:val="24"/>
              </w:rPr>
              <w:t>23</w:t>
            </w:r>
          </w:ins>
          <w:r>
            <w:rPr>
              <w:sz w:val="24"/>
            </w:rPr>
            <w:t xml:space="preserve"> </w:t>
          </w:r>
          <w:ins w:id="57" w:author="">
            <w:r>
              <w:rPr>
                <w:b/>
                <w:sz w:val="24"/>
                <w:u w:val="double"/>
              </w:rPr>
              <w:t>29</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6.2   Date of Repayment</w:t>
            <w:tab/>
          </w:r>
          <w:ins w:id="58" w:author="">
            <w:r>
              <w:rPr>
                <w:strike/>
                <w:sz w:val="24"/>
              </w:rPr>
              <w:t>23</w:t>
            </w:r>
          </w:ins>
          <w:r>
            <w:rPr>
              <w:sz w:val="24"/>
            </w:rPr>
            <w:t xml:space="preserve"> </w:t>
          </w:r>
          <w:ins w:id="59" w:author="">
            <w:r>
              <w:rPr>
                <w:b/>
                <w:sz w:val="24"/>
                <w:u w:val="double"/>
              </w:rPr>
              <w:t>29</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6.3   Repayment Pursuant to Total Return Swap</w:t>
            <w:tab/>
          </w:r>
          <w:ins w:id="60" w:author="">
            <w:r>
              <w:rPr>
                <w:strike/>
                <w:sz w:val="24"/>
              </w:rPr>
              <w:t>24</w:t>
            </w:r>
          </w:ins>
          <w:r>
            <w:rPr>
              <w:sz w:val="24"/>
            </w:rPr>
            <w:t xml:space="preserve"> </w:t>
          </w:r>
          <w:ins w:id="61" w:author="">
            <w:r>
              <w:rPr>
                <w:b/>
                <w:sz w:val="24"/>
                <w:u w:val="double"/>
              </w:rPr>
              <w:t>29</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VII </w:t>
            <w:noBreakHyphen/>
            <w:t xml:space="preserve"> PREPAYMENT</w:t>
            <w:tab/>
          </w:r>
          <w:ins w:id="62" w:author="">
            <w:r>
              <w:rPr>
                <w:strike/>
                <w:sz w:val="24"/>
              </w:rPr>
              <w:t>24</w:t>
            </w:r>
          </w:ins>
          <w:r>
            <w:rPr>
              <w:sz w:val="24"/>
            </w:rPr>
            <w:t xml:space="preserve"> </w:t>
          </w:r>
          <w:ins w:id="63" w:author="">
            <w:r>
              <w:rPr>
                <w:b/>
                <w:sz w:val="24"/>
                <w:u w:val="double"/>
              </w:rPr>
              <w:t>30</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7.1   Mandatory Prepayments</w:t>
            <w:tab/>
          </w:r>
          <w:ins w:id="64" w:author="">
            <w:r>
              <w:rPr>
                <w:strike/>
                <w:sz w:val="24"/>
              </w:rPr>
              <w:t>24</w:t>
            </w:r>
          </w:ins>
          <w:r>
            <w:rPr>
              <w:sz w:val="24"/>
            </w:rPr>
            <w:t xml:space="preserve"> </w:t>
          </w:r>
          <w:ins w:id="65" w:author="">
            <w:r>
              <w:rPr>
                <w:b/>
                <w:sz w:val="24"/>
                <w:u w:val="double"/>
              </w:rPr>
              <w:t>30</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7.2   Optional Prepayments</w:t>
            <w:tab/>
          </w:r>
          <w:ins w:id="66" w:author="">
            <w:r>
              <w:rPr>
                <w:strike/>
                <w:sz w:val="24"/>
              </w:rPr>
              <w:t>24</w:t>
            </w:r>
          </w:ins>
          <w:r>
            <w:rPr>
              <w:sz w:val="24"/>
            </w:rPr>
            <w:t xml:space="preserve"> </w:t>
          </w:r>
          <w:ins w:id="67" w:author="">
            <w:r>
              <w:rPr>
                <w:b/>
                <w:sz w:val="24"/>
                <w:u w:val="double"/>
              </w:rPr>
              <w:t>30</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7.3   General</w:t>
            <w:tab/>
          </w:r>
          <w:ins w:id="68" w:author="">
            <w:r>
              <w:rPr>
                <w:strike/>
                <w:sz w:val="24"/>
              </w:rPr>
              <w:t>24</w:t>
            </w:r>
          </w:ins>
          <w:r>
            <w:rPr>
              <w:sz w:val="24"/>
            </w:rPr>
            <w:t xml:space="preserve"> </w:t>
          </w:r>
          <w:ins w:id="69" w:author="">
            <w:r>
              <w:rPr>
                <w:b/>
                <w:sz w:val="24"/>
                <w:u w:val="double"/>
              </w:rPr>
              <w:t>30</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VIII </w:t>
            <w:noBreakHyphen/>
            <w:t xml:space="preserve"> INTEREST; INCREASED COSTS; TAXES</w:t>
            <w:tab/>
          </w:r>
          <w:ins w:id="70" w:author="">
            <w:r>
              <w:rPr>
                <w:strike/>
                <w:sz w:val="24"/>
              </w:rPr>
              <w:t>25</w:t>
            </w:r>
          </w:ins>
          <w:r>
            <w:rPr>
              <w:sz w:val="24"/>
            </w:rPr>
            <w:t xml:space="preserve"> </w:t>
          </w:r>
          <w:ins w:id="71" w:author="">
            <w:r>
              <w:rPr>
                <w:b/>
                <w:sz w:val="24"/>
                <w:u w:val="double"/>
              </w:rPr>
              <w:t>31</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8.1   Interest Rates</w:t>
            <w:tab/>
          </w:r>
          <w:ins w:id="72" w:author="">
            <w:r>
              <w:rPr>
                <w:strike/>
                <w:sz w:val="24"/>
              </w:rPr>
              <w:t>25</w:t>
            </w:r>
          </w:ins>
          <w:r>
            <w:rPr>
              <w:sz w:val="24"/>
            </w:rPr>
            <w:t xml:space="preserve"> </w:t>
          </w:r>
          <w:ins w:id="73" w:author="">
            <w:r>
              <w:rPr>
                <w:b/>
                <w:sz w:val="24"/>
                <w:u w:val="double"/>
              </w:rPr>
              <w:t>31</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8.2   Duration of Interest Periods; Conversion and Continuation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800" w:start="2880"/>
            <w:jc w:val="start"/>
            <w:rPr>
              <w:sz w:val="24"/>
            </w:rPr>
          </w:pPr>
          <w:r>
            <w:rPr>
              <w:sz w:val="24"/>
            </w:rPr>
            <w:tab/>
            <w:tab/>
            <w:tab/>
            <w:t>of Advances</w:t>
            <w:tab/>
          </w:r>
          <w:ins w:id="74" w:author="">
            <w:r>
              <w:rPr>
                <w:strike/>
                <w:sz w:val="24"/>
              </w:rPr>
              <w:t>26</w:t>
            </w:r>
          </w:ins>
          <w:r>
            <w:rPr>
              <w:sz w:val="24"/>
            </w:rPr>
            <w:t xml:space="preserve"> </w:t>
          </w:r>
          <w:ins w:id="75" w:author="">
            <w:r>
              <w:rPr>
                <w:b/>
                <w:sz w:val="24"/>
                <w:u w:val="double"/>
              </w:rPr>
              <w:t>31</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8.3   Interest on Unpaid Sums</w:t>
            <w:tab/>
          </w:r>
          <w:ins w:id="76" w:author="">
            <w:r>
              <w:rPr>
                <w:strike/>
                <w:sz w:val="24"/>
              </w:rPr>
              <w:t>27</w:t>
            </w:r>
          </w:ins>
          <w:r>
            <w:rPr>
              <w:sz w:val="24"/>
            </w:rPr>
            <w:t xml:space="preserve"> </w:t>
          </w:r>
          <w:ins w:id="77" w:author="">
            <w:r>
              <w:rPr>
                <w:b/>
                <w:sz w:val="24"/>
                <w:u w:val="double"/>
              </w:rPr>
              <w:t>33</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8.4   Additional Interest on LIBOR Advances</w:t>
            <w:tab/>
          </w:r>
          <w:ins w:id="78" w:author="">
            <w:r>
              <w:rPr>
                <w:strike/>
                <w:sz w:val="24"/>
              </w:rPr>
              <w:t>27</w:t>
            </w:r>
          </w:ins>
          <w:r>
            <w:rPr>
              <w:sz w:val="24"/>
            </w:rPr>
            <w:t xml:space="preserve"> </w:t>
          </w:r>
          <w:ins w:id="79" w:author="">
            <w:r>
              <w:rPr>
                <w:b/>
                <w:sz w:val="24"/>
                <w:u w:val="double"/>
              </w:rPr>
              <w:t>33</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8.5   Interest Rate Determination and Protection</w:t>
            <w:tab/>
          </w:r>
          <w:ins w:id="80" w:author="">
            <w:r>
              <w:rPr>
                <w:strike/>
                <w:sz w:val="24"/>
              </w:rPr>
              <w:t>27</w:t>
            </w:r>
          </w:ins>
          <w:r>
            <w:rPr>
              <w:sz w:val="24"/>
            </w:rPr>
            <w:t xml:space="preserve"> </w:t>
          </w:r>
          <w:ins w:id="81" w:author="">
            <w:r>
              <w:rPr>
                <w:b/>
                <w:sz w:val="24"/>
                <w:u w:val="double"/>
              </w:rPr>
              <w:t>33</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8.6   Increased Costs; Capital Adequacy, Etc.</w:t>
            <w:tab/>
          </w:r>
          <w:ins w:id="82" w:author="">
            <w:r>
              <w:rPr>
                <w:strike/>
                <w:sz w:val="24"/>
              </w:rPr>
              <w:t>28</w:t>
            </w:r>
          </w:ins>
          <w:r>
            <w:rPr>
              <w:sz w:val="24"/>
            </w:rPr>
            <w:t xml:space="preserve"> </w:t>
          </w:r>
          <w:ins w:id="83" w:author="">
            <w:r>
              <w:rPr>
                <w:b/>
                <w:sz w:val="24"/>
                <w:u w:val="double"/>
              </w:rPr>
              <w:t>34</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8.7   Illegality</w:t>
            <w:tab/>
          </w:r>
          <w:ins w:id="84" w:author="">
            <w:r>
              <w:rPr>
                <w:strike/>
                <w:sz w:val="24"/>
              </w:rPr>
              <w:t>29</w:t>
            </w:r>
          </w:ins>
          <w:r>
            <w:rPr>
              <w:sz w:val="24"/>
            </w:rPr>
            <w:t xml:space="preserve"> </w:t>
          </w:r>
          <w:ins w:id="85" w:author="">
            <w:r>
              <w:rPr>
                <w:b/>
                <w:sz w:val="24"/>
                <w:u w:val="double"/>
              </w:rPr>
              <w:t>35</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8.8   Taxes</w:t>
            <w:tab/>
          </w:r>
          <w:ins w:id="86" w:author="">
            <w:r>
              <w:rPr>
                <w:strike/>
                <w:sz w:val="24"/>
              </w:rPr>
              <w:t>29</w:t>
            </w:r>
          </w:ins>
          <w:r>
            <w:rPr>
              <w:sz w:val="24"/>
            </w:rPr>
            <w:t xml:space="preserve"> </w:t>
          </w:r>
          <w:ins w:id="87" w:author="">
            <w:r>
              <w:rPr>
                <w:b/>
                <w:sz w:val="24"/>
                <w:u w:val="double"/>
              </w:rPr>
              <w:t>35</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trike/>
              <w:sz w:val="24"/>
              <w:ins w:id="89" w:author=""/>
            </w:rPr>
          </w:pPr>
          <w:r>
            <w:rPr>
              <w:sz w:val="24"/>
            </w:rPr>
            <w:t>Section  8.9   Replacement of Lender</w:t>
            <w:tab/>
          </w:r>
          <w:ins w:id="88" w:author="">
            <w:r>
              <w:rPr>
                <w:strike/>
                <w:sz w:val="24"/>
              </w:rPr>
              <w:t>31</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u w:val="double"/>
              <w:ins w:id="91" w:author=""/>
            </w:rPr>
          </w:pPr>
          <w:ins w:id="90" w:author="">
            <w:r>
              <w:rPr>
                <w:b/>
                <w:sz w:val="24"/>
                <w:u w:val="double"/>
              </w:rPr>
              <w:t>37</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ins w:id="92" w:author="">
            <w:r>
              <w:rPr>
                <w:b/>
                <w:sz w:val="24"/>
                <w:u w:val="double"/>
              </w:rPr>
              <w:tab/>
              <w:t>Section 8.10  Tax Characterization; Construction</w:t>
              <w:tab/>
              <w:t>38</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IX </w:t>
            <w:noBreakHyphen/>
            <w:t xml:space="preserve"> PAYMENTS</w:t>
            <w:tab/>
          </w:r>
          <w:ins w:id="93" w:author="">
            <w:r>
              <w:rPr>
                <w:strike/>
                <w:sz w:val="24"/>
              </w:rPr>
              <w:t>32</w:t>
            </w:r>
          </w:ins>
          <w:r>
            <w:rPr>
              <w:sz w:val="24"/>
            </w:rPr>
            <w:t xml:space="preserve"> </w:t>
          </w:r>
          <w:ins w:id="94" w:author="">
            <w:r>
              <w:rPr>
                <w:b/>
                <w:sz w:val="24"/>
                <w:u w:val="double"/>
              </w:rPr>
              <w:t>38</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9.1   Place and Time</w:t>
            <w:tab/>
          </w:r>
          <w:ins w:id="95" w:author="">
            <w:r>
              <w:rPr>
                <w:strike/>
                <w:sz w:val="24"/>
              </w:rPr>
              <w:t>32</w:t>
            </w:r>
          </w:ins>
          <w:r>
            <w:rPr>
              <w:sz w:val="24"/>
            </w:rPr>
            <w:t xml:space="preserve"> </w:t>
          </w:r>
          <w:ins w:id="96" w:author="">
            <w:r>
              <w:rPr>
                <w:b/>
                <w:sz w:val="24"/>
                <w:u w:val="double"/>
              </w:rPr>
              <w:t>38</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9.2   No Deductions</w:t>
            <w:tab/>
          </w:r>
          <w:ins w:id="97" w:author="">
            <w:r>
              <w:rPr>
                <w:strike/>
                <w:sz w:val="24"/>
              </w:rPr>
              <w:t>33</w:t>
            </w:r>
          </w:ins>
          <w:r>
            <w:rPr>
              <w:sz w:val="24"/>
            </w:rPr>
            <w:t xml:space="preserve"> </w:t>
          </w:r>
          <w:ins w:id="98" w:author="">
            <w:r>
              <w:rPr>
                <w:b/>
                <w:sz w:val="24"/>
                <w:u w:val="double"/>
              </w:rPr>
              <w:t>39</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9.3   Payments on Business Days</w:t>
            <w:tab/>
          </w:r>
          <w:ins w:id="99" w:author="">
            <w:r>
              <w:rPr>
                <w:strike/>
                <w:sz w:val="24"/>
              </w:rPr>
              <w:t>33</w:t>
            </w:r>
          </w:ins>
          <w:r>
            <w:rPr>
              <w:sz w:val="24"/>
            </w:rPr>
            <w:t xml:space="preserve"> </w:t>
          </w:r>
          <w:ins w:id="100" w:author="">
            <w:r>
              <w:rPr>
                <w:b/>
                <w:sz w:val="24"/>
                <w:u w:val="double"/>
              </w:rPr>
              <w:t>39</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9.4   Accounts</w:t>
            <w:tab/>
          </w:r>
          <w:ins w:id="101" w:author="">
            <w:r>
              <w:rPr>
                <w:strike/>
                <w:sz w:val="24"/>
              </w:rPr>
              <w:t>33</w:t>
            </w:r>
          </w:ins>
          <w:r>
            <w:rPr>
              <w:sz w:val="24"/>
            </w:rPr>
            <w:t xml:space="preserve"> </w:t>
          </w:r>
          <w:ins w:id="102" w:author="">
            <w:r>
              <w:rPr>
                <w:b/>
                <w:sz w:val="24"/>
                <w:u w:val="double"/>
              </w:rPr>
              <w:t>39</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9.5   Currency</w:t>
            <w:tab/>
          </w:r>
          <w:ins w:id="103" w:author="">
            <w:r>
              <w:rPr>
                <w:strike/>
                <w:sz w:val="24"/>
              </w:rPr>
              <w:t>33</w:t>
            </w:r>
          </w:ins>
          <w:r>
            <w:rPr>
              <w:sz w:val="24"/>
            </w:rPr>
            <w:t xml:space="preserve"> </w:t>
          </w:r>
          <w:ins w:id="104" w:author="">
            <w:r>
              <w:rPr>
                <w:b/>
                <w:sz w:val="24"/>
                <w:u w:val="double"/>
              </w:rPr>
              <w:t>39</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 </w:t>
            <w:noBreakHyphen/>
            <w:t xml:space="preserve"> </w:t>
          </w:r>
          <w:r>
            <w:rPr>
              <w:sz w:val="24"/>
              <w:u w:val="single"/>
            </w:rPr>
            <w:t>CERTIFICATES CONCLUSIVE</w:t>
          </w:r>
          <w:r>
            <w:rPr>
              <w:sz w:val="24"/>
            </w:rPr>
            <w:tab/>
          </w:r>
          <w:ins w:id="105" w:author="">
            <w:r>
              <w:rPr>
                <w:strike/>
                <w:sz w:val="24"/>
              </w:rPr>
              <w:t>33</w:t>
            </w:r>
          </w:ins>
          <w:r>
            <w:rPr>
              <w:sz w:val="24"/>
            </w:rPr>
            <w:t xml:space="preserve"> </w:t>
          </w:r>
          <w:ins w:id="106" w:author="">
            <w:r>
              <w:rPr>
                <w:b/>
                <w:sz w:val="24"/>
                <w:u w:val="double"/>
              </w:rPr>
              <w:t>40</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XI </w:t>
            <w:noBreakHyphen/>
            <w:t xml:space="preserve"> REPRESENTATIONS AND WARRANTIES</w:t>
            <w:tab/>
          </w:r>
          <w:ins w:id="107" w:author="">
            <w:r>
              <w:rPr>
                <w:strike/>
                <w:sz w:val="24"/>
              </w:rPr>
              <w:t>34</w:t>
            </w:r>
          </w:ins>
          <w:r>
            <w:rPr>
              <w:sz w:val="24"/>
            </w:rPr>
            <w:t xml:space="preserve"> </w:t>
          </w:r>
          <w:ins w:id="108" w:author="">
            <w:r>
              <w:rPr>
                <w:b/>
                <w:sz w:val="24"/>
                <w:u w:val="double"/>
              </w:rPr>
              <w:t>40</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   Reliance and Effective Time</w:t>
            <w:tab/>
          </w:r>
          <w:ins w:id="109" w:author="">
            <w:r>
              <w:rPr>
                <w:strike/>
                <w:sz w:val="24"/>
              </w:rPr>
              <w:t>34</w:t>
            </w:r>
          </w:ins>
          <w:r>
            <w:rPr>
              <w:sz w:val="24"/>
            </w:rPr>
            <w:t xml:space="preserve"> </w:t>
          </w:r>
          <w:ins w:id="110" w:author="">
            <w:r>
              <w:rPr>
                <w:b/>
                <w:sz w:val="24"/>
                <w:u w:val="double"/>
              </w:rPr>
              <w:t>40</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11.2   Organization</w:t>
            <w:tab/>
          </w:r>
          <w:ins w:id="111" w:author="">
            <w:r>
              <w:rPr>
                <w:strike/>
                <w:sz w:val="24"/>
              </w:rPr>
              <w:t>34</w:t>
            </w:r>
          </w:ins>
          <w:r>
            <w:rPr>
              <w:sz w:val="24"/>
            </w:rPr>
            <w:t xml:space="preserve"> </w:t>
          </w:r>
          <w:ins w:id="112" w:author="">
            <w:r>
              <w:rPr>
                <w:b/>
                <w:sz w:val="24"/>
                <w:u w:val="double"/>
              </w:rPr>
              <w:t>40</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11.3   Power and Authority</w:t>
            <w:tab/>
          </w:r>
          <w:ins w:id="113" w:author="">
            <w:r>
              <w:rPr>
                <w:strike/>
                <w:sz w:val="24"/>
              </w:rPr>
              <w:t>34</w:t>
            </w:r>
          </w:ins>
          <w:r>
            <w:rPr>
              <w:sz w:val="24"/>
            </w:rPr>
            <w:t xml:space="preserve"> </w:t>
          </w:r>
          <w:ins w:id="114" w:author="">
            <w:r>
              <w:rPr>
                <w:b/>
                <w:sz w:val="24"/>
                <w:u w:val="double"/>
              </w:rPr>
              <w:t>40</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11.4   No Contravention</w:t>
            <w:tab/>
          </w:r>
          <w:ins w:id="115" w:author="">
            <w:r>
              <w:rPr>
                <w:strike/>
                <w:sz w:val="24"/>
              </w:rPr>
              <w:t>34</w:t>
            </w:r>
          </w:ins>
          <w:r>
            <w:rPr>
              <w:sz w:val="24"/>
            </w:rPr>
            <w:t xml:space="preserve"> </w:t>
          </w:r>
          <w:ins w:id="116" w:author="">
            <w:r>
              <w:rPr>
                <w:b/>
                <w:sz w:val="24"/>
                <w:u w:val="double"/>
              </w:rPr>
              <w:t>41</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11.5   Authorizations and Consents</w:t>
            <w:tab/>
          </w:r>
          <w:ins w:id="117" w:author="">
            <w:r>
              <w:rPr>
                <w:strike/>
                <w:sz w:val="24"/>
              </w:rPr>
              <w:t>35</w:t>
            </w:r>
          </w:ins>
          <w:r>
            <w:rPr>
              <w:sz w:val="24"/>
            </w:rPr>
            <w:t xml:space="preserve"> </w:t>
          </w:r>
          <w:ins w:id="118" w:author="">
            <w:r>
              <w:rPr>
                <w:b/>
                <w:sz w:val="24"/>
                <w:u w:val="double"/>
              </w:rPr>
              <w:t>41</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11.6   Enforceability; Ranking</w:t>
            <w:tab/>
          </w:r>
          <w:ins w:id="119" w:author="">
            <w:r>
              <w:rPr>
                <w:strike/>
                <w:sz w:val="24"/>
              </w:rPr>
              <w:t>35</w:t>
            </w:r>
          </w:ins>
          <w:r>
            <w:rPr>
              <w:sz w:val="24"/>
            </w:rPr>
            <w:t xml:space="preserve"> </w:t>
          </w:r>
          <w:ins w:id="120" w:author="">
            <w:r>
              <w:rPr>
                <w:b/>
                <w:sz w:val="24"/>
                <w:u w:val="double"/>
              </w:rPr>
              <w:t>41</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11.7   Litigation</w:t>
            <w:tab/>
          </w:r>
          <w:ins w:id="121" w:author="">
            <w:r>
              <w:rPr>
                <w:strike/>
                <w:sz w:val="24"/>
              </w:rPr>
              <w:t>35</w:t>
            </w:r>
          </w:ins>
          <w:r>
            <w:rPr>
              <w:sz w:val="24"/>
            </w:rPr>
            <w:t xml:space="preserve"> </w:t>
          </w:r>
          <w:ins w:id="122" w:author="">
            <w:r>
              <w:rPr>
                <w:b/>
                <w:sz w:val="24"/>
                <w:u w:val="double"/>
              </w:rPr>
              <w:t>41</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11.8   No Material Adverse Effect</w:t>
            <w:tab/>
          </w:r>
          <w:ins w:id="123" w:author="">
            <w:r>
              <w:rPr>
                <w:strike/>
                <w:sz w:val="24"/>
              </w:rPr>
              <w:t>35</w:t>
            </w:r>
          </w:ins>
          <w:r>
            <w:rPr>
              <w:sz w:val="24"/>
            </w:rPr>
            <w:t xml:space="preserve"> </w:t>
          </w:r>
          <w:ins w:id="124" w:author="">
            <w:r>
              <w:rPr>
                <w:b/>
                <w:sz w:val="24"/>
                <w:u w:val="double"/>
              </w:rPr>
              <w:t>42</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11.9   Liens</w:t>
            <w:tab/>
          </w:r>
          <w:ins w:id="125" w:author="">
            <w:r>
              <w:rPr>
                <w:strike/>
                <w:sz w:val="24"/>
              </w:rPr>
              <w:t>35</w:t>
            </w:r>
          </w:ins>
          <w:r>
            <w:rPr>
              <w:sz w:val="24"/>
            </w:rPr>
            <w:t xml:space="preserve"> </w:t>
          </w:r>
          <w:ins w:id="126" w:author="">
            <w:r>
              <w:rPr>
                <w:b/>
                <w:sz w:val="24"/>
                <w:u w:val="double"/>
              </w:rPr>
              <w:t>42</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11.10   No Defaults</w:t>
            <w:tab/>
          </w:r>
          <w:ins w:id="127" w:author="">
            <w:r>
              <w:rPr>
                <w:strike/>
                <w:sz w:val="24"/>
              </w:rPr>
              <w:t>35</w:t>
            </w:r>
          </w:ins>
          <w:r>
            <w:rPr>
              <w:sz w:val="24"/>
            </w:rPr>
            <w:t xml:space="preserve"> </w:t>
          </w:r>
          <w:ins w:id="128" w:author="">
            <w:r>
              <w:rPr>
                <w:b/>
                <w:sz w:val="24"/>
                <w:u w:val="double"/>
              </w:rPr>
              <w:t>42</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11.11   Compliance with Laws</w:t>
            <w:tab/>
          </w:r>
          <w:ins w:id="129" w:author="">
            <w:r>
              <w:rPr>
                <w:strike/>
                <w:sz w:val="24"/>
              </w:rPr>
              <w:t>36</w:t>
            </w:r>
          </w:ins>
          <w:r>
            <w:rPr>
              <w:sz w:val="24"/>
            </w:rPr>
            <w:t xml:space="preserve"> </w:t>
          </w:r>
          <w:ins w:id="130" w:author="">
            <w:r>
              <w:rPr>
                <w:b/>
                <w:sz w:val="24"/>
                <w:u w:val="double"/>
              </w:rPr>
              <w:t>42</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11.12   Business:  Ownership of Assets for Business Operations</w:t>
            <w:tab/>
          </w:r>
          <w:ins w:id="131" w:author="">
            <w:r>
              <w:rPr>
                <w:strike/>
                <w:sz w:val="24"/>
              </w:rPr>
              <w:t>36</w:t>
            </w:r>
          </w:ins>
          <w:r>
            <w:rPr>
              <w:sz w:val="24"/>
            </w:rPr>
            <w:t xml:space="preserve"> </w:t>
          </w:r>
          <w:ins w:id="132" w:author="">
            <w:r>
              <w:rPr>
                <w:b/>
                <w:sz w:val="24"/>
                <w:u w:val="double"/>
              </w:rPr>
              <w:t>42</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11.13   Tax Liabilities</w:t>
            <w:tab/>
          </w:r>
          <w:ins w:id="133" w:author="">
            <w:r>
              <w:rPr>
                <w:strike/>
                <w:sz w:val="24"/>
              </w:rPr>
              <w:t>36</w:t>
            </w:r>
          </w:ins>
          <w:r>
            <w:rPr>
              <w:sz w:val="24"/>
            </w:rPr>
            <w:t xml:space="preserve"> </w:t>
          </w:r>
          <w:ins w:id="134" w:author="">
            <w:r>
              <w:rPr>
                <w:b/>
                <w:sz w:val="24"/>
                <w:u w:val="double"/>
              </w:rPr>
              <w:t>43</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11.14   Solvency</w:t>
            <w:tab/>
          </w:r>
          <w:ins w:id="135" w:author="">
            <w:r>
              <w:rPr>
                <w:strike/>
                <w:sz w:val="24"/>
              </w:rPr>
              <w:t>36</w:t>
            </w:r>
          </w:ins>
          <w:r>
            <w:rPr>
              <w:sz w:val="24"/>
            </w:rPr>
            <w:t xml:space="preserve"> </w:t>
          </w:r>
          <w:ins w:id="136" w:author="">
            <w:r>
              <w:rPr>
                <w:b/>
                <w:sz w:val="24"/>
                <w:u w:val="double"/>
              </w:rPr>
              <w:t>43</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11.15   Indebtedness</w:t>
            <w:tab/>
          </w:r>
          <w:ins w:id="137" w:author="">
            <w:r>
              <w:rPr>
                <w:strike/>
                <w:sz w:val="24"/>
              </w:rPr>
              <w:t>36</w:t>
            </w:r>
          </w:ins>
          <w:r>
            <w:rPr>
              <w:sz w:val="24"/>
            </w:rPr>
            <w:t xml:space="preserve"> </w:t>
          </w:r>
          <w:ins w:id="138" w:author="">
            <w:r>
              <w:rPr>
                <w:b/>
                <w:sz w:val="24"/>
                <w:u w:val="double"/>
              </w:rPr>
              <w:t>43</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11.16   Margin Stock</w:t>
            <w:tab/>
          </w:r>
          <w:ins w:id="139" w:author="">
            <w:r>
              <w:rPr>
                <w:strike/>
                <w:sz w:val="24"/>
              </w:rPr>
              <w:t>37</w:t>
            </w:r>
          </w:ins>
          <w:r>
            <w:rPr>
              <w:sz w:val="24"/>
            </w:rPr>
            <w:t xml:space="preserve"> </w:t>
          </w:r>
          <w:ins w:id="140" w:author="">
            <w:r>
              <w:rPr>
                <w:b/>
                <w:sz w:val="24"/>
                <w:u w:val="double"/>
              </w:rPr>
              <w:t>43</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11.17   Investment Company Act and PUHCA</w:t>
            <w:tab/>
          </w:r>
          <w:ins w:id="141" w:author="">
            <w:r>
              <w:rPr>
                <w:strike/>
                <w:sz w:val="24"/>
              </w:rPr>
              <w:t>37</w:t>
            </w:r>
          </w:ins>
          <w:r>
            <w:rPr>
              <w:sz w:val="24"/>
            </w:rPr>
            <w:t xml:space="preserve"> </w:t>
          </w:r>
          <w:ins w:id="142" w:author="">
            <w:r>
              <w:rPr>
                <w:b/>
                <w:sz w:val="24"/>
                <w:u w:val="double"/>
              </w:rPr>
              <w:t>43</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XII </w:t>
            <w:noBreakHyphen/>
            <w:t xml:space="preserve"> COVENANTS</w:t>
            <w:tab/>
          </w:r>
          <w:ins w:id="143" w:author="">
            <w:r>
              <w:rPr>
                <w:strike/>
                <w:sz w:val="24"/>
              </w:rPr>
              <w:t>37</w:t>
            </w:r>
          </w:ins>
          <w:r>
            <w:rPr>
              <w:sz w:val="24"/>
            </w:rPr>
            <w:t xml:space="preserve"> </w:t>
          </w:r>
          <w:ins w:id="144" w:author="">
            <w:r>
              <w:rPr>
                <w:b/>
                <w:sz w:val="24"/>
                <w:u w:val="double"/>
              </w:rPr>
              <w:t>43</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12.1   Duration</w:t>
            <w:tab/>
          </w:r>
          <w:ins w:id="145" w:author="">
            <w:r>
              <w:rPr>
                <w:strike/>
                <w:sz w:val="24"/>
              </w:rPr>
              <w:t>37</w:t>
            </w:r>
          </w:ins>
          <w:r>
            <w:rPr>
              <w:sz w:val="24"/>
            </w:rPr>
            <w:t xml:space="preserve"> </w:t>
          </w:r>
          <w:ins w:id="146" w:author="">
            <w:r>
              <w:rPr>
                <w:b/>
                <w:sz w:val="24"/>
                <w:u w:val="double"/>
              </w:rPr>
              <w:t>43</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12.2   General Covenants</w:t>
            <w:tab/>
          </w:r>
          <w:ins w:id="147" w:author="">
            <w:r>
              <w:rPr>
                <w:strike/>
                <w:sz w:val="24"/>
              </w:rPr>
              <w:t>37</w:t>
            </w:r>
          </w:ins>
          <w:r>
            <w:rPr>
              <w:sz w:val="24"/>
            </w:rPr>
            <w:t xml:space="preserve"> </w:t>
          </w:r>
          <w:ins w:id="148" w:author="">
            <w:r>
              <w:rPr>
                <w:b/>
                <w:sz w:val="24"/>
                <w:u w:val="double"/>
              </w:rPr>
              <w:t>43</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12.3   Information Covenants</w:t>
            <w:tab/>
          </w:r>
          <w:ins w:id="149" w:author="">
            <w:r>
              <w:rPr>
                <w:strike/>
                <w:sz w:val="24"/>
              </w:rPr>
              <w:t>39</w:t>
            </w:r>
          </w:ins>
          <w:r>
            <w:rPr>
              <w:sz w:val="24"/>
            </w:rPr>
            <w:t xml:space="preserve"> </w:t>
          </w:r>
          <w:ins w:id="150" w:author="">
            <w:r>
              <w:rPr>
                <w:b/>
                <w:sz w:val="24"/>
                <w:u w:val="double"/>
              </w:rPr>
              <w:t>46</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12.4   Separateness</w:t>
            <w:tab/>
          </w:r>
          <w:ins w:id="151" w:author="">
            <w:r>
              <w:rPr>
                <w:strike/>
                <w:sz w:val="24"/>
              </w:rPr>
              <w:t>40</w:t>
            </w:r>
          </w:ins>
          <w:r>
            <w:rPr>
              <w:sz w:val="24"/>
            </w:rPr>
            <w:t xml:space="preserve"> </w:t>
          </w:r>
          <w:ins w:id="152" w:author="">
            <w:r>
              <w:rPr>
                <w:b/>
                <w:sz w:val="24"/>
                <w:u w:val="double"/>
              </w:rPr>
              <w:t>46</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12.5   Exercise of Put Options; Demand Note</w:t>
            <w:tab/>
          </w:r>
          <w:ins w:id="153" w:author="">
            <w:r>
              <w:rPr>
                <w:strike/>
                <w:sz w:val="24"/>
              </w:rPr>
              <w:t>40</w:t>
            </w:r>
          </w:ins>
          <w:r>
            <w:rPr>
              <w:sz w:val="24"/>
            </w:rPr>
            <w:t xml:space="preserve"> </w:t>
          </w:r>
          <w:ins w:id="154" w:author="">
            <w:r>
              <w:rPr>
                <w:b/>
                <w:sz w:val="24"/>
                <w:u w:val="double"/>
              </w:rPr>
              <w:t>47</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XIII </w:t>
            <w:noBreakHyphen/>
            <w:t xml:space="preserve"> EVENTS OF DEFAULT</w:t>
            <w:tab/>
          </w:r>
          <w:ins w:id="155" w:author="">
            <w:r>
              <w:rPr>
                <w:strike/>
                <w:sz w:val="24"/>
              </w:rPr>
              <w:t>40</w:t>
            </w:r>
          </w:ins>
          <w:r>
            <w:rPr>
              <w:sz w:val="24"/>
            </w:rPr>
            <w:t xml:space="preserve"> </w:t>
          </w:r>
          <w:ins w:id="156" w:author="">
            <w:r>
              <w:rPr>
                <w:b/>
                <w:sz w:val="24"/>
                <w:u w:val="double"/>
              </w:rPr>
              <w:t>47</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13.1   List of Events</w:t>
            <w:tab/>
          </w:r>
          <w:ins w:id="157" w:author="">
            <w:r>
              <w:rPr>
                <w:strike/>
                <w:sz w:val="24"/>
              </w:rPr>
              <w:t>40</w:t>
            </w:r>
          </w:ins>
          <w:r>
            <w:rPr>
              <w:sz w:val="24"/>
            </w:rPr>
            <w:t xml:space="preserve"> </w:t>
          </w:r>
          <w:ins w:id="158" w:author="">
            <w:r>
              <w:rPr>
                <w:b/>
                <w:sz w:val="24"/>
                <w:u w:val="double"/>
              </w:rPr>
              <w:t>47</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13.2   Cancellation and Repayment</w:t>
            <w:tab/>
          </w:r>
          <w:ins w:id="159" w:author="">
            <w:r>
              <w:rPr>
                <w:strike/>
                <w:sz w:val="24"/>
              </w:rPr>
              <w:t>42</w:t>
            </w:r>
          </w:ins>
          <w:r>
            <w:rPr>
              <w:sz w:val="24"/>
            </w:rPr>
            <w:t xml:space="preserve"> </w:t>
          </w:r>
          <w:ins w:id="160" w:author="">
            <w:r>
              <w:rPr>
                <w:b/>
                <w:sz w:val="24"/>
                <w:u w:val="double"/>
              </w:rPr>
              <w:t>48</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XIV </w:t>
            <w:noBreakHyphen/>
            <w:t xml:space="preserve"> THE AGENT AND THE OTHER FINANCE PARTIES</w:t>
            <w:tab/>
          </w:r>
          <w:ins w:id="161" w:author="">
            <w:r>
              <w:rPr>
                <w:strike/>
                <w:sz w:val="24"/>
              </w:rPr>
              <w:t>42</w:t>
            </w:r>
          </w:ins>
          <w:r>
            <w:rPr>
              <w:sz w:val="24"/>
            </w:rPr>
            <w:t xml:space="preserve"> </w:t>
          </w:r>
          <w:ins w:id="162" w:author="">
            <w:r>
              <w:rPr>
                <w:b/>
                <w:sz w:val="24"/>
                <w:u w:val="double"/>
              </w:rPr>
              <w:t>49</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14.1   Appointment and Duties of the Agent</w:t>
            <w:tab/>
          </w:r>
          <w:ins w:id="163" w:author="">
            <w:r>
              <w:rPr>
                <w:strike/>
                <w:sz w:val="24"/>
              </w:rPr>
              <w:t>42</w:t>
            </w:r>
          </w:ins>
          <w:r>
            <w:rPr>
              <w:sz w:val="24"/>
            </w:rPr>
            <w:t xml:space="preserve"> </w:t>
          </w:r>
          <w:ins w:id="164" w:author="">
            <w:r>
              <w:rPr>
                <w:b/>
                <w:sz w:val="24"/>
                <w:u w:val="double"/>
              </w:rPr>
              <w:t>49</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14.2   Agent’s Duties</w:t>
            <w:tab/>
          </w:r>
          <w:ins w:id="165" w:author="">
            <w:r>
              <w:rPr>
                <w:strike/>
                <w:sz w:val="24"/>
              </w:rPr>
              <w:t>43</w:t>
            </w:r>
          </w:ins>
          <w:r>
            <w:rPr>
              <w:sz w:val="24"/>
            </w:rPr>
            <w:t xml:space="preserve"> </w:t>
          </w:r>
          <w:ins w:id="166" w:author="">
            <w:r>
              <w:rPr>
                <w:b/>
                <w:sz w:val="24"/>
                <w:u w:val="double"/>
              </w:rPr>
              <w:t>49</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14.3   Agent’s Rights</w:t>
            <w:tab/>
          </w:r>
          <w:ins w:id="167" w:author="">
            <w:r>
              <w:rPr>
                <w:strike/>
                <w:sz w:val="24"/>
              </w:rPr>
              <w:t>43</w:t>
            </w:r>
          </w:ins>
          <w:r>
            <w:rPr>
              <w:sz w:val="24"/>
            </w:rPr>
            <w:t xml:space="preserve"> </w:t>
          </w:r>
          <w:ins w:id="168" w:author="">
            <w:r>
              <w:rPr>
                <w:b/>
                <w:sz w:val="24"/>
                <w:u w:val="double"/>
              </w:rPr>
              <w:t>50</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080"/>
            <w:jc w:val="start"/>
            <w:rPr>
              <w:sz w:val="24"/>
            </w:rPr>
          </w:pPr>
          <w:r>
            <w:rPr>
              <w:sz w:val="24"/>
            </w:rPr>
            <w:t>Section  14.4   Exoneration of Agent, Syndication Agent, Documentation Agent,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2880" w:start="2880"/>
            <w:jc w:val="start"/>
            <w:rPr>
              <w:sz w:val="24"/>
            </w:rPr>
          </w:pPr>
          <w:r>
            <w:rPr>
              <w:sz w:val="24"/>
            </w:rPr>
            <w:tab/>
            <w:tab/>
            <w:tab/>
            <w:tab/>
            <w:t xml:space="preserve"> Arranger and Co</w:t>
            <w:noBreakHyphen/>
            <w:t>Arrangers</w:t>
            <w:tab/>
          </w:r>
          <w:ins w:id="169" w:author="">
            <w:r>
              <w:rPr>
                <w:strike/>
                <w:sz w:val="24"/>
              </w:rPr>
              <w:t>44</w:t>
            </w:r>
          </w:ins>
          <w:r>
            <w:rPr>
              <w:sz w:val="24"/>
            </w:rPr>
            <w:t xml:space="preserve"> </w:t>
          </w:r>
          <w:ins w:id="170" w:author="">
            <w:r>
              <w:rPr>
                <w:b/>
                <w:sz w:val="24"/>
                <w:u w:val="double"/>
              </w:rPr>
              <w:t>51</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14.5   The Agent, the Co</w:t>
            <w:noBreakHyphen/>
            <w:t>Arrangers, the Syndication Agent, the Arranger</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800" w:start="2880"/>
            <w:jc w:val="start"/>
            <w:rPr>
              <w:sz w:val="24"/>
            </w:rPr>
          </w:pPr>
          <w:r>
            <w:rPr>
              <w:sz w:val="24"/>
            </w:rPr>
            <w:tab/>
            <w:tab/>
            <w:tab/>
            <w:t xml:space="preserve"> and the Documentation Agent Individually</w:t>
            <w:tab/>
          </w:r>
          <w:ins w:id="171" w:author="">
            <w:r>
              <w:rPr>
                <w:strike/>
                <w:sz w:val="24"/>
              </w:rPr>
              <w:t>45</w:t>
            </w:r>
          </w:ins>
          <w:r>
            <w:rPr>
              <w:sz w:val="24"/>
            </w:rPr>
            <w:t xml:space="preserve"> </w:t>
          </w:r>
          <w:ins w:id="172" w:author="">
            <w:r>
              <w:rPr>
                <w:b/>
                <w:sz w:val="24"/>
                <w:u w:val="double"/>
              </w:rPr>
              <w:t>52</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14.6   Communications and Information</w:t>
            <w:tab/>
          </w:r>
          <w:ins w:id="173" w:author="">
            <w:r>
              <w:rPr>
                <w:strike/>
                <w:sz w:val="24"/>
              </w:rPr>
              <w:t>46</w:t>
            </w:r>
          </w:ins>
          <w:r>
            <w:rPr>
              <w:sz w:val="24"/>
            </w:rPr>
            <w:t xml:space="preserve"> </w:t>
          </w:r>
          <w:ins w:id="174" w:author="">
            <w:r>
              <w:rPr>
                <w:b/>
                <w:sz w:val="24"/>
                <w:u w:val="double"/>
              </w:rPr>
              <w:t>52</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14.7   Non</w:t>
            <w:noBreakHyphen/>
            <w:t>Reliance on Agent, Co</w:t>
            <w:noBreakHyphen/>
            <w:t xml:space="preserve">Arrangers, Syndication Agent,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800" w:start="2880"/>
            <w:jc w:val="start"/>
            <w:rPr>
              <w:sz w:val="24"/>
            </w:rPr>
          </w:pPr>
          <w:r>
            <w:rPr>
              <w:sz w:val="24"/>
            </w:rPr>
            <w:tab/>
            <w:tab/>
            <w:tab/>
            <w:t>Arranger or Documentation Agent</w:t>
            <w:tab/>
          </w:r>
          <w:ins w:id="175" w:author="">
            <w:r>
              <w:rPr>
                <w:strike/>
                <w:sz w:val="24"/>
              </w:rPr>
              <w:t>46</w:t>
            </w:r>
          </w:ins>
          <w:r>
            <w:rPr>
              <w:sz w:val="24"/>
            </w:rPr>
            <w:t xml:space="preserve"> </w:t>
          </w:r>
          <w:ins w:id="176" w:author="">
            <w:r>
              <w:rPr>
                <w:b/>
                <w:sz w:val="24"/>
                <w:u w:val="double"/>
              </w:rPr>
              <w:t>52</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14.8   Indemnity to Agent, Syndication Agent, Arranger, Co</w:t>
            <w:noBreakHyphen/>
            <w:t>Arrangers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800" w:start="2880"/>
            <w:jc w:val="start"/>
            <w:rPr>
              <w:sz w:val="24"/>
            </w:rPr>
          </w:pPr>
          <w:r>
            <w:rPr>
              <w:sz w:val="24"/>
            </w:rPr>
            <w:tab/>
            <w:tab/>
            <w:tab/>
            <w:t xml:space="preserve"> and Documentation Agent</w:t>
            <w:tab/>
          </w:r>
          <w:ins w:id="177" w:author="">
            <w:r>
              <w:rPr>
                <w:strike/>
                <w:sz w:val="24"/>
              </w:rPr>
              <w:t>46</w:t>
            </w:r>
          </w:ins>
          <w:r>
            <w:rPr>
              <w:sz w:val="24"/>
            </w:rPr>
            <w:t xml:space="preserve"> </w:t>
          </w:r>
          <w:ins w:id="178" w:author="">
            <w:r>
              <w:rPr>
                <w:b/>
                <w:sz w:val="24"/>
                <w:u w:val="double"/>
              </w:rPr>
              <w:t>53</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14.9   Termination and Resignation of Agency; Appointment of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800" w:start="2880"/>
            <w:jc w:val="start"/>
            <w:rPr>
              <w:strike/>
              <w:sz w:val="24"/>
            </w:rPr>
          </w:pPr>
          <w:r>
            <w:rPr>
              <w:sz w:val="24"/>
            </w:rPr>
            <w:tab/>
            <w:tab/>
            <w:tab/>
            <w:t>Successor</w:t>
            <w:tab/>
          </w:r>
          <w:ins w:id="179" w:author="">
            <w:r>
              <w:rPr>
                <w:b/>
                <w:sz w:val="24"/>
                <w:u w:val="double"/>
              </w:rPr>
              <w:t>53</w:t>
            </w:r>
          </w:ins>
          <w:r>
            <w:rPr>
              <w:sz w:val="24"/>
            </w:rPr>
            <w:t xml:space="preserve"> </w:t>
          </w:r>
          <w:ins w:id="180" w:author="">
            <w:r>
              <w:rPr>
                <w:strike/>
                <w:sz w:val="24"/>
              </w:rPr>
              <w:t>47</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14.10   Payments to Finance Parties</w:t>
            <w:tab/>
          </w:r>
          <w:ins w:id="181" w:author="">
            <w:r>
              <w:rPr>
                <w:strike/>
                <w:sz w:val="24"/>
              </w:rPr>
              <w:t>48</w:t>
            </w:r>
          </w:ins>
          <w:r>
            <w:rPr>
              <w:sz w:val="24"/>
            </w:rPr>
            <w:t xml:space="preserve"> </w:t>
          </w:r>
          <w:ins w:id="182" w:author="">
            <w:r>
              <w:rPr>
                <w:b/>
                <w:sz w:val="24"/>
                <w:u w:val="double"/>
              </w:rPr>
              <w:t>54</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14.11   Change of Office of Agent or Arranger</w:t>
            <w:tab/>
          </w:r>
          <w:ins w:id="183" w:author="">
            <w:r>
              <w:rPr>
                <w:strike/>
                <w:sz w:val="24"/>
              </w:rPr>
              <w:t>48</w:t>
            </w:r>
          </w:ins>
          <w:r>
            <w:rPr>
              <w:sz w:val="24"/>
            </w:rPr>
            <w:t xml:space="preserve"> </w:t>
          </w:r>
          <w:ins w:id="184" w:author="">
            <w:r>
              <w:rPr>
                <w:b/>
                <w:sz w:val="24"/>
                <w:u w:val="double"/>
              </w:rPr>
              <w:t>54</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14.12   The Co</w:t>
            <w:noBreakHyphen/>
            <w:t xml:space="preserve">Arrangers, Syndication Agent, Arranger and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800" w:start="2880"/>
            <w:jc w:val="start"/>
            <w:rPr>
              <w:sz w:val="24"/>
            </w:rPr>
          </w:pPr>
          <w:r>
            <w:rPr>
              <w:sz w:val="24"/>
            </w:rPr>
            <w:tab/>
            <w:tab/>
            <w:tab/>
            <w:t>Documentation Agent</w:t>
            <w:tab/>
          </w:r>
          <w:ins w:id="185" w:author="">
            <w:r>
              <w:rPr>
                <w:strike/>
                <w:sz w:val="24"/>
              </w:rPr>
              <w:t>48</w:t>
            </w:r>
          </w:ins>
          <w:r>
            <w:rPr>
              <w:sz w:val="24"/>
            </w:rPr>
            <w:t xml:space="preserve"> </w:t>
          </w:r>
          <w:ins w:id="186" w:author="">
            <w:r>
              <w:rPr>
                <w:b/>
                <w:sz w:val="24"/>
                <w:u w:val="double"/>
              </w:rPr>
              <w:t>55</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XV </w:t>
            <w:noBreakHyphen/>
            <w:t xml:space="preserve"> EVIDENCE OF INDEBTEDNESS</w:t>
            <w:tab/>
          </w:r>
          <w:ins w:id="187" w:author="">
            <w:r>
              <w:rPr>
                <w:strike/>
                <w:sz w:val="24"/>
              </w:rPr>
              <w:t>48</w:t>
            </w:r>
          </w:ins>
          <w:r>
            <w:rPr>
              <w:sz w:val="24"/>
            </w:rPr>
            <w:t xml:space="preserve"> </w:t>
          </w:r>
          <w:ins w:id="188" w:author="">
            <w:r>
              <w:rPr>
                <w:b/>
                <w:sz w:val="24"/>
                <w:u w:val="double"/>
              </w:rPr>
              <w:t>55</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XVI </w:t>
            <w:noBreakHyphen/>
            <w:t xml:space="preserve"> APPLICATION OF MONEYS</w:t>
            <w:tab/>
          </w:r>
          <w:ins w:id="189" w:author="">
            <w:r>
              <w:rPr>
                <w:strike/>
                <w:sz w:val="24"/>
              </w:rPr>
              <w:t>49</w:t>
            </w:r>
          </w:ins>
          <w:r>
            <w:rPr>
              <w:sz w:val="24"/>
            </w:rPr>
            <w:t xml:space="preserve"> </w:t>
          </w:r>
          <w:ins w:id="190" w:author="">
            <w:r>
              <w:rPr>
                <w:b/>
                <w:sz w:val="24"/>
                <w:u w:val="double"/>
              </w:rPr>
              <w:t>55</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16.1   Priority of Payments</w:t>
            <w:tab/>
          </w:r>
          <w:ins w:id="191" w:author="">
            <w:r>
              <w:rPr>
                <w:strike/>
                <w:sz w:val="24"/>
              </w:rPr>
              <w:t>49</w:t>
            </w:r>
          </w:ins>
          <w:r>
            <w:rPr>
              <w:sz w:val="24"/>
            </w:rPr>
            <w:t xml:space="preserve"> </w:t>
          </w:r>
          <w:ins w:id="192" w:author="">
            <w:r>
              <w:rPr>
                <w:b/>
                <w:sz w:val="24"/>
                <w:u w:val="double"/>
              </w:rPr>
              <w:t>55</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XVII </w:t>
            <w:noBreakHyphen/>
            <w:t xml:space="preserve"> PRO RATA PAYMENTS</w:t>
            <w:tab/>
          </w:r>
          <w:ins w:id="193" w:author="">
            <w:r>
              <w:rPr>
                <w:strike/>
                <w:sz w:val="24"/>
              </w:rPr>
              <w:t>49</w:t>
            </w:r>
          </w:ins>
          <w:r>
            <w:rPr>
              <w:sz w:val="24"/>
            </w:rPr>
            <w:t xml:space="preserve"> </w:t>
          </w:r>
          <w:ins w:id="194" w:author="">
            <w:r>
              <w:rPr>
                <w:b/>
                <w:sz w:val="24"/>
                <w:u w:val="double"/>
              </w:rPr>
              <w:t>55</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17.1   Recoveries by Lenders</w:t>
            <w:tab/>
          </w:r>
          <w:ins w:id="195" w:author="">
            <w:r>
              <w:rPr>
                <w:strike/>
                <w:sz w:val="24"/>
              </w:rPr>
              <w:t>49</w:t>
            </w:r>
          </w:ins>
          <w:r>
            <w:rPr>
              <w:sz w:val="24"/>
            </w:rPr>
            <w:t xml:space="preserve"> </w:t>
          </w:r>
          <w:ins w:id="196" w:author="">
            <w:r>
              <w:rPr>
                <w:b/>
                <w:sz w:val="24"/>
                <w:u w:val="double"/>
              </w:rPr>
              <w:t>56</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17.2   Notification to Agent of Recoveries to Lender</w:t>
            <w:tab/>
          </w:r>
          <w:ins w:id="197" w:author="">
            <w:r>
              <w:rPr>
                <w:strike/>
                <w:sz w:val="24"/>
              </w:rPr>
              <w:t>50</w:t>
            </w:r>
          </w:ins>
          <w:r>
            <w:rPr>
              <w:sz w:val="24"/>
            </w:rPr>
            <w:t xml:space="preserve"> </w:t>
          </w:r>
          <w:ins w:id="198" w:author="">
            <w:r>
              <w:rPr>
                <w:b/>
                <w:sz w:val="24"/>
                <w:u w:val="double"/>
              </w:rPr>
              <w:t>56</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17.3   Lender to Supply Agent with Specified Information</w:t>
            <w:tab/>
          </w:r>
          <w:ins w:id="199" w:author="">
            <w:r>
              <w:rPr>
                <w:strike/>
                <w:sz w:val="24"/>
              </w:rPr>
              <w:t>50</w:t>
            </w:r>
          </w:ins>
          <w:r>
            <w:rPr>
              <w:sz w:val="24"/>
            </w:rPr>
            <w:t xml:space="preserve"> </w:t>
          </w:r>
          <w:ins w:id="200" w:author="">
            <w:r>
              <w:rPr>
                <w:b/>
                <w:sz w:val="24"/>
                <w:u w:val="double"/>
              </w:rPr>
              <w:t>56</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17.4   Agreement to Use Reasonable Efforts</w:t>
            <w:tab/>
          </w:r>
          <w:ins w:id="201" w:author="">
            <w:r>
              <w:rPr>
                <w:strike/>
                <w:sz w:val="24"/>
              </w:rPr>
              <w:t>50</w:t>
            </w:r>
          </w:ins>
          <w:r>
            <w:rPr>
              <w:sz w:val="24"/>
            </w:rPr>
            <w:t xml:space="preserve"> </w:t>
          </w:r>
          <w:ins w:id="202" w:author="">
            <w:r>
              <w:rPr>
                <w:b/>
                <w:sz w:val="24"/>
                <w:u w:val="double"/>
              </w:rPr>
              <w:t>56</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17.5   No Lien Against Lender</w:t>
            <w:tab/>
          </w:r>
          <w:ins w:id="203" w:author="">
            <w:r>
              <w:rPr>
                <w:strike/>
                <w:sz w:val="24"/>
              </w:rPr>
              <w:t>50</w:t>
            </w:r>
          </w:ins>
          <w:r>
            <w:rPr>
              <w:sz w:val="24"/>
            </w:rPr>
            <w:t xml:space="preserve"> </w:t>
          </w:r>
          <w:ins w:id="204" w:author="">
            <w:r>
              <w:rPr>
                <w:b/>
                <w:sz w:val="24"/>
                <w:u w:val="double"/>
              </w:rPr>
              <w:t>56</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XVIII </w:t>
            <w:noBreakHyphen/>
            <w:t xml:space="preserve"> SET</w:t>
            <w:noBreakHyphen/>
            <w:t>OFF</w:t>
            <w:tab/>
          </w:r>
          <w:ins w:id="205" w:author="">
            <w:r>
              <w:rPr>
                <w:strike/>
                <w:sz w:val="24"/>
              </w:rPr>
              <w:t>50</w:t>
            </w:r>
          </w:ins>
          <w:r>
            <w:rPr>
              <w:sz w:val="24"/>
            </w:rPr>
            <w:t xml:space="preserve"> </w:t>
          </w:r>
          <w:ins w:id="206" w:author="">
            <w:r>
              <w:rPr>
                <w:b/>
                <w:sz w:val="24"/>
                <w:u w:val="double"/>
              </w:rPr>
              <w:t>57</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XIX </w:t>
            <w:noBreakHyphen/>
            <w:t xml:space="preserve"> NOTICES</w:t>
            <w:tab/>
          </w:r>
          <w:ins w:id="207" w:author="">
            <w:r>
              <w:rPr>
                <w:strike/>
                <w:sz w:val="24"/>
              </w:rPr>
              <w:t>51</w:t>
            </w:r>
          </w:ins>
          <w:r>
            <w:rPr>
              <w:sz w:val="24"/>
            </w:rPr>
            <w:t xml:space="preserve"> </w:t>
          </w:r>
          <w:ins w:id="208" w:author="">
            <w:r>
              <w:rPr>
                <w:b/>
                <w:sz w:val="24"/>
                <w:u w:val="double"/>
              </w:rPr>
              <w:t>57</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19.1   Addresses and Method of Notice</w:t>
            <w:tab/>
          </w:r>
          <w:ins w:id="209" w:author="">
            <w:r>
              <w:rPr>
                <w:strike/>
                <w:sz w:val="24"/>
              </w:rPr>
              <w:t>51</w:t>
            </w:r>
          </w:ins>
          <w:r>
            <w:rPr>
              <w:sz w:val="24"/>
            </w:rPr>
            <w:t xml:space="preserve"> </w:t>
          </w:r>
          <w:ins w:id="210" w:author="">
            <w:r>
              <w:rPr>
                <w:b/>
                <w:sz w:val="24"/>
                <w:u w:val="double"/>
              </w:rPr>
              <w:t>57</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19.2   Timing of Notice</w:t>
            <w:tab/>
          </w:r>
          <w:ins w:id="211" w:author="">
            <w:r>
              <w:rPr>
                <w:strike/>
                <w:sz w:val="24"/>
              </w:rPr>
              <w:t>51</w:t>
            </w:r>
          </w:ins>
          <w:r>
            <w:rPr>
              <w:sz w:val="24"/>
            </w:rPr>
            <w:t xml:space="preserve"> </w:t>
          </w:r>
          <w:ins w:id="212" w:author="">
            <w:r>
              <w:rPr>
                <w:b/>
                <w:sz w:val="24"/>
                <w:u w:val="double"/>
              </w:rPr>
              <w:t>57</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19.3   Proving Service of Notice</w:t>
            <w:tab/>
          </w:r>
          <w:ins w:id="213" w:author="">
            <w:r>
              <w:rPr>
                <w:strike/>
                <w:sz w:val="24"/>
              </w:rPr>
              <w:t>51</w:t>
            </w:r>
          </w:ins>
          <w:r>
            <w:rPr>
              <w:sz w:val="24"/>
            </w:rPr>
            <w:t xml:space="preserve"> </w:t>
          </w:r>
          <w:ins w:id="214" w:author="">
            <w:r>
              <w:rPr>
                <w:b/>
                <w:sz w:val="24"/>
                <w:u w:val="double"/>
              </w:rPr>
              <w:t>57</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XX </w:t>
            <w:noBreakHyphen/>
            <w:t xml:space="preserve"> NO IMPLIED WAIVERS</w:t>
            <w:tab/>
          </w:r>
          <w:ins w:id="215" w:author="">
            <w:r>
              <w:rPr>
                <w:strike/>
                <w:sz w:val="24"/>
              </w:rPr>
              <w:t>51</w:t>
            </w:r>
          </w:ins>
          <w:r>
            <w:rPr>
              <w:sz w:val="24"/>
            </w:rPr>
            <w:t xml:space="preserve"> </w:t>
          </w:r>
          <w:ins w:id="216" w:author="">
            <w:r>
              <w:rPr>
                <w:b/>
                <w:sz w:val="24"/>
                <w:u w:val="double"/>
              </w:rPr>
              <w:t>58</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20.1   No Waiver</w:t>
            <w:tab/>
          </w:r>
          <w:ins w:id="217" w:author="">
            <w:r>
              <w:rPr>
                <w:strike/>
                <w:sz w:val="24"/>
              </w:rPr>
              <w:t>51</w:t>
            </w:r>
          </w:ins>
          <w:r>
            <w:rPr>
              <w:sz w:val="24"/>
            </w:rPr>
            <w:t xml:space="preserve"> </w:t>
          </w:r>
          <w:ins w:id="218" w:author="">
            <w:r>
              <w:rPr>
                <w:b/>
                <w:sz w:val="24"/>
                <w:u w:val="double"/>
              </w:rPr>
              <w:t>58</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20.2   Rights and Remedies Cumulative</w:t>
            <w:tab/>
          </w:r>
          <w:ins w:id="219" w:author="">
            <w:r>
              <w:rPr>
                <w:strike/>
                <w:sz w:val="24"/>
              </w:rPr>
              <w:t>51</w:t>
            </w:r>
          </w:ins>
          <w:r>
            <w:rPr>
              <w:sz w:val="24"/>
            </w:rPr>
            <w:t xml:space="preserve"> </w:t>
          </w:r>
          <w:ins w:id="220" w:author="">
            <w:r>
              <w:rPr>
                <w:b/>
                <w:sz w:val="24"/>
                <w:u w:val="double"/>
              </w:rPr>
              <w:t>58</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XXI </w:t>
            <w:noBreakHyphen/>
            <w:t xml:space="preserve"> INVALIDITY OF ANY PROVISION</w:t>
            <w:tab/>
          </w:r>
          <w:ins w:id="221" w:author="">
            <w:r>
              <w:rPr>
                <w:strike/>
                <w:sz w:val="24"/>
              </w:rPr>
              <w:t>52</w:t>
            </w:r>
          </w:ins>
          <w:r>
            <w:rPr>
              <w:sz w:val="24"/>
            </w:rPr>
            <w:t xml:space="preserve"> </w:t>
          </w:r>
          <w:ins w:id="222" w:author="">
            <w:r>
              <w:rPr>
                <w:b/>
                <w:sz w:val="24"/>
                <w:u w:val="double"/>
              </w:rPr>
              <w:t>58</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XXII </w:t>
            <w:noBreakHyphen/>
            <w:t xml:space="preserve"> CONFIDENTIALITY</w:t>
            <w:tab/>
          </w:r>
          <w:ins w:id="223" w:author="">
            <w:r>
              <w:rPr>
                <w:strike/>
                <w:sz w:val="24"/>
              </w:rPr>
              <w:t>52</w:t>
            </w:r>
          </w:ins>
          <w:r>
            <w:rPr>
              <w:sz w:val="24"/>
            </w:rPr>
            <w:t xml:space="preserve"> </w:t>
          </w:r>
          <w:ins w:id="224" w:author="">
            <w:r>
              <w:rPr>
                <w:b/>
                <w:sz w:val="24"/>
                <w:u w:val="double"/>
              </w:rPr>
              <w:t>58</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22.1   Confidential Information</w:t>
            <w:tab/>
          </w:r>
          <w:ins w:id="225" w:author="">
            <w:r>
              <w:rPr>
                <w:strike/>
                <w:sz w:val="24"/>
              </w:rPr>
              <w:t>52</w:t>
            </w:r>
          </w:ins>
          <w:r>
            <w:rPr>
              <w:sz w:val="24"/>
            </w:rPr>
            <w:t xml:space="preserve"> </w:t>
          </w:r>
          <w:ins w:id="226" w:author="">
            <w:r>
              <w:rPr>
                <w:b/>
                <w:sz w:val="24"/>
                <w:u w:val="double"/>
              </w:rPr>
              <w:t>58</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22.2   Public Announcements</w:t>
            <w:tab/>
          </w:r>
          <w:ins w:id="227" w:author="">
            <w:r>
              <w:rPr>
                <w:strike/>
                <w:sz w:val="24"/>
              </w:rPr>
              <w:t>52</w:t>
            </w:r>
          </w:ins>
          <w:r>
            <w:rPr>
              <w:sz w:val="24"/>
            </w:rPr>
            <w:t xml:space="preserve"> </w:t>
          </w:r>
          <w:ins w:id="228" w:author="">
            <w:r>
              <w:rPr>
                <w:b/>
                <w:sz w:val="24"/>
                <w:u w:val="double"/>
              </w:rPr>
              <w:t>59</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XXIII </w:t>
            <w:noBreakHyphen/>
            <w:t xml:space="preserve"> CHANGES TO PARTIES</w:t>
            <w:tab/>
          </w:r>
          <w:ins w:id="229" w:author="">
            <w:r>
              <w:rPr>
                <w:strike/>
                <w:sz w:val="24"/>
              </w:rPr>
              <w:t>53</w:t>
            </w:r>
          </w:ins>
          <w:r>
            <w:rPr>
              <w:sz w:val="24"/>
            </w:rPr>
            <w:t xml:space="preserve"> </w:t>
          </w:r>
          <w:ins w:id="230" w:author="">
            <w:r>
              <w:rPr>
                <w:b/>
                <w:sz w:val="24"/>
                <w:u w:val="double"/>
              </w:rPr>
              <w:t>59</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23.1   Assignment by the Trust</w:t>
            <w:tab/>
          </w:r>
          <w:ins w:id="231" w:author="">
            <w:r>
              <w:rPr>
                <w:strike/>
                <w:sz w:val="24"/>
              </w:rPr>
              <w:t>53</w:t>
            </w:r>
          </w:ins>
          <w:r>
            <w:rPr>
              <w:sz w:val="24"/>
            </w:rPr>
            <w:t xml:space="preserve"> </w:t>
          </w:r>
          <w:ins w:id="232" w:author="">
            <w:r>
              <w:rPr>
                <w:b/>
                <w:sz w:val="24"/>
                <w:u w:val="double"/>
              </w:rPr>
              <w:t>59</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23.2   Transfers and Assignment of Notes</w:t>
            <w:tab/>
          </w:r>
          <w:ins w:id="233" w:author="">
            <w:r>
              <w:rPr>
                <w:strike/>
                <w:sz w:val="24"/>
              </w:rPr>
              <w:t>53</w:t>
            </w:r>
          </w:ins>
          <w:r>
            <w:rPr>
              <w:sz w:val="24"/>
            </w:rPr>
            <w:t xml:space="preserve"> </w:t>
          </w:r>
          <w:ins w:id="234" w:author="">
            <w:r>
              <w:rPr>
                <w:b/>
                <w:sz w:val="24"/>
                <w:u w:val="double"/>
              </w:rPr>
              <w:t>59</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XXIV </w:t>
            <w:noBreakHyphen/>
            <w:t xml:space="preserve"> LENDER DECISIONS</w:t>
            <w:tab/>
          </w:r>
          <w:ins w:id="235" w:author="">
            <w:r>
              <w:rPr>
                <w:strike/>
                <w:sz w:val="24"/>
              </w:rPr>
              <w:t>55</w:t>
            </w:r>
          </w:ins>
          <w:r>
            <w:rPr>
              <w:sz w:val="24"/>
            </w:rPr>
            <w:t xml:space="preserve"> </w:t>
          </w:r>
          <w:ins w:id="236" w:author="">
            <w:r>
              <w:rPr>
                <w:b/>
                <w:sz w:val="24"/>
                <w:u w:val="double"/>
              </w:rPr>
              <w:t>62</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24.1   Lender Decisions</w:t>
            <w:tab/>
          </w:r>
          <w:ins w:id="237" w:author="">
            <w:r>
              <w:rPr>
                <w:strike/>
                <w:sz w:val="24"/>
              </w:rPr>
              <w:t>55</w:t>
            </w:r>
          </w:ins>
          <w:r>
            <w:rPr>
              <w:sz w:val="24"/>
            </w:rPr>
            <w:t xml:space="preserve"> </w:t>
          </w:r>
          <w:ins w:id="238" w:author="">
            <w:r>
              <w:rPr>
                <w:b/>
                <w:sz w:val="24"/>
                <w:u w:val="double"/>
              </w:rPr>
              <w:t>62</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24.2   Other Unanimous Actions</w:t>
            <w:tab/>
          </w:r>
          <w:ins w:id="239" w:author="">
            <w:r>
              <w:rPr>
                <w:strike/>
                <w:sz w:val="24"/>
              </w:rPr>
              <w:t>56</w:t>
            </w:r>
          </w:ins>
          <w:r>
            <w:rPr>
              <w:sz w:val="24"/>
            </w:rPr>
            <w:t xml:space="preserve"> </w:t>
          </w:r>
          <w:ins w:id="240" w:author="">
            <w:r>
              <w:rPr>
                <w:b/>
                <w:sz w:val="24"/>
                <w:u w:val="double"/>
              </w:rPr>
              <w:t>62</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XXV </w:t>
            <w:noBreakHyphen/>
            <w:t xml:space="preserve"> INDEMNITIES</w:t>
            <w:tab/>
          </w:r>
          <w:ins w:id="241" w:author="">
            <w:r>
              <w:rPr>
                <w:strike/>
                <w:sz w:val="24"/>
              </w:rPr>
              <w:t>56</w:t>
            </w:r>
          </w:ins>
          <w:r>
            <w:rPr>
              <w:sz w:val="24"/>
            </w:rPr>
            <w:t xml:space="preserve"> </w:t>
          </w:r>
          <w:ins w:id="242" w:author="">
            <w:r>
              <w:rPr>
                <w:b/>
                <w:sz w:val="24"/>
                <w:u w:val="double"/>
              </w:rPr>
              <w:t>62</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25.1   General Indemnity and Breakage Costs</w:t>
            <w:tab/>
          </w:r>
          <w:ins w:id="243" w:author="">
            <w:r>
              <w:rPr>
                <w:strike/>
                <w:sz w:val="24"/>
              </w:rPr>
              <w:t>56</w:t>
            </w:r>
          </w:ins>
          <w:r>
            <w:rPr>
              <w:sz w:val="24"/>
            </w:rPr>
            <w:t xml:space="preserve"> </w:t>
          </w:r>
          <w:ins w:id="244" w:author="">
            <w:r>
              <w:rPr>
                <w:b/>
                <w:sz w:val="24"/>
                <w:u w:val="double"/>
              </w:rPr>
              <w:t>62</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XXVI </w:t>
            <w:noBreakHyphen/>
            <w:t xml:space="preserve"> GOVERNING LAW</w:t>
            <w:tab/>
          </w:r>
          <w:ins w:id="245" w:author="">
            <w:r>
              <w:rPr>
                <w:strike/>
                <w:sz w:val="24"/>
              </w:rPr>
              <w:t>57</w:t>
            </w:r>
          </w:ins>
          <w:r>
            <w:rPr>
              <w:sz w:val="24"/>
            </w:rPr>
            <w:t xml:space="preserve"> </w:t>
          </w:r>
          <w:ins w:id="246" w:author="">
            <w:r>
              <w:rPr>
                <w:b/>
                <w:sz w:val="24"/>
                <w:u w:val="double"/>
              </w:rPr>
              <w:t>63</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XXVII </w:t>
            <w:noBreakHyphen/>
            <w:t xml:space="preserve"> COUNTERPARTS</w:t>
            <w:tab/>
          </w:r>
          <w:ins w:id="247" w:author="">
            <w:r>
              <w:rPr>
                <w:strike/>
                <w:sz w:val="24"/>
              </w:rPr>
              <w:t>57</w:t>
            </w:r>
          </w:ins>
          <w:r>
            <w:rPr>
              <w:sz w:val="24"/>
            </w:rPr>
            <w:t xml:space="preserve"> </w:t>
          </w:r>
          <w:ins w:id="248" w:author="">
            <w:r>
              <w:rPr>
                <w:b/>
                <w:sz w:val="24"/>
                <w:u w:val="double"/>
              </w:rPr>
              <w:t>64</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trike/>
              <w:sz w:val="24"/>
              <w:ins w:id="250" w:author=""/>
            </w:rPr>
          </w:pPr>
          <w:r>
            <w:rPr>
              <w:sz w:val="24"/>
            </w:rPr>
            <w:t xml:space="preserve">ARTICLE XXVIII </w:t>
            <w:noBreakHyphen/>
            <w:t xml:space="preserve"> THE TRUST INSTITUTION</w:t>
            <w:tab/>
          </w:r>
          <w:ins w:id="249" w:author="">
            <w:r>
              <w:rPr>
                <w:strike/>
                <w:sz w:val="24"/>
              </w:rPr>
              <w:t>57</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u w:val="double"/>
              <w:ins w:id="252" w:author=""/>
            </w:rPr>
          </w:pPr>
          <w:ins w:id="251" w:author="">
            <w:r>
              <w:rPr>
                <w:b/>
                <w:sz w:val="24"/>
                <w:u w:val="double"/>
              </w:rPr>
              <w:t>64</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ins w:id="253" w:author="">
            <w:r>
              <w:rPr>
                <w:b/>
                <w:sz w:val="24"/>
                <w:u w:val="double"/>
              </w:rPr>
              <w:t>Part</w:t>
              <w:tab/>
              <w:t>3</w:t>
            </w:r>
          </w:ins>
          <w:r>
            <w:rPr>
              <w:sz w:val="24"/>
              <w:u w:val="double"/>
              <w:b/>
            </w:rPr>
            <w:fldChar w:fldCharType="end"/>
          </w:r>
        </w:p>
      </w:sdtContent>
    </w:sdt>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u w:val="single"/>
        </w:rPr>
        <w:t>SCHEDULES AND EXHIBITS</w:t>
      </w:r>
      <w:r>
        <w:rPr>
          <w:b/>
          <w:sz w:val="24"/>
        </w:rPr>
        <w:t>:</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890" w:start="1890"/>
        <w:jc w:val="start"/>
        <w:rPr>
          <w:sz w:val="24"/>
        </w:rPr>
      </w:pPr>
      <w:r>
        <w:rPr>
          <w:sz w:val="24"/>
        </w:rPr>
        <w:t xml:space="preserve">SCHEDULE 1 </w:t>
        <w:noBreakHyphen/>
        <w:t xml:space="preserve"> </w:t>
        <w:tab/>
        <w:t xml:space="preserve">Commitments and Funding Offices </w:t>
        <w:tab/>
        <w:t>S1</w:t>
        <w:noBreakHyphen/>
        <w:t>1</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1440"/>
        <w:jc w:val="start"/>
        <w:rPr>
          <w:sz w:val="24"/>
        </w:rPr>
      </w:pPr>
      <w:r>
        <w:rPr>
          <w:sz w:val="24"/>
        </w:rPr>
        <w:t xml:space="preserve">EXHIBIT A </w:t>
        <w:tab/>
        <w:noBreakHyphen/>
        <w:tab/>
        <w:t xml:space="preserve">Form of Drawdown Request </w:t>
        <w:tab/>
        <w:t>Ex A</w:t>
        <w:noBreakHyphen/>
        <w:t>1</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1440"/>
        <w:jc w:val="start"/>
        <w:rPr>
          <w:sz w:val="24"/>
        </w:rPr>
      </w:pPr>
      <w:r>
        <w:rPr>
          <w:sz w:val="24"/>
        </w:rPr>
        <w:t xml:space="preserve">EXHIBIT B </w:t>
        <w:tab/>
        <w:noBreakHyphen/>
        <w:tab/>
        <w:t xml:space="preserve">Form of Note </w:t>
        <w:tab/>
        <w:t>Ex B</w:t>
        <w:noBreakHyphen/>
        <w:t>1</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1440"/>
        <w:jc w:val="start"/>
        <w:rPr>
          <w:sz w:val="24"/>
        </w:rPr>
      </w:pPr>
      <w:r>
        <w:rPr>
          <w:sz w:val="24"/>
        </w:rPr>
        <w:t xml:space="preserve">EXHIBIT C </w:t>
        <w:tab/>
        <w:noBreakHyphen/>
        <w:tab/>
        <w:t xml:space="preserve">Form of Instrument of Assignment </w:t>
        <w:tab/>
        <w:t>Ex C</w:t>
        <w:noBreakHyphen/>
        <w:t>1</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890" w:start="1890"/>
        <w:jc w:val="start"/>
        <w:rPr>
          <w:sz w:val="24"/>
        </w:rPr>
      </w:pPr>
      <w:r>
        <w:rPr>
          <w:sz w:val="24"/>
        </w:rPr>
        <w:tab/>
        <w:tab/>
        <w:tab/>
        <w:tab/>
        <w:t xml:space="preserve">Schedule 1 to Instrument of Assignment </w:t>
        <w:tab/>
        <w:t>Ex C</w:t>
        <w:noBreakHyphen/>
        <w:t>5</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890" w:start="1890"/>
        <w:jc w:val="start"/>
        <w:rPr>
          <w:sz w:val="24"/>
        </w:rPr>
      </w:pPr>
      <w:r>
        <w:rPr>
          <w:sz w:val="24"/>
        </w:rPr>
        <w:tab/>
        <w:tab/>
        <w:tab/>
        <w:tab/>
        <w:t xml:space="preserve">Schedule 2 to Instrument of Assignment </w:t>
        <w:tab/>
        <w:t>Ex C</w:t>
        <w:noBreakHyphen/>
        <w:t>6</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1440"/>
        <w:jc w:val="start"/>
        <w:rPr>
          <w:sz w:val="24"/>
        </w:rPr>
      </w:pPr>
      <w:r>
        <w:rPr>
          <w:sz w:val="24"/>
        </w:rPr>
        <w:t xml:space="preserve">EXHIBIT D </w:t>
        <w:tab/>
        <w:noBreakHyphen/>
        <w:tab/>
        <w:t xml:space="preserve">Payment Instructions </w:t>
        <w:tab/>
        <w:t>Ex D</w:t>
        <w:noBreakHyphen/>
        <w:t>1</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1440"/>
        <w:jc w:val="start"/>
        <w:rPr>
          <w:sz w:val="24"/>
        </w:rPr>
      </w:pPr>
      <w:r>
        <w:rPr>
          <w:sz w:val="24"/>
        </w:rPr>
        <w:t xml:space="preserve">EXHIBIT E </w:t>
        <w:tab/>
        <w:noBreakHyphen/>
        <w:tab/>
        <w:t xml:space="preserve">Part A </w:t>
        <w:noBreakHyphen/>
        <w:t xml:space="preserve"> Methodology for Asset Valuation</w:t>
        <w:tab/>
        <w:t>Ex. E</w:t>
        <w:noBreakHyphen/>
        <w:t>1</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890" w:start="1890"/>
        <w:jc w:val="start"/>
        <w:rPr>
          <w:sz w:val="24"/>
        </w:rPr>
      </w:pPr>
      <w:r>
        <w:rPr>
          <w:sz w:val="24"/>
        </w:rPr>
        <w:tab/>
        <w:tab/>
        <w:tab/>
        <w:tab/>
        <w:t xml:space="preserve">Part B </w:t>
        <w:noBreakHyphen/>
        <w:t xml:space="preserve"> Model Structure </w:t>
        <w:tab/>
        <w:t>Ex. E</w:t>
        <w:noBreakHyphen/>
        <w:t>2</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1440"/>
        <w:jc w:val="start"/>
        <w:rPr>
          <w:sz w:val="24"/>
        </w:rPr>
      </w:pPr>
      <w:r>
        <w:rPr>
          <w:sz w:val="24"/>
        </w:rPr>
        <w:t xml:space="preserve">EXHIBIT F </w:t>
        <w:tab/>
        <w:noBreakHyphen/>
        <w:t xml:space="preserve"> </w:t>
        <w:tab/>
        <w:t>Form of Independent Auctioneer Letter</w:t>
        <w:tab/>
        <w:t>Ex. F</w:t>
        <w:noBreakHyphen/>
        <w:t>1</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2880" w:start="2880"/>
        <w:jc w:val="start"/>
        <w:rPr>
          <w:strike/>
          <w:sz w:val="24"/>
          <w:ins w:id="257" w:author=""/>
        </w:rPr>
      </w:pPr>
      <w:r>
        <w:rPr>
          <w:sz w:val="24"/>
        </w:rPr>
        <w:t xml:space="preserve">EXHIBIT </w:t>
      </w:r>
      <w:ins w:id="254" w:author="">
        <w:r>
          <w:rPr>
            <w:strike/>
            <w:sz w:val="24"/>
          </w:rPr>
          <w:t>G</w:t>
        </w:r>
      </w:ins>
      <w:r>
        <w:rPr>
          <w:sz w:val="24"/>
        </w:rPr>
        <w:t xml:space="preserve"> </w:t>
      </w:r>
      <w:ins w:id="255" w:author="">
        <w:r>
          <w:rPr>
            <w:b/>
            <w:sz w:val="24"/>
            <w:u w:val="double"/>
          </w:rPr>
          <w:t>G1</w:t>
        </w:r>
      </w:ins>
      <w:r>
        <w:rPr>
          <w:sz w:val="24"/>
        </w:rPr>
        <w:tab/>
        <w:noBreakHyphen/>
        <w:tab/>
        <w:t>Form of Swap Confirmation</w:t>
        <w:tab/>
        <w:t xml:space="preserve">Ex. </w:t>
      </w:r>
      <w:ins w:id="256" w:author="">
        <w:r>
          <w:rPr>
            <w:strike/>
            <w:sz w:val="24"/>
          </w:rPr>
          <w:t>G</w:t>
          <w:noBreakHyphen/>
          <w:t>1</w:t>
        </w:r>
      </w:ins>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b/>
          <w:sz w:val="24"/>
          <w:u w:val="double"/>
          <w:ins w:id="259" w:author=""/>
        </w:rPr>
      </w:pPr>
      <w:ins w:id="258" w:author="">
        <w:r>
          <w:rPr>
            <w:b/>
            <w:sz w:val="24"/>
            <w:u w:val="double"/>
          </w:rPr>
          <w:t>G1</w:t>
          <w:noBreakHyphen/>
          <w:t>1</w:t>
        </w:r>
      </w:ins>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890" w:start="1890"/>
        <w:jc w:val="start"/>
        <w:rPr>
          <w:b/>
          <w:sz w:val="24"/>
          <w:u w:val="double"/>
          <w:ins w:id="261" w:author=""/>
        </w:rPr>
      </w:pPr>
      <w:ins w:id="260" w:author="">
        <w:r>
          <w:rPr>
            <w:b/>
            <w:sz w:val="24"/>
            <w:u w:val="double"/>
          </w:rPr>
          <w:t>EXHIBIT G2</w:t>
          <w:tab/>
          <w:noBreakHyphen/>
          <w:tab/>
          <w:t>Form of Swap Schedule (Permitted Swap Party)</w:t>
          <w:tab/>
          <w:t>Ex. G2</w:t>
          <w:noBreakHyphen/>
          <w:t>1</w:t>
        </w:r>
      </w:ins>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2880" w:start="2880"/>
        <w:jc w:val="start"/>
        <w:rPr>
          <w:b/>
          <w:sz w:val="24"/>
          <w:u w:val="double"/>
          <w:ins w:id="263" w:author=""/>
        </w:rPr>
      </w:pPr>
      <w:ins w:id="262" w:author="">
        <w:r>
          <w:rPr>
            <w:b/>
            <w:sz w:val="24"/>
            <w:u w:val="double"/>
          </w:rPr>
          <w:t xml:space="preserve">EXHIBIT G3 </w:t>
          <w:tab/>
          <w:noBreakHyphen/>
          <w:tab/>
          <w:t>Form of Swap Schedule (Enron)</w:t>
          <w:tab/>
          <w:t>Ex. G3</w:t>
          <w:noBreakHyphen/>
          <w:t>1</w:t>
        </w:r>
      </w:ins>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2880" w:start="2880"/>
        <w:jc w:val="start"/>
        <w:rPr>
          <w:sz w:val="24"/>
        </w:rPr>
      </w:pPr>
      <w:ins w:id="264" w:author="">
        <w:r>
          <w:rPr>
            <w:b/>
            <w:sz w:val="24"/>
            <w:u w:val="double"/>
          </w:rPr>
          <w:t xml:space="preserve">EXHIBIT G4 </w:t>
          <w:tab/>
          <w:noBreakHyphen/>
          <w:tab/>
          <w:t>Form of Enron Guaranty</w:t>
          <w:tab/>
          <w:t>Ex. G4</w:t>
          <w:noBreakHyphen/>
          <w:t>1</w:t>
        </w:r>
      </w:ins>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1440"/>
        <w:jc w:val="start"/>
        <w:rPr>
          <w:sz w:val="24"/>
        </w:rPr>
      </w:pPr>
      <w:r>
        <w:rPr>
          <w:sz w:val="24"/>
        </w:rPr>
        <w:t xml:space="preserve">EXHIBIT H </w:t>
        <w:tab/>
        <w:noBreakHyphen/>
        <w:tab/>
        <w:t xml:space="preserve">Form of </w:t>
      </w:r>
      <w:ins w:id="265" w:author="">
        <w:r>
          <w:rPr>
            <w:strike/>
            <w:sz w:val="24"/>
          </w:rPr>
          <w:t>Sale</w:t>
        </w:r>
      </w:ins>
      <w:r>
        <w:rPr>
          <w:sz w:val="24"/>
        </w:rPr>
        <w:t xml:space="preserve"> </w:t>
      </w:r>
      <w:ins w:id="266" w:author="">
        <w:r>
          <w:rPr>
            <w:b/>
            <w:sz w:val="24"/>
            <w:u w:val="double"/>
          </w:rPr>
          <w:t>Transfer</w:t>
        </w:r>
      </w:ins>
      <w:r>
        <w:rPr>
          <w:sz w:val="24"/>
        </w:rPr>
        <w:t xml:space="preserve"> and Auction Agreement</w:t>
        <w:tab/>
        <w:t>Ex. H</w:t>
        <w:noBreakHyphen/>
        <w:t>1</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1440"/>
        <w:jc w:val="start"/>
        <w:rPr>
          <w:sz w:val="24"/>
        </w:rPr>
      </w:pPr>
      <w:r>
        <w:rPr>
          <w:sz w:val="24"/>
        </w:rPr>
        <w:t xml:space="preserve">EXHIBIT I </w:t>
        <w:tab/>
        <w:noBreakHyphen/>
        <w:tab/>
        <w:t xml:space="preserve">Part A </w:t>
        <w:noBreakHyphen/>
        <w:t xml:space="preserve"> Form of Asset LLC Agreement</w:t>
        <w:tab/>
        <w:t>Ex. I</w:t>
        <w:noBreakHyphen/>
        <w:t>1</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890" w:start="1890"/>
        <w:jc w:val="start"/>
        <w:rPr>
          <w:sz w:val="24"/>
        </w:rPr>
      </w:pPr>
      <w:r>
        <w:rPr>
          <w:sz w:val="24"/>
        </w:rPr>
        <w:tab/>
        <w:tab/>
        <w:tab/>
        <w:tab/>
        <w:t xml:space="preserve">Part B    </w:t>
        <w:noBreakHyphen/>
        <w:t xml:space="preserve"> Form of Transferor LLC Agreement</w:t>
        <w:tab/>
        <w:t>Ex. I</w:t>
        <w:noBreakHyphen/>
        <w:t>2</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1440"/>
        <w:jc w:val="start"/>
        <w:rPr>
          <w:sz w:val="24"/>
        </w:rPr>
      </w:pPr>
      <w:r>
        <w:rPr>
          <w:sz w:val="24"/>
        </w:rPr>
        <w:t xml:space="preserve">EXHIBIT J </w:t>
        <w:tab/>
        <w:noBreakHyphen/>
        <w:t xml:space="preserve"> </w:t>
        <w:tab/>
        <w:t>Form of Legal Opinions</w:t>
        <w:tab/>
        <w:t>Ex. J</w:t>
        <w:noBreakHyphen/>
        <w:t>1</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890" w:start="1890"/>
        <w:jc w:val="start"/>
        <w:rPr>
          <w:sz w:val="24"/>
          <w:ins w:id="271" w:author=""/>
        </w:rPr>
      </w:pPr>
      <w:r>
        <w:rPr>
          <w:sz w:val="24"/>
        </w:rPr>
        <w:t xml:space="preserve">EXHIBIT </w:t>
      </w:r>
      <w:ins w:id="267" w:author="">
        <w:r>
          <w:rPr>
            <w:strike/>
            <w:sz w:val="24"/>
          </w:rPr>
          <w:t>K</w:t>
        </w:r>
      </w:ins>
      <w:r>
        <w:rPr>
          <w:sz w:val="24"/>
        </w:rPr>
        <w:t xml:space="preserve"> </w:t>
      </w:r>
      <w:ins w:id="268" w:author="">
        <w:r>
          <w:rPr>
            <w:b/>
            <w:sz w:val="24"/>
            <w:u w:val="double"/>
          </w:rPr>
          <w:t>Kl</w:t>
        </w:r>
      </w:ins>
      <w:r>
        <w:rPr>
          <w:sz w:val="24"/>
        </w:rPr>
        <w:tab/>
        <w:noBreakHyphen/>
        <w:tab/>
        <w:t>Form of Asset Notice</w:t>
        <w:tab/>
        <w:t xml:space="preserve">Ex. </w:t>
      </w:r>
      <w:ins w:id="269" w:author="">
        <w:r>
          <w:rPr>
            <w:strike/>
            <w:sz w:val="24"/>
          </w:rPr>
          <w:t>K</w:t>
          <w:noBreakHyphen/>
          <w:t>1</w:t>
        </w:r>
      </w:ins>
      <w:r>
        <w:rPr>
          <w:sz w:val="24"/>
        </w:rPr>
        <w:t xml:space="preserve"> </w:t>
      </w:r>
      <w:ins w:id="270" w:author="">
        <w:r>
          <w:rPr>
            <w:b/>
            <w:sz w:val="24"/>
            <w:u w:val="double"/>
          </w:rPr>
          <w:t>K1</w:t>
          <w:noBreakHyphen/>
          <w:t>1</w:t>
        </w:r>
      </w:ins>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0" w:start="3600"/>
        <w:jc w:val="start"/>
        <w:rPr>
          <w:b/>
          <w:sz w:val="24"/>
          <w:u w:val="double"/>
          <w:ins w:id="274" w:author=""/>
        </w:rPr>
      </w:pPr>
      <w:ins w:id="272" w:author="">
        <w:r>
          <w:rPr>
            <w:strike/>
            <w:sz w:val="24"/>
          </w:rPr>
          <w:t>EXHIBIT L</w:t>
        </w:r>
      </w:ins>
      <w:r>
        <w:rPr>
          <w:sz w:val="24"/>
        </w:rPr>
        <w:t xml:space="preserve"> </w:t>
      </w:r>
      <w:ins w:id="273" w:author="">
        <w:r>
          <w:rPr>
            <w:b/>
            <w:sz w:val="24"/>
            <w:u w:val="double"/>
          </w:rPr>
          <w:t xml:space="preserve">EXHIBIT K2      </w:t>
          <w:noBreakHyphen/>
          <w:t xml:space="preserve">      </w:t>
          <w:tab/>
          <w:t xml:space="preserve">Form of Asset Summary </w:t>
          <w:tab/>
          <w:t>Ex. K2</w:t>
          <w:noBreakHyphen/>
          <w:t>1</w:t>
        </w:r>
      </w:ins>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890" w:start="1890"/>
        <w:jc w:val="start"/>
        <w:rPr>
          <w:sz w:val="24"/>
          <w:ins w:id="278" w:author=""/>
        </w:rPr>
      </w:pPr>
      <w:ins w:id="275" w:author="">
        <w:r>
          <w:rPr>
            <w:b/>
            <w:sz w:val="24"/>
            <w:u w:val="double"/>
          </w:rPr>
          <w:t>EXHIBIT L1</w:t>
        </w:r>
      </w:ins>
      <w:r>
        <w:rPr>
          <w:sz w:val="24"/>
        </w:rPr>
        <w:tab/>
        <w:noBreakHyphen/>
        <w:tab/>
        <w:t>Form of Additional Lender Certificate</w:t>
        <w:tab/>
        <w:t xml:space="preserve">Ex. </w:t>
      </w:r>
      <w:ins w:id="276" w:author="">
        <w:r>
          <w:rPr>
            <w:strike/>
            <w:sz w:val="24"/>
          </w:rPr>
          <w:t>L</w:t>
          <w:noBreakHyphen/>
          <w:t>1</w:t>
        </w:r>
      </w:ins>
      <w:r>
        <w:rPr>
          <w:sz w:val="24"/>
        </w:rPr>
        <w:t xml:space="preserve"> </w:t>
      </w:r>
      <w:ins w:id="277" w:author="">
        <w:r>
          <w:rPr>
            <w:b/>
            <w:sz w:val="24"/>
            <w:u w:val="double"/>
          </w:rPr>
          <w:t>L1</w:t>
          <w:noBreakHyphen/>
          <w:t>1</w:t>
        </w:r>
      </w:ins>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0" w:start="3600"/>
        <w:jc w:val="start"/>
        <w:rPr>
          <w:sz w:val="24"/>
          <w:ins w:id="285" w:author=""/>
        </w:rPr>
      </w:pPr>
      <w:ins w:id="279" w:author="">
        <w:r>
          <w:rPr>
            <w:strike/>
            <w:sz w:val="24"/>
          </w:rPr>
          <w:t>Schedule 1 to</w:t>
        </w:r>
      </w:ins>
      <w:r>
        <w:rPr>
          <w:sz w:val="24"/>
        </w:rPr>
        <w:t xml:space="preserve"> </w:t>
      </w:r>
      <w:ins w:id="280" w:author="">
        <w:r>
          <w:rPr>
            <w:b/>
            <w:sz w:val="24"/>
            <w:u w:val="double"/>
          </w:rPr>
          <w:t>EXHIBIT L2</w:t>
          <w:tab/>
          <w:noBreakHyphen/>
        </w:r>
      </w:ins>
      <w:r>
        <w:rPr>
          <w:sz w:val="24"/>
        </w:rPr>
        <w:tab/>
        <w:t xml:space="preserve">Form of </w:t>
      </w:r>
      <w:ins w:id="281" w:author="">
        <w:r>
          <w:rPr>
            <w:strike/>
            <w:sz w:val="24"/>
          </w:rPr>
          <w:t>Additional Lender</w:t>
        </w:r>
      </w:ins>
      <w:r>
        <w:rPr>
          <w:sz w:val="24"/>
        </w:rPr>
        <w:t xml:space="preserve"> </w:t>
      </w:r>
      <w:ins w:id="282" w:author="">
        <w:r>
          <w:rPr>
            <w:b/>
            <w:sz w:val="24"/>
            <w:u w:val="double"/>
          </w:rPr>
          <w:t>Increased Commitment</w:t>
        </w:r>
      </w:ins>
      <w:r>
        <w:rPr>
          <w:sz w:val="24"/>
        </w:rPr>
        <w:t xml:space="preserve"> Certificate</w:t>
        <w:tab/>
        <w:t xml:space="preserve">Ex. </w:t>
      </w:r>
      <w:ins w:id="283" w:author="">
        <w:r>
          <w:rPr>
            <w:strike/>
            <w:sz w:val="24"/>
          </w:rPr>
          <w:t>L</w:t>
          <w:noBreakHyphen/>
          <w:t>2</w:t>
        </w:r>
      </w:ins>
      <w:r>
        <w:rPr>
          <w:sz w:val="24"/>
        </w:rPr>
        <w:t xml:space="preserve"> </w:t>
      </w:r>
      <w:ins w:id="284" w:author="">
        <w:r>
          <w:rPr>
            <w:b/>
            <w:sz w:val="24"/>
            <w:u w:val="double"/>
          </w:rPr>
          <w:t>L2</w:t>
          <w:noBreakHyphen/>
          <w:t>1</w:t>
        </w:r>
      </w:ins>
    </w:p>
    <w:p>
      <w:pPr>
        <w:sectPr>
          <w:type w:val="continuous"/>
          <w:pgSz w:w="12240" w:h="15840"/>
          <w:pgMar w:left="1440" w:right="1440" w:gutter="0" w:header="1440" w:top="1497" w:footer="1344" w:bottom="1401"/>
          <w:pgNumType w:fmt="lowerRoman"/>
          <w:formProt w:val="false"/>
          <w:textDirection w:val="lrTb"/>
          <w:docGrid w:type="default" w:linePitch="100" w:charSpace="0"/>
        </w:sect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760" w:start="5760"/>
        <w:jc w:val="start"/>
        <w:rPr>
          <w:b/>
          <w:sz w:val="24"/>
          <w:u w:val="double"/>
        </w:rPr>
      </w:pPr>
      <w:ins w:id="286" w:author="">
        <w:r>
          <w:rPr>
            <w:strike/>
            <w:sz w:val="24"/>
          </w:rPr>
          <w:t>AMENDED AND RESTATED</w:t>
        </w:r>
      </w:ins>
      <w:r>
        <w:rPr>
          <w:sz w:val="24"/>
        </w:rPr>
        <w:t xml:space="preserve"> </w:t>
      </w:r>
      <w:ins w:id="287" w:author="">
        <w:r>
          <w:rPr>
            <w:b/>
            <w:sz w:val="24"/>
            <w:u w:val="double"/>
          </w:rPr>
          <w:t xml:space="preserve">EXHIBIT M        </w:t>
          <w:noBreakHyphen/>
          <w:t xml:space="preserve">          </w:t>
          <w:tab/>
          <w:t>Form of Omnibus Amendment</w:t>
          <w:tab/>
          <w:t>Ex. M</w:t>
          <w:noBreakHyphen/>
          <w:t>1</w:t>
        </w:r>
      </w:ins>
      <w:r>
        <w:br w:type="page"/>
      </w:r>
    </w:p>
    <w:p>
      <w:pPr>
        <w:pStyle w:val="Normal"/>
        <w:bidi w:val="0"/>
        <w:jc w:val="start"/>
        <w:rPr>
          <w:sz w:val="24"/>
        </w:rPr>
      </w:pPr>
      <w:r>
        <w:rPr>
          <w:sz w:val="24"/>
        </w:rPr>
      </w:r>
    </w:p>
    <w:p>
      <w:pPr>
        <w:sectPr>
          <w:headerReference w:type="default" r:id="rId13"/>
          <w:footerReference w:type="even" r:id="rId14"/>
          <w:footerReference w:type="default" r:id="rId15"/>
          <w:footerReference w:type="first" r:id="rId16"/>
          <w:type w:val="nextPage"/>
          <w:pgSz w:w="12240" w:h="15840"/>
          <w:pgMar w:left="1440" w:right="1440" w:gutter="0" w:header="1440" w:top="1497" w:footer="1344" w:bottom="1401"/>
          <w:pgNumType w:fmt="decimal"/>
          <w:formProt w:val="false"/>
          <w:textDirection w:val="lrTb"/>
          <w:docGrid w:type="default" w:linePitch="312" w:charSpace="2047"/>
        </w:sectPr>
      </w:pPr>
    </w:p>
    <w:p>
      <w:pPr>
        <w:pStyle w:val="Normal"/>
        <w:bidi w:val="0"/>
        <w:jc w:val="center"/>
        <w:rPr>
          <w:sz w:val="24"/>
        </w:rPr>
      </w:pPr>
      <w:r>
        <w:rPr>
          <w:b/>
          <w:sz w:val="24"/>
        </w:rPr>
        <w:t>FACILITY AGREEMENT</w:t>
      </w:r>
    </w:p>
    <w:p>
      <w:pPr>
        <w:pStyle w:val="Normal"/>
        <w:bidi w:val="0"/>
        <w:jc w:val="start"/>
        <w:rPr>
          <w:sz w:val="24"/>
        </w:rPr>
      </w:pPr>
      <w:r>
        <w:rPr>
          <w:sz w:val="24"/>
        </w:rPr>
      </w:r>
    </w:p>
    <w:p>
      <w:pPr>
        <w:pStyle w:val="Normal"/>
        <w:bidi w:val="0"/>
        <w:jc w:val="start"/>
        <w:rPr>
          <w:sz w:val="24"/>
        </w:rPr>
      </w:pPr>
      <w:r>
        <w:rPr>
          <w:sz w:val="24"/>
        </w:rPr>
        <w:tab/>
      </w:r>
      <w:ins w:id="288" w:author="">
        <w:r>
          <w:rPr>
            <w:strike/>
            <w:sz w:val="24"/>
          </w:rPr>
          <w:t>AMENDED AND RESTATED</w:t>
        </w:r>
      </w:ins>
      <w:r>
        <w:rPr>
          <w:sz w:val="24"/>
        </w:rPr>
        <w:t xml:space="preserve"> </w:t>
      </w:r>
      <w:ins w:id="289" w:author="">
        <w:r>
          <w:rPr>
            <w:b/>
            <w:sz w:val="24"/>
            <w:u w:val="double"/>
          </w:rPr>
          <w:t>This</w:t>
        </w:r>
      </w:ins>
      <w:r>
        <w:rPr>
          <w:sz w:val="24"/>
        </w:rPr>
        <w:t xml:space="preserve"> </w:t>
      </w:r>
      <w:r>
        <w:rPr>
          <w:b/>
          <w:sz w:val="24"/>
        </w:rPr>
        <w:t>FACILITY AGREEMENT</w:t>
      </w:r>
      <w:r>
        <w:rPr>
          <w:sz w:val="24"/>
        </w:rPr>
        <w:t xml:space="preserve"> (this “</w:t>
      </w:r>
      <w:r>
        <w:rPr>
          <w:b/>
          <w:sz w:val="24"/>
          <w:u w:val="single"/>
        </w:rPr>
        <w:t>Agreement</w:t>
      </w:r>
      <w:r>
        <w:rPr>
          <w:sz w:val="24"/>
        </w:rPr>
        <w:t xml:space="preserve">”), dated as of </w:t>
      </w:r>
      <w:ins w:id="290" w:author="">
        <w:r>
          <w:rPr>
            <w:strike/>
            <w:sz w:val="24"/>
          </w:rPr>
          <w:t xml:space="preserve">May 31, 2000, among Hawaii </w:t>
        </w:r>
      </w:ins>
      <w:ins w:id="291" w:author="">
        <w:r>
          <w:rPr>
            <w:b/>
            <w:sz w:val="24"/>
            <w:u w:val="double"/>
          </w:rPr>
          <w:t>November [17], 2000, is entered into by and between Hawaii I</w:t>
        </w:r>
      </w:ins>
      <w:r>
        <w:rPr>
          <w:sz w:val="24"/>
        </w:rPr>
        <w:t xml:space="preserve"> 125</w:t>
        <w:noBreakHyphen/>
        <w:t xml:space="preserve">0 Trust, a Delaware </w:t>
      </w:r>
      <w:ins w:id="292" w:author="">
        <w:r>
          <w:rPr>
            <w:strike/>
            <w:sz w:val="24"/>
          </w:rPr>
          <w:t>Business Trust</w:t>
        </w:r>
      </w:ins>
      <w:r>
        <w:rPr>
          <w:sz w:val="24"/>
        </w:rPr>
        <w:t xml:space="preserve"> </w:t>
      </w:r>
      <w:ins w:id="293" w:author="">
        <w:r>
          <w:rPr>
            <w:b/>
            <w:sz w:val="24"/>
            <w:u w:val="double"/>
          </w:rPr>
          <w:t>business trust</w:t>
        </w:r>
      </w:ins>
      <w:r>
        <w:rPr>
          <w:sz w:val="24"/>
        </w:rPr>
        <w:t xml:space="preserve"> whose principal place of business is at Rodney Square North, 1100 North Market Street, Wilmington, Delaware 19890 (the “</w:t>
      </w:r>
      <w:r>
        <w:rPr>
          <w:b/>
          <w:sz w:val="24"/>
          <w:u w:val="single"/>
        </w:rPr>
        <w:t>Trust</w:t>
      </w:r>
      <w:r>
        <w:rPr>
          <w:sz w:val="24"/>
        </w:rPr>
        <w:t>”)</w:t>
      </w:r>
      <w:ins w:id="294" w:author="">
        <w:r>
          <w:rPr>
            <w:strike/>
            <w:sz w:val="24"/>
          </w:rPr>
          <w:t>,</w:t>
        </w:r>
      </w:ins>
      <w:ins w:id="295" w:author="">
        <w:r>
          <w:rPr>
            <w:b/>
            <w:sz w:val="24"/>
            <w:u w:val="double"/>
          </w:rPr>
          <w:t>;</w:t>
        </w:r>
      </w:ins>
      <w:r>
        <w:rPr>
          <w:sz w:val="24"/>
        </w:rPr>
        <w:t xml:space="preserve"> the lenders listed in Schedule 1 hereto and each of the lenders which, pursuant to Section 23.2, shall become a “Lender” hereunder (individually a “</w:t>
      </w:r>
      <w:r>
        <w:rPr>
          <w:b/>
          <w:sz w:val="24"/>
          <w:u w:val="single"/>
        </w:rPr>
        <w:t>Lender</w:t>
      </w:r>
      <w:r>
        <w:rPr>
          <w:sz w:val="24"/>
        </w:rPr>
        <w:t>” and</w:t>
      </w:r>
      <w:ins w:id="296" w:author="">
        <w:r>
          <w:rPr>
            <w:strike/>
            <w:sz w:val="24"/>
          </w:rPr>
          <w:t>,</w:t>
        </w:r>
      </w:ins>
      <w:r>
        <w:rPr>
          <w:sz w:val="24"/>
        </w:rPr>
        <w:t xml:space="preserve"> collectively, the “</w:t>
      </w:r>
      <w:r>
        <w:rPr>
          <w:b/>
          <w:sz w:val="24"/>
          <w:u w:val="single"/>
        </w:rPr>
        <w:t>Lenders</w:t>
      </w:r>
      <w:r>
        <w:rPr>
          <w:sz w:val="24"/>
        </w:rPr>
        <w:t>”)</w:t>
      </w:r>
      <w:ins w:id="297" w:author="">
        <w:r>
          <w:rPr>
            <w:strike/>
            <w:sz w:val="24"/>
          </w:rPr>
          <w:t>,</w:t>
        </w:r>
      </w:ins>
      <w:ins w:id="298" w:author="">
        <w:r>
          <w:rPr>
            <w:b/>
            <w:sz w:val="24"/>
            <w:u w:val="double"/>
          </w:rPr>
          <w:t>;</w:t>
        </w:r>
      </w:ins>
      <w:r>
        <w:rPr>
          <w:sz w:val="24"/>
        </w:rPr>
        <w:t xml:space="preserve"> Canadian Imperial Bank of Commerce, as administrative agent for the Lenders (in such capacity, together with its successors and assigns in such capacity, the “</w:t>
      </w:r>
      <w:r>
        <w:rPr>
          <w:b/>
          <w:sz w:val="24"/>
          <w:u w:val="single"/>
        </w:rPr>
        <w:t>Agent</w:t>
      </w:r>
      <w:r>
        <w:rPr>
          <w:sz w:val="24"/>
        </w:rPr>
        <w:t>”)</w:t>
      </w:r>
      <w:ins w:id="299" w:author="">
        <w:r>
          <w:rPr>
            <w:strike/>
            <w:sz w:val="24"/>
          </w:rPr>
          <w:t>,</w:t>
        </w:r>
      </w:ins>
      <w:ins w:id="300" w:author="">
        <w:r>
          <w:rPr>
            <w:b/>
            <w:sz w:val="24"/>
            <w:u w:val="double"/>
          </w:rPr>
          <w:t>;</w:t>
        </w:r>
      </w:ins>
      <w:r>
        <w:rPr>
          <w:sz w:val="24"/>
        </w:rPr>
        <w:t xml:space="preserve"> CIBC World Markets Corp.,as sole lead bookrunner and arranger (in such capacity, together with its successors and assigns in such capacity, the “</w:t>
      </w:r>
      <w:r>
        <w:rPr>
          <w:b/>
          <w:sz w:val="24"/>
          <w:u w:val="single"/>
        </w:rPr>
        <w:t>Arranger</w:t>
      </w:r>
      <w:r>
        <w:rPr>
          <w:sz w:val="24"/>
        </w:rPr>
        <w:t>”)</w:t>
      </w:r>
      <w:ins w:id="301" w:author="">
        <w:r>
          <w:rPr>
            <w:strike/>
            <w:sz w:val="24"/>
          </w:rPr>
          <w:t>,</w:t>
        </w:r>
      </w:ins>
      <w:ins w:id="302" w:author="">
        <w:r>
          <w:rPr>
            <w:b/>
            <w:sz w:val="24"/>
            <w:u w:val="double"/>
          </w:rPr>
          <w:t>;</w:t>
        </w:r>
      </w:ins>
      <w:r>
        <w:rPr>
          <w:sz w:val="24"/>
        </w:rPr>
        <w:t xml:space="preserve"> First Union National Bank and San Paolo IMI S.p.A.</w:t>
      </w:r>
      <w:ins w:id="303" w:author="">
        <w:r>
          <w:rPr>
            <w:b/>
            <w:sz w:val="24"/>
            <w:u w:val="double"/>
          </w:rPr>
          <w:t>,</w:t>
        </w:r>
      </w:ins>
      <w:r>
        <w:rPr>
          <w:sz w:val="24"/>
        </w:rPr>
        <w:t xml:space="preserve"> as co</w:t>
        <w:noBreakHyphen/>
        <w:t>arrangers (in such capacity, together with their respective successors and assigns in such capacity, the “</w:t>
      </w:r>
      <w:r>
        <w:rPr>
          <w:b/>
          <w:sz w:val="24"/>
          <w:u w:val="single"/>
        </w:rPr>
        <w:t>Co</w:t>
        <w:noBreakHyphen/>
        <w:t>Arrangers</w:t>
      </w:r>
      <w:r>
        <w:rPr>
          <w:sz w:val="24"/>
        </w:rPr>
        <w:t>”)</w:t>
      </w:r>
      <w:ins w:id="304" w:author="">
        <w:r>
          <w:rPr>
            <w:strike/>
            <w:sz w:val="24"/>
          </w:rPr>
          <w:t>,</w:t>
        </w:r>
      </w:ins>
      <w:ins w:id="305" w:author="">
        <w:r>
          <w:rPr>
            <w:b/>
            <w:sz w:val="24"/>
            <w:u w:val="double"/>
          </w:rPr>
          <w:t>; BNP</w:t>
        </w:r>
      </w:ins>
      <w:r>
        <w:rPr>
          <w:sz w:val="24"/>
        </w:rPr>
        <w:t xml:space="preserve"> Paribas, as syndication agent (in such capacity, together with its successors and assigns in such capacity, the “</w:t>
      </w:r>
      <w:r>
        <w:rPr>
          <w:b/>
          <w:sz w:val="24"/>
          <w:u w:val="single"/>
        </w:rPr>
        <w:t>Syndication Agent</w:t>
      </w:r>
      <w:r>
        <w:rPr>
          <w:sz w:val="24"/>
        </w:rPr>
        <w:t>”); and Bayerische Landesbank</w:t>
      </w:r>
      <w:ins w:id="306" w:author="">
        <w:r>
          <w:rPr>
            <w:b/>
            <w:sz w:val="24"/>
            <w:u w:val="double"/>
          </w:rPr>
          <w:t>,</w:t>
        </w:r>
      </w:ins>
      <w:r>
        <w:rPr>
          <w:sz w:val="24"/>
        </w:rPr>
        <w:t xml:space="preserve"> as Documentation Agent (in such capacity, together with its respective successors and assigns in such capacity, the “</w:t>
      </w:r>
      <w:r>
        <w:rPr>
          <w:b/>
          <w:sz w:val="24"/>
          <w:u w:val="single"/>
        </w:rPr>
        <w:t>Documentation Agent</w:t>
      </w:r>
      <w:r>
        <w:rPr>
          <w:sz w:val="24"/>
        </w:rPr>
        <w:t>”).</w:t>
      </w:r>
    </w:p>
    <w:p>
      <w:pPr>
        <w:pStyle w:val="Normal"/>
        <w:bidi w:val="0"/>
        <w:jc w:val="start"/>
        <w:rPr>
          <w:sz w:val="24"/>
        </w:rPr>
      </w:pPr>
      <w:r>
        <w:rPr>
          <w:sz w:val="24"/>
        </w:rPr>
      </w:r>
    </w:p>
    <w:p>
      <w:pPr>
        <w:pStyle w:val="Normal"/>
        <w:bidi w:val="0"/>
        <w:jc w:val="center"/>
        <w:rPr>
          <w:sz w:val="24"/>
        </w:rPr>
      </w:pPr>
      <w:r>
        <w:rPr>
          <w:b/>
          <w:sz w:val="24"/>
          <w:u w:val="single"/>
        </w:rPr>
        <w:t>RECITALS</w:t>
      </w:r>
    </w:p>
    <w:p>
      <w:pPr>
        <w:pStyle w:val="Normal"/>
        <w:bidi w:val="0"/>
        <w:jc w:val="start"/>
        <w:rPr>
          <w:sz w:val="24"/>
        </w:rPr>
      </w:pPr>
      <w:r>
        <w:rPr>
          <w:sz w:val="24"/>
        </w:rPr>
      </w:r>
    </w:p>
    <w:p>
      <w:pPr>
        <w:pStyle w:val="Normal"/>
        <w:bidi w:val="0"/>
        <w:jc w:val="start"/>
        <w:rPr>
          <w:sz w:val="24"/>
        </w:rPr>
      </w:pPr>
      <w:r>
        <w:rPr>
          <w:sz w:val="24"/>
        </w:rPr>
        <w:tab/>
        <w:t xml:space="preserve">WHEREAS, the Trust wishes to obtain funds from the Lenders in order to </w:t>
      </w:r>
      <w:ins w:id="307" w:author="">
        <w:r>
          <w:rPr>
            <w:strike/>
            <w:sz w:val="24"/>
          </w:rPr>
          <w:t>purchase</w:t>
        </w:r>
      </w:ins>
      <w:r>
        <w:rPr>
          <w:sz w:val="24"/>
        </w:rPr>
        <w:t xml:space="preserve"> </w:t>
      </w:r>
      <w:ins w:id="308" w:author="">
        <w:r>
          <w:rPr>
            <w:b/>
            <w:sz w:val="24"/>
            <w:u w:val="double"/>
          </w:rPr>
          <w:t>acquire</w:t>
        </w:r>
      </w:ins>
      <w:r>
        <w:rPr>
          <w:sz w:val="24"/>
        </w:rPr>
        <w:t xml:space="preserve"> Class B Interests from time to time; and</w:t>
      </w:r>
    </w:p>
    <w:p>
      <w:pPr>
        <w:pStyle w:val="Normal"/>
        <w:bidi w:val="0"/>
        <w:jc w:val="start"/>
        <w:rPr>
          <w:sz w:val="24"/>
        </w:rPr>
      </w:pPr>
      <w:r>
        <w:rPr>
          <w:sz w:val="24"/>
        </w:rPr>
      </w:r>
    </w:p>
    <w:p>
      <w:pPr>
        <w:pStyle w:val="Normal"/>
        <w:bidi w:val="0"/>
        <w:jc w:val="start"/>
        <w:rPr>
          <w:sz w:val="24"/>
        </w:rPr>
      </w:pPr>
      <w:r>
        <w:rPr>
          <w:sz w:val="24"/>
        </w:rPr>
        <w:tab/>
        <w:t>WHEREAS, subject to and upon the terms and conditions herein set forth, including the creation of the Trust as a single purpose, bankruptcy remote entity, the Lenders are willing to provide financing to the Trust as provided for herein;</w:t>
      </w:r>
    </w:p>
    <w:p>
      <w:pPr>
        <w:pStyle w:val="Normal"/>
        <w:bidi w:val="0"/>
        <w:jc w:val="start"/>
        <w:rPr>
          <w:strike/>
          <w:sz w:val="24"/>
          <w:ins w:id="311" w:author=""/>
        </w:rPr>
      </w:pPr>
      <w:ins w:id="309" w:author="">
        <w:r>
          <w:rPr>
            <w:strike/>
            <w:sz w:val="24"/>
          </w:rPr>
          <w:t xml:space="preserve"> </w:t>
        </w:r>
      </w:ins>
      <w:ins w:id="310" w:author="">
        <w:r>
          <w:rPr>
            <w:strike/>
            <w:sz w:val="24"/>
          </w:rPr>
          <w:t>and</w:t>
        </w:r>
      </w:ins>
    </w:p>
    <w:p>
      <w:pPr>
        <w:pStyle w:val="Normal"/>
        <w:bidi w:val="0"/>
        <w:jc w:val="start"/>
        <w:rPr>
          <w:strike/>
          <w:sz w:val="24"/>
          <w:ins w:id="313" w:author=""/>
        </w:rPr>
      </w:pPr>
      <w:ins w:id="312" w:author="">
        <w:r>
          <w:rPr>
            <w:strike/>
            <w:sz w:val="24"/>
          </w:rPr>
        </w:r>
      </w:ins>
    </w:p>
    <w:p>
      <w:pPr>
        <w:pStyle w:val="Normal"/>
        <w:bidi w:val="0"/>
        <w:jc w:val="start"/>
        <w:rPr>
          <w:strike/>
          <w:sz w:val="24"/>
          <w:ins w:id="315" w:author=""/>
        </w:rPr>
      </w:pPr>
      <w:ins w:id="314" w:author="">
        <w:r>
          <w:rPr>
            <w:strike/>
            <w:sz w:val="24"/>
          </w:rPr>
          <w:t>WHEREAS, in connection therewith, the parties hereto have entered into that certain Facility Agreement, dated as of March 31, 2000 (the “Existing Facility Agreement”) and now wish to amend and restate the Existing Facility Agreement as provided in this Agreement; and</w:t>
        </w:r>
      </w:ins>
    </w:p>
    <w:p>
      <w:pPr>
        <w:pStyle w:val="Normal"/>
        <w:bidi w:val="0"/>
        <w:jc w:val="start"/>
        <w:rPr>
          <w:strike/>
          <w:sz w:val="24"/>
          <w:ins w:id="317" w:author=""/>
        </w:rPr>
      </w:pPr>
      <w:ins w:id="316" w:author="">
        <w:r>
          <w:rPr>
            <w:strike/>
            <w:sz w:val="24"/>
          </w:rPr>
        </w:r>
      </w:ins>
    </w:p>
    <w:p>
      <w:pPr>
        <w:pStyle w:val="Normal"/>
        <w:bidi w:val="0"/>
        <w:jc w:val="start"/>
        <w:rPr>
          <w:strike/>
          <w:sz w:val="24"/>
        </w:rPr>
      </w:pPr>
      <w:ins w:id="318" w:author="">
        <w:r>
          <w:rPr>
            <w:strike/>
            <w:sz w:val="24"/>
          </w:rPr>
          <w:t>WHEREAS, each of the Lenders by executing this Agreement, hereby consents to the amendment and restatement of the Trust Agreement.</w:t>
        </w:r>
      </w:ins>
    </w:p>
    <w:p>
      <w:pPr>
        <w:pStyle w:val="Normal"/>
        <w:bidi w:val="0"/>
        <w:jc w:val="start"/>
        <w:rPr>
          <w:sz w:val="24"/>
        </w:rPr>
      </w:pPr>
      <w:r>
        <w:rPr>
          <w:sz w:val="24"/>
        </w:rPr>
      </w:r>
    </w:p>
    <w:p>
      <w:pPr>
        <w:pStyle w:val="Normal"/>
        <w:bidi w:val="0"/>
        <w:jc w:val="start"/>
        <w:rPr>
          <w:sz w:val="24"/>
        </w:rPr>
      </w:pPr>
      <w:r>
        <w:rPr>
          <w:sz w:val="24"/>
        </w:rPr>
        <w:tab/>
        <w:t xml:space="preserve">NOW, THEREFORE, it is agreed </w:t>
      </w:r>
      <w:ins w:id="319" w:author="">
        <w:r>
          <w:rPr>
            <w:strike/>
            <w:sz w:val="24"/>
          </w:rPr>
          <w:t>that the Existing Facility Agreement is hereby amended and restated</w:t>
        </w:r>
      </w:ins>
      <w:r>
        <w:rPr>
          <w:sz w:val="24"/>
        </w:rPr>
        <w:t xml:space="preserve"> as follows:</w:t>
      </w:r>
    </w:p>
    <w:p>
      <w:pPr>
        <w:pStyle w:val="Normal"/>
        <w:keepNext w:val="true"/>
        <w:bidi w:val="0"/>
        <w:jc w:val="start"/>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IDEFINITIONS AND INTERPRETATION"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1.1   Definitions " \l 1 </w:instrText>
      </w:r>
      <w:r>
        <w:rPr>
          <w:sz w:val="24"/>
        </w:rPr>
        <w:fldChar w:fldCharType="separate"/>
      </w:r>
      <w:r>
        <w:rPr>
          <w:sz w:val="24"/>
        </w:rPr>
      </w:r>
      <w:r>
        <w:rPr>
          <w:sz w:val="24"/>
        </w:rPr>
        <w:fldChar w:fldCharType="end"/>
      </w:r>
      <w:r>
        <w:rPr>
          <w:sz w:val="24"/>
        </w:rPr>
        <w:t>.    In this Agreement, including the Recitals, unless the context requires otherwise, the following terms shall have the following respective meanings:</w:t>
      </w:r>
    </w:p>
    <w:p>
      <w:pPr>
        <w:pStyle w:val="Normal"/>
        <w:keepNext w:val="true"/>
        <w:keepLines/>
        <w:bidi w:val="0"/>
        <w:jc w:val="both"/>
        <w:rPr>
          <w:sz w:val="24"/>
        </w:rPr>
      </w:pPr>
      <w:r>
        <w:rPr>
          <w:sz w:val="24"/>
        </w:rPr>
      </w:r>
    </w:p>
    <w:p>
      <w:pPr>
        <w:pStyle w:val="Normal"/>
        <w:keepLines/>
        <w:bidi w:val="0"/>
        <w:jc w:val="both"/>
        <w:rPr>
          <w:b/>
          <w:sz w:val="24"/>
        </w:rPr>
      </w:pPr>
      <w:r>
        <w:rPr>
          <w:sz w:val="24"/>
        </w:rPr>
        <w:tab/>
      </w:r>
      <w:r>
        <w:rPr>
          <w:b/>
          <w:sz w:val="24"/>
        </w:rPr>
        <w:t>“</w:t>
      </w:r>
      <w:r>
        <w:rPr>
          <w:b/>
          <w:sz w:val="24"/>
          <w:u w:val="single"/>
        </w:rPr>
        <w:t>Additional Lender Certificate</w:t>
      </w:r>
      <w:r>
        <w:rPr>
          <w:b/>
          <w:sz w:val="24"/>
        </w:rPr>
        <w:t>”</w:t>
      </w:r>
      <w:r>
        <w:rPr>
          <w:sz w:val="24"/>
        </w:rPr>
        <w:t xml:space="preserve"> has the meaning given to such term in Section </w:t>
      </w:r>
      <w:ins w:id="320" w:author="">
        <w:r>
          <w:rPr>
            <w:strike/>
            <w:sz w:val="24"/>
          </w:rPr>
          <w:t>3.3.(a)</w:t>
        </w:r>
      </w:ins>
      <w:r>
        <w:rPr>
          <w:sz w:val="24"/>
        </w:rPr>
        <w:t xml:space="preserve"> </w:t>
      </w:r>
      <w:ins w:id="321" w:author="">
        <w:r>
          <w:rPr>
            <w:b/>
            <w:sz w:val="24"/>
            <w:u w:val="double"/>
          </w:rPr>
          <w:t>3.3(a)</w:t>
        </w:r>
      </w:ins>
      <w:r>
        <w:rPr>
          <w:sz w:val="24"/>
        </w:rPr>
        <w:t>.</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Advance</w:t>
      </w:r>
      <w:r>
        <w:rPr>
          <w:b/>
          <w:sz w:val="24"/>
        </w:rPr>
        <w:t xml:space="preserve">” </w:t>
      </w:r>
      <w:r>
        <w:rPr>
          <w:sz w:val="24"/>
        </w:rPr>
        <w:t>and</w:t>
      </w:r>
      <w:r>
        <w:rPr>
          <w:b/>
          <w:sz w:val="24"/>
        </w:rPr>
        <w:t xml:space="preserve"> “</w:t>
      </w:r>
      <w:r>
        <w:rPr>
          <w:b/>
          <w:sz w:val="24"/>
          <w:u w:val="single"/>
        </w:rPr>
        <w:t>Advances</w:t>
      </w:r>
      <w:r>
        <w:rPr>
          <w:b/>
          <w:sz w:val="24"/>
        </w:rPr>
        <w:t>”</w:t>
      </w:r>
      <w:r>
        <w:rPr>
          <w:sz w:val="24"/>
        </w:rPr>
        <w:t xml:space="preserve"> have the respective meanings given to such terms in Section 2.2(a).</w:t>
      </w:r>
    </w:p>
    <w:p>
      <w:pPr>
        <w:pStyle w:val="Normal"/>
        <w:bidi w:val="0"/>
        <w:jc w:val="both"/>
        <w:rPr>
          <w:sz w:val="24"/>
        </w:rPr>
      </w:pPr>
      <w:r>
        <w:rPr>
          <w:sz w:val="24"/>
        </w:rPr>
      </w:r>
    </w:p>
    <w:p>
      <w:pPr>
        <w:pStyle w:val="Normal"/>
        <w:bidi w:val="0"/>
        <w:jc w:val="both"/>
        <w:rPr>
          <w:sz w:val="24"/>
        </w:rPr>
      </w:pPr>
      <w:r>
        <w:rPr>
          <w:sz w:val="24"/>
        </w:rPr>
        <w:tab/>
        <w:t>“</w:t>
      </w:r>
      <w:r>
        <w:rPr>
          <w:b/>
          <w:sz w:val="24"/>
          <w:u w:val="single"/>
        </w:rPr>
        <w:t>Affiliate</w:t>
      </w:r>
      <w:r>
        <w:rPr>
          <w:sz w:val="24"/>
        </w:rPr>
        <w:t xml:space="preserve">” means in relation to any Person (a) any Person which, directly or indirectly, is in control of, is controlled by, or is under common control with such Person, or (b) any Person who is a director or officer (i) of such Person, (ii) of any Subsidiary of such Person or (iii) of any Person described in clause (a) above. For purposes of this definition, </w:t>
      </w:r>
      <w:r>
        <w:rPr>
          <w:b/>
          <w:sz w:val="24"/>
        </w:rPr>
        <w:t>“</w:t>
      </w:r>
      <w:r>
        <w:rPr>
          <w:b/>
          <w:sz w:val="24"/>
          <w:u w:val="single"/>
        </w:rPr>
        <w:t>control</w:t>
      </w:r>
      <w:r>
        <w:rPr>
          <w:b/>
          <w:sz w:val="24"/>
        </w:rPr>
        <w:t>”</w:t>
      </w:r>
      <w:r>
        <w:rPr>
          <w:sz w:val="24"/>
        </w:rPr>
        <w:t xml:space="preserve"> of a Person shall mean the power, direct or indirect, (i) to vote 25% or more of the securities having ordinary voting power for the election of directors of such Person, whether by way of ownership of securities, contract, proxy or otherwise, or (ii) to direct or cause the direction of the management and policies of such Person, whether by ownership of securities, contract, proxy or otherwise.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Agency Indemnities</w:t>
      </w:r>
      <w:r>
        <w:rPr>
          <w:b/>
          <w:sz w:val="24"/>
        </w:rPr>
        <w:t>”</w:t>
      </w:r>
      <w:r>
        <w:rPr>
          <w:sz w:val="24"/>
        </w:rPr>
        <w:t xml:space="preserve"> has the meaning given to such term in Section 14.8(a).</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Agent</w:t>
      </w:r>
      <w:r>
        <w:rPr>
          <w:b/>
          <w:sz w:val="24"/>
        </w:rPr>
        <w:t>”</w:t>
      </w:r>
      <w:r>
        <w:rPr>
          <w:sz w:val="24"/>
        </w:rPr>
        <w:t xml:space="preserve"> has the meaning given to such term in the introductory paragraph of this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Alternate Base Rate</w:t>
      </w:r>
      <w:r>
        <w:rPr>
          <w:b/>
          <w:sz w:val="24"/>
        </w:rPr>
        <w:t>”</w:t>
      </w:r>
      <w:r>
        <w:rPr>
          <w:sz w:val="24"/>
        </w:rPr>
        <w:t xml:space="preserve"> means, for any period, a fluctuating interest rate per annum as shall be in effect from time to time which rate per annum shall at all times be equal to the highest of:</w:t>
      </w:r>
    </w:p>
    <w:p>
      <w:pPr>
        <w:pStyle w:val="Normal"/>
        <w:bidi w:val="0"/>
        <w:jc w:val="both"/>
        <w:rPr>
          <w:sz w:val="24"/>
        </w:rPr>
      </w:pPr>
      <w:r>
        <w:rPr>
          <w:sz w:val="24"/>
        </w:rPr>
      </w:r>
    </w:p>
    <w:p>
      <w:pPr>
        <w:pStyle w:val="Normal"/>
        <w:bidi w:val="0"/>
        <w:ind w:hanging="0" w:start="720"/>
        <w:jc w:val="both"/>
        <w:rPr>
          <w:sz w:val="24"/>
        </w:rPr>
      </w:pPr>
      <w:r>
        <w:rPr>
          <w:sz w:val="24"/>
        </w:rPr>
        <w:tab/>
        <w:t>(i)</w:t>
        <w:tab/>
        <w:t>the rate of interest determined by the Agent at its Domestic Office, from time to time, as the Agent’s base rate; and</w:t>
      </w:r>
    </w:p>
    <w:p>
      <w:pPr>
        <w:pStyle w:val="Normal"/>
        <w:bidi w:val="0"/>
        <w:jc w:val="both"/>
        <w:rPr>
          <w:sz w:val="24"/>
        </w:rPr>
      </w:pPr>
      <w:r>
        <w:rPr>
          <w:sz w:val="24"/>
        </w:rPr>
      </w:r>
    </w:p>
    <w:p>
      <w:pPr>
        <w:pStyle w:val="Normal"/>
        <w:bidi w:val="0"/>
        <w:ind w:hanging="720" w:start="720"/>
        <w:jc w:val="both"/>
        <w:rPr>
          <w:sz w:val="24"/>
        </w:rPr>
      </w:pPr>
      <w:r>
        <w:rPr>
          <w:sz w:val="24"/>
        </w:rPr>
        <w:tab/>
        <w:tab/>
        <w:t>(ii)</w:t>
        <w:tab/>
        <w:t xml:space="preserve">the sum of 0.5 percent plus the Federal Funds Rate in effect from time to time. </w:t>
      </w:r>
    </w:p>
    <w:p>
      <w:pPr>
        <w:pStyle w:val="Normal"/>
        <w:bidi w:val="0"/>
        <w:jc w:val="both"/>
        <w:rPr>
          <w:sz w:val="24"/>
        </w:rPr>
      </w:pPr>
      <w:r>
        <w:rPr>
          <w:sz w:val="24"/>
        </w:rPr>
      </w:r>
    </w:p>
    <w:p>
      <w:pPr>
        <w:pStyle w:val="Normal"/>
        <w:bidi w:val="0"/>
        <w:jc w:val="both"/>
        <w:rPr>
          <w:sz w:val="24"/>
        </w:rPr>
      </w:pPr>
      <w:r>
        <w:rPr>
          <w:sz w:val="24"/>
        </w:rPr>
        <w:tab/>
        <w:t>The Alternate Base Rate is not necessarily intended to be the lowest rate of interest determined by the Agent in connection with extensions of credit.    Changes in the rate of interest on Alternate Base Rate Advances will take effect simultaneously with each change in the Alternate Base Rate.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Alternate Base Rate Advances</w:t>
      </w:r>
      <w:r>
        <w:rPr>
          <w:b/>
          <w:sz w:val="24"/>
        </w:rPr>
        <w:t>”</w:t>
      </w:r>
      <w:r>
        <w:rPr>
          <w:sz w:val="24"/>
        </w:rPr>
        <w:t xml:space="preserve"> means Advances which bear interest at the Alternate Base Rate.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Applicable Margin</w:t>
      </w:r>
      <w:r>
        <w:rPr>
          <w:b/>
          <w:sz w:val="24"/>
        </w:rPr>
        <w:t xml:space="preserve">” </w:t>
      </w:r>
      <w:r>
        <w:rPr>
          <w:sz w:val="24"/>
        </w:rPr>
        <w:t>means 0.55% per annum.</w:t>
      </w:r>
    </w:p>
    <w:p>
      <w:pPr>
        <w:pStyle w:val="Normal"/>
        <w:bidi w:val="0"/>
        <w:jc w:val="both"/>
        <w:rPr>
          <w:sz w:val="24"/>
        </w:rPr>
      </w:pPr>
      <w:r>
        <w:rPr>
          <w:sz w:val="24"/>
        </w:rPr>
      </w:r>
    </w:p>
    <w:p>
      <w:pPr>
        <w:pStyle w:val="Normal"/>
        <w:bidi w:val="0"/>
        <w:jc w:val="both"/>
        <w:rPr>
          <w:sz w:val="24"/>
        </w:rPr>
      </w:pPr>
      <w:r>
        <w:rPr>
          <w:b/>
          <w:sz w:val="24"/>
        </w:rPr>
        <w:tab/>
        <w:t>“</w:t>
      </w:r>
      <w:r>
        <w:rPr>
          <w:b/>
          <w:sz w:val="24"/>
          <w:u w:val="single"/>
        </w:rPr>
        <w:t>Arranger</w:t>
      </w:r>
      <w:r>
        <w:rPr>
          <w:b/>
          <w:sz w:val="24"/>
        </w:rPr>
        <w:t xml:space="preserve">” </w:t>
      </w:r>
      <w:r>
        <w:rPr>
          <w:sz w:val="24"/>
        </w:rPr>
        <w:t>has the meaning given to such term in the introductory paragraph of this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LLC</w:t>
      </w:r>
      <w:r>
        <w:rPr>
          <w:b/>
          <w:sz w:val="24"/>
        </w:rPr>
        <w:t>”</w:t>
      </w:r>
      <w:r>
        <w:rPr>
          <w:sz w:val="24"/>
        </w:rPr>
        <w:t xml:space="preserve"> means, with respect to each Tranche and the related Series, the Delaware limited liability company whose Class B Interest is assigned to the Trust pursuant to the applicable </w:t>
      </w:r>
      <w:ins w:id="322" w:author="">
        <w:r>
          <w:rPr>
            <w:strike/>
            <w:sz w:val="24"/>
          </w:rPr>
          <w:t>Sale</w:t>
        </w:r>
      </w:ins>
      <w:r>
        <w:rPr>
          <w:sz w:val="24"/>
        </w:rPr>
        <w:t xml:space="preserve"> </w:t>
      </w:r>
      <w:ins w:id="323" w:author="">
        <w:r>
          <w:rPr>
            <w:b/>
            <w:sz w:val="24"/>
            <w:u w:val="double"/>
          </w:rPr>
          <w:t>Transfer</w:t>
        </w:r>
      </w:ins>
      <w:r>
        <w:rPr>
          <w:sz w:val="24"/>
        </w:rPr>
        <w:t xml:space="preserve"> and Auction Agreement and becomes part of the Series Property (as defined in the Trust Agreement) of such Series.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LLC Agreement</w:t>
      </w:r>
      <w:r>
        <w:rPr>
          <w:b/>
          <w:sz w:val="24"/>
        </w:rPr>
        <w:t>”</w:t>
      </w:r>
      <w:r>
        <w:rPr>
          <w:sz w:val="24"/>
        </w:rPr>
        <w:t xml:space="preserve"> means, with respect to each Asset LLC, the limited liability company agreement substantially in the form of Part I of Exhibit I (with such amendments as the Agent may approve) executed with respect to such Asset LLC.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Notice</w:t>
      </w:r>
      <w:r>
        <w:rPr>
          <w:b/>
          <w:sz w:val="24"/>
        </w:rPr>
        <w:t>”</w:t>
      </w:r>
      <w:r>
        <w:rPr>
          <w:sz w:val="24"/>
        </w:rPr>
        <w:t xml:space="preserve"> means, with respect to each proposed Tranche </w:t>
      </w:r>
      <w:ins w:id="324" w:author="">
        <w:r>
          <w:rPr>
            <w:b/>
            <w:sz w:val="24"/>
            <w:u w:val="double"/>
          </w:rPr>
          <w:t>other than the Hawaii Tranche and the Hawaii II Tranches</w:t>
        </w:r>
      </w:ins>
      <w:r>
        <w:rPr>
          <w:sz w:val="24"/>
        </w:rPr>
        <w:t>, a notice duly executed by Enron substantially in the form of Exhibit </w:t>
      </w:r>
      <w:ins w:id="325" w:author="">
        <w:r>
          <w:rPr>
            <w:strike/>
            <w:sz w:val="24"/>
          </w:rPr>
          <w:t>K</w:t>
          <w:noBreakHyphen/>
          <w:t>1</w:t>
        </w:r>
      </w:ins>
      <w:r>
        <w:rPr>
          <w:sz w:val="24"/>
        </w:rPr>
        <w:t xml:space="preserve"> </w:t>
      </w:r>
      <w:ins w:id="326" w:author="">
        <w:r>
          <w:rPr>
            <w:b/>
            <w:sz w:val="24"/>
            <w:u w:val="double"/>
          </w:rPr>
          <w:t>K1</w:t>
        </w:r>
      </w:ins>
      <w:r>
        <w:rPr>
          <w:sz w:val="24"/>
        </w:rPr>
        <w:t xml:space="preserve"> 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Structure</w:t>
      </w:r>
      <w:r>
        <w:rPr>
          <w:b/>
          <w:sz w:val="24"/>
        </w:rPr>
        <w:t>”</w:t>
      </w:r>
      <w:r>
        <w:rPr>
          <w:sz w:val="24"/>
        </w:rPr>
        <w:t xml:space="preserve"> means with respect to any Tranche, the structure pursuant to which the    Trust will hold its indirect interest in the related Underlying Asset, evidenced by an Asset LLC Agreement, a Transferor Constitutional Document, a </w:t>
      </w:r>
      <w:ins w:id="327" w:author="">
        <w:r>
          <w:rPr>
            <w:strike/>
            <w:sz w:val="24"/>
          </w:rPr>
          <w:t>Sale</w:t>
        </w:r>
      </w:ins>
      <w:r>
        <w:rPr>
          <w:sz w:val="24"/>
        </w:rPr>
        <w:t xml:space="preserve"> </w:t>
      </w:r>
      <w:ins w:id="328" w:author="">
        <w:r>
          <w:rPr>
            <w:b/>
            <w:sz w:val="24"/>
            <w:u w:val="double"/>
          </w:rPr>
          <w:t>Transfer</w:t>
        </w:r>
      </w:ins>
      <w:r>
        <w:rPr>
          <w:sz w:val="24"/>
        </w:rPr>
        <w:t xml:space="preserve"> and Auction Agreement, an Independent Auctioneer Letter, either or both of a Demand Note and Demand Note Assignment and/or a Put Option Agreement and Put Option Assignment (as applicable) and any other relevant agreements and documents.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Summary</w:t>
      </w:r>
      <w:r>
        <w:rPr>
          <w:b/>
          <w:sz w:val="24"/>
        </w:rPr>
        <w:t>”</w:t>
      </w:r>
      <w:r>
        <w:rPr>
          <w:sz w:val="24"/>
        </w:rPr>
        <w:t xml:space="preserve"> means with respect to each proposed Underlying Asset, a summary duly executed by Enron substantially in the form of Exhibit </w:t>
      </w:r>
      <w:ins w:id="329" w:author="">
        <w:r>
          <w:rPr>
            <w:strike/>
            <w:sz w:val="24"/>
          </w:rPr>
          <w:t>K</w:t>
          <w:noBreakHyphen/>
          <w:t>2</w:t>
        </w:r>
      </w:ins>
      <w:r>
        <w:rPr>
          <w:sz w:val="24"/>
        </w:rPr>
        <w:t xml:space="preserve"> </w:t>
      </w:r>
      <w:ins w:id="330" w:author="">
        <w:r>
          <w:rPr>
            <w:b/>
            <w:sz w:val="24"/>
            <w:u w:val="double"/>
          </w:rPr>
          <w:t>K2</w:t>
        </w:r>
      </w:ins>
      <w:r>
        <w:rPr>
          <w:sz w:val="24"/>
        </w:rPr>
        <w:t xml:space="preserve"> hereto, including reasonable written details of the proposed Underlying Asset, its valuation, the method of calculation or determination of such valuation (together with reasonably detailed supporting materials, if applicable) and the proposed Asset Structure.</w:t>
      </w:r>
    </w:p>
    <w:p>
      <w:pPr>
        <w:pStyle w:val="Normal"/>
        <w:bidi w:val="0"/>
        <w:jc w:val="both"/>
        <w:rPr>
          <w:sz w:val="24"/>
        </w:rPr>
      </w:pPr>
      <w:r>
        <w:rPr>
          <w:sz w:val="24"/>
        </w:rPr>
      </w:r>
    </w:p>
    <w:p>
      <w:pPr>
        <w:pStyle w:val="Normal"/>
        <w:bidi w:val="0"/>
        <w:jc w:val="both"/>
        <w:rPr>
          <w:sz w:val="24"/>
        </w:rPr>
      </w:pPr>
      <w:r>
        <w:rPr>
          <w:b/>
          <w:sz w:val="24"/>
        </w:rPr>
        <w:tab/>
      </w:r>
      <w:ins w:id="331" w:author="">
        <w:r>
          <w:rPr>
            <w:b/>
            <w:sz w:val="24"/>
            <w:u w:val="double"/>
          </w:rPr>
          <w:t>“Assigned Interest” has the meaning given to such term in Section 3.3(c).</w:t>
        </w:r>
      </w:ins>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Assignee</w:t>
      </w:r>
      <w:r>
        <w:rPr>
          <w:b/>
          <w:sz w:val="24"/>
        </w:rPr>
        <w:t>”</w:t>
      </w:r>
      <w:r>
        <w:rPr>
          <w:sz w:val="24"/>
        </w:rPr>
        <w:t xml:space="preserve"> has the meaning given to such term in Section 23.2(b).</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Assignor</w:t>
      </w:r>
      <w:r>
        <w:rPr>
          <w:b/>
          <w:sz w:val="24"/>
        </w:rPr>
        <w:t>”</w:t>
      </w:r>
      <w:r>
        <w:rPr>
          <w:sz w:val="24"/>
        </w:rPr>
        <w:t xml:space="preserve"> has the meaning given to such term in Section 23.2(b).</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Bankruptcy Code</w:t>
      </w:r>
      <w:r>
        <w:rPr>
          <w:b/>
          <w:sz w:val="24"/>
        </w:rPr>
        <w:t>”</w:t>
      </w:r>
      <w:r>
        <w:rPr>
          <w:sz w:val="24"/>
        </w:rPr>
        <w:t xml:space="preserve"> means Title 11 of the United States Code, as now or hereafter in effect, or any successor thereto.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Bankruptcy Party</w:t>
      </w:r>
      <w:r>
        <w:rPr>
          <w:b/>
          <w:sz w:val="24"/>
        </w:rPr>
        <w:t>”</w:t>
      </w:r>
      <w:r>
        <w:rPr>
          <w:sz w:val="24"/>
        </w:rPr>
        <w:t xml:space="preserve"> has the meaning given to such term in Section 13.1(i).</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Beneficial Interest Certificate</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Business</w:t>
      </w:r>
      <w:r>
        <w:rPr>
          <w:b/>
          <w:sz w:val="24"/>
        </w:rPr>
        <w:t>”</w:t>
      </w:r>
      <w:r>
        <w:rPr>
          <w:sz w:val="24"/>
        </w:rPr>
        <w:t xml:space="preserve"> means (i) the ownership of the Class B Interests; (ii) the entering into of this Agreement and the other Operative Documents to which the Trust is a party and all other documents referred to therein, the holding of the proceeds therefrom and performance of its obligations thereunder, and hereunder, (iii) the activities listed in Section 2.03 of the Trust Agreement; and (iv) activities incidental thereto.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Business Day</w:t>
      </w:r>
      <w:r>
        <w:rPr>
          <w:b/>
          <w:sz w:val="24"/>
        </w:rPr>
        <w:t>”</w:t>
      </w:r>
      <w:r>
        <w:rPr>
          <w:sz w:val="24"/>
        </w:rPr>
        <w:t xml:space="preserve"> means (i) a day (other than a Saturday, Sunday or public holiday) which is a day on which banks are open for dealings in Dollars in New York City and Houston, Texas, and (ii) if the applicable Business Day relates to any LIBOR Advances, a day which is also a “Business Day” described in clause (i) and which is a day for trading by and between banks in the London interbank eurodollar market.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Business Trust Act</w:t>
      </w:r>
      <w:r>
        <w:rPr>
          <w:b/>
          <w:sz w:val="24"/>
        </w:rPr>
        <w:t>”</w:t>
      </w:r>
      <w:r>
        <w:rPr>
          <w:sz w:val="24"/>
        </w:rPr>
        <w:t xml:space="preserve"> means Chapter 38 of Title 12 of the Delaware Code, 12 Del. C. § 3801, </w:t>
      </w:r>
      <w:r>
        <w:rPr>
          <w:sz w:val="24"/>
          <w:u w:val="single"/>
        </w:rPr>
        <w:t>et seq</w:t>
      </w:r>
      <w:r>
        <w:rPr>
          <w:sz w:val="24"/>
        </w:rPr>
        <w:t xml:space="preserve">.; as the same may be amended from time to time.    </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Certificate</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Certificate Holders</w:t>
      </w:r>
      <w:r>
        <w:rPr>
          <w:b/>
          <w:sz w:val="24"/>
        </w:rPr>
        <w:t xml:space="preserve">” </w:t>
      </w:r>
      <w:r>
        <w:rPr>
          <w:sz w:val="24"/>
        </w:rPr>
        <w:t>means the holders from time to time of the Certificates issued pursuant to the Trust Agreement.</w:t>
      </w:r>
    </w:p>
    <w:p>
      <w:pPr>
        <w:pStyle w:val="Normal"/>
        <w:bidi w:val="0"/>
        <w:jc w:val="both"/>
        <w:rPr>
          <w:sz w:val="24"/>
        </w:rPr>
      </w:pPr>
      <w:r>
        <w:rPr>
          <w:sz w:val="24"/>
        </w:rPr>
      </w:r>
    </w:p>
    <w:p>
      <w:pPr>
        <w:pStyle w:val="Normal"/>
        <w:bidi w:val="0"/>
        <w:jc w:val="both"/>
        <w:rPr>
          <w:sz w:val="24"/>
        </w:rPr>
      </w:pPr>
      <w:r>
        <w:rPr>
          <w:b/>
          <w:sz w:val="24"/>
        </w:rPr>
        <w:tab/>
        <w:t>“</w:t>
      </w:r>
      <w:r>
        <w:rPr>
          <w:b/>
          <w:sz w:val="24"/>
          <w:u w:val="single"/>
        </w:rPr>
        <w:t>Class B Interest</w:t>
      </w:r>
      <w:r>
        <w:rPr>
          <w:b/>
          <w:sz w:val="24"/>
        </w:rPr>
        <w:t xml:space="preserve">” </w:t>
      </w:r>
      <w:r>
        <w:rPr>
          <w:sz w:val="24"/>
        </w:rPr>
        <w:t xml:space="preserve">means 100% of the Class B membership interest issued by an Asset LLC and transferred by the applicable Transferor to the Trust pursuant to a </w:t>
      </w:r>
      <w:ins w:id="332" w:author="">
        <w:r>
          <w:rPr>
            <w:strike/>
            <w:sz w:val="24"/>
          </w:rPr>
          <w:t>Sale</w:t>
        </w:r>
      </w:ins>
      <w:r>
        <w:rPr>
          <w:sz w:val="24"/>
        </w:rPr>
        <w:t xml:space="preserve"> </w:t>
      </w:r>
      <w:ins w:id="333" w:author="">
        <w:r>
          <w:rPr>
            <w:b/>
            <w:sz w:val="24"/>
            <w:u w:val="double"/>
          </w:rPr>
          <w:t>Transfer</w:t>
        </w:r>
      </w:ins>
      <w:r>
        <w:rPr>
          <w:sz w:val="24"/>
        </w:rPr>
        <w:t xml:space="preserve"> and Auction Agreement.</w:t>
      </w:r>
    </w:p>
    <w:p>
      <w:pPr>
        <w:pStyle w:val="Normal"/>
        <w:bidi w:val="0"/>
        <w:jc w:val="both"/>
        <w:rPr>
          <w:sz w:val="24"/>
        </w:rPr>
      </w:pPr>
      <w:r>
        <w:rPr>
          <w:sz w:val="24"/>
        </w:rPr>
      </w:r>
    </w:p>
    <w:p>
      <w:pPr>
        <w:pStyle w:val="Normal"/>
        <w:bidi w:val="0"/>
        <w:jc w:val="both"/>
        <w:rPr>
          <w:b/>
          <w:sz w:val="24"/>
        </w:rPr>
      </w:pPr>
      <w:r>
        <w:rPr>
          <w:sz w:val="24"/>
        </w:rPr>
        <w:tab/>
      </w:r>
      <w:ins w:id="334" w:author="">
        <w:r>
          <w:rPr>
            <w:b/>
            <w:sz w:val="24"/>
            <w:u w:val="double"/>
          </w:rPr>
          <w:t>“Closing Date” means November [17], 2000.</w:t>
        </w:r>
      </w:ins>
    </w:p>
    <w:p>
      <w:pPr>
        <w:pStyle w:val="Normal"/>
        <w:bidi w:val="0"/>
        <w:jc w:val="both"/>
        <w:rPr>
          <w:b/>
          <w:sz w:val="24"/>
        </w:rPr>
      </w:pPr>
      <w:r>
        <w:rPr>
          <w:b/>
          <w:sz w:val="24"/>
        </w:rPr>
      </w:r>
    </w:p>
    <w:p>
      <w:pPr>
        <w:pStyle w:val="Normal"/>
        <w:bidi w:val="0"/>
        <w:jc w:val="both"/>
        <w:rPr>
          <w:sz w:val="24"/>
        </w:rPr>
      </w:pPr>
      <w:r>
        <w:rPr>
          <w:b/>
          <w:sz w:val="24"/>
        </w:rPr>
        <w:tab/>
        <w:t>“</w:t>
      </w:r>
      <w:r>
        <w:rPr>
          <w:b/>
          <w:sz w:val="24"/>
          <w:u w:val="single"/>
        </w:rPr>
        <w:t>Code</w:t>
      </w:r>
      <w:r>
        <w:rPr>
          <w:b/>
          <w:sz w:val="24"/>
        </w:rPr>
        <w:t>”</w:t>
      </w:r>
      <w:r>
        <w:rPr>
          <w:sz w:val="24"/>
        </w:rPr>
        <w:t xml:space="preserve"> means the Internal Revenue Code of 1986, as amended.</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Commitment</w:t>
      </w:r>
      <w:r>
        <w:rPr>
          <w:b/>
          <w:sz w:val="24"/>
        </w:rPr>
        <w:t xml:space="preserve">” </w:t>
      </w:r>
      <w:r>
        <w:rPr>
          <w:sz w:val="24"/>
        </w:rPr>
        <w:t xml:space="preserve">means, in relation to a Lender’s obligation to make an Advance hereunder, the amount stated opposite its name in Schedule 1, as the same may be transferred (in whole or in part), canceled, reduced, varied or terminated in accordance with the terms of this Agreement; </w:t>
      </w:r>
      <w:r>
        <w:rPr>
          <w:sz w:val="24"/>
          <w:u w:val="single"/>
        </w:rPr>
        <w:t>provided</w:t>
      </w:r>
      <w:r>
        <w:rPr>
          <w:sz w:val="24"/>
        </w:rPr>
        <w:t xml:space="preserve"> that the aggregate Commitments of all of the Lenders shall not be less than </w:t>
      </w:r>
      <w:ins w:id="335" w:author="">
        <w:r>
          <w:rPr>
            <w:strike/>
            <w:sz w:val="24"/>
          </w:rPr>
          <w:t>$97,000,000</w:t>
        </w:r>
      </w:ins>
      <w:r>
        <w:rPr>
          <w:sz w:val="24"/>
        </w:rPr>
        <w:t xml:space="preserve"> </w:t>
      </w:r>
      <w:ins w:id="336" w:author="">
        <w:r>
          <w:rPr>
            <w:b/>
            <w:sz w:val="24"/>
            <w:u w:val="double"/>
          </w:rPr>
          <w:t>$[165,000,000]</w:t>
        </w:r>
      </w:ins>
      <w:r>
        <w:rPr>
          <w:sz w:val="24"/>
        </w:rPr>
        <w:t xml:space="preserve"> (or such other lesser amount as may be agreed by the Agent and the Trust) for the period from the </w:t>
      </w:r>
      <w:ins w:id="337" w:author="">
        <w:r>
          <w:rPr>
            <w:strike/>
            <w:sz w:val="24"/>
          </w:rPr>
          <w:t>Initial</w:t>
        </w:r>
      </w:ins>
      <w:r>
        <w:rPr>
          <w:sz w:val="24"/>
        </w:rPr>
        <w:t xml:space="preserve"> Closing Date to the day prior to the Second Closing Date, nor greater than </w:t>
      </w:r>
      <w:ins w:id="338" w:author="">
        <w:r>
          <w:rPr>
            <w:strike/>
            <w:sz w:val="24"/>
          </w:rPr>
          <w:t>$485,000,000</w:t>
        </w:r>
      </w:ins>
      <w:r>
        <w:rPr>
          <w:sz w:val="24"/>
        </w:rPr>
        <w:t xml:space="preserve"> </w:t>
      </w:r>
      <w:ins w:id="339" w:author="">
        <w:r>
          <w:rPr>
            <w:b/>
            <w:sz w:val="24"/>
            <w:u w:val="double"/>
          </w:rPr>
          <w:t>$[198,000,000]</w:t>
        </w:r>
      </w:ins>
      <w:r>
        <w:rPr>
          <w:sz w:val="24"/>
        </w:rPr>
        <w:t xml:space="preserve"> thereafter or such greater amount as may be agreed by the Agent.</w:t>
      </w:r>
    </w:p>
    <w:p>
      <w:pPr>
        <w:pStyle w:val="Normal"/>
        <w:bidi w:val="0"/>
        <w:jc w:val="both"/>
        <w:rPr>
          <w:sz w:val="24"/>
        </w:rPr>
      </w:pPr>
      <w:r>
        <w:rPr>
          <w:sz w:val="24"/>
        </w:rPr>
      </w:r>
    </w:p>
    <w:p>
      <w:pPr>
        <w:pStyle w:val="Normal"/>
        <w:bidi w:val="0"/>
        <w:jc w:val="both"/>
        <w:rPr>
          <w:sz w:val="24"/>
        </w:rPr>
      </w:pPr>
      <w:r>
        <w:rPr>
          <w:sz w:val="24"/>
        </w:rPr>
        <w:tab/>
      </w:r>
      <w:ins w:id="340" w:author="">
        <w:r>
          <w:rPr>
            <w:b/>
            <w:sz w:val="24"/>
            <w:u w:val="double"/>
          </w:rPr>
          <w:t>“Commitment Amount” has the meaning given to such term in Section 3.3(b).</w:t>
        </w:r>
      </w:ins>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Confidential Information</w:t>
      </w:r>
      <w:r>
        <w:rPr>
          <w:b/>
          <w:sz w:val="24"/>
        </w:rPr>
        <w:t>”</w:t>
      </w:r>
      <w:r>
        <w:rPr>
          <w:sz w:val="24"/>
        </w:rPr>
        <w:t xml:space="preserve"> has the meaning given to such term in Section 22.1.</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Default</w:t>
      </w:r>
      <w:r>
        <w:rPr>
          <w:b/>
          <w:sz w:val="24"/>
        </w:rPr>
        <w:t xml:space="preserve">” </w:t>
      </w:r>
      <w:r>
        <w:rPr>
          <w:sz w:val="24"/>
        </w:rPr>
        <w:t xml:space="preserve">means any event which, with the giving of notice or the lapse of time or both, will constitute an Event of Default; </w:t>
      </w:r>
      <w:r>
        <w:rPr>
          <w:sz w:val="24"/>
          <w:u w:val="single"/>
        </w:rPr>
        <w:t>provided</w:t>
      </w:r>
      <w:r>
        <w:rPr>
          <w:sz w:val="24"/>
        </w:rPr>
        <w:t>, that such notice, lapse of time, determination or condition is in any case specified or referred to in the relevant Event of Default set forth in Section 13.1.</w:t>
      </w:r>
    </w:p>
    <w:p>
      <w:pPr>
        <w:pStyle w:val="Normal"/>
        <w:bidi w:val="0"/>
        <w:jc w:val="both"/>
        <w:rPr>
          <w:sz w:val="24"/>
        </w:rPr>
      </w:pPr>
      <w:r>
        <w:rPr>
          <w:sz w:val="24"/>
        </w:rPr>
      </w:r>
    </w:p>
    <w:p>
      <w:pPr>
        <w:pStyle w:val="Normal"/>
        <w:bidi w:val="0"/>
        <w:jc w:val="both"/>
        <w:rPr>
          <w:sz w:val="24"/>
        </w:rPr>
      </w:pPr>
      <w:r>
        <w:rPr>
          <w:b/>
          <w:sz w:val="24"/>
        </w:rPr>
        <w:tab/>
        <w:t>“</w:t>
      </w:r>
      <w:r>
        <w:rPr>
          <w:b/>
          <w:sz w:val="24"/>
          <w:u w:val="single"/>
        </w:rPr>
        <w:t>Default Rate</w:t>
      </w:r>
      <w:r>
        <w:rPr>
          <w:b/>
          <w:sz w:val="24"/>
        </w:rPr>
        <w:t>”</w:t>
      </w:r>
      <w:r>
        <w:rPr>
          <w:sz w:val="24"/>
        </w:rPr>
        <w:t xml:space="preserve"> has the meaning given to such term in Section 8.3(a).</w:t>
      </w:r>
    </w:p>
    <w:p>
      <w:pPr>
        <w:pStyle w:val="Normal"/>
        <w:bidi w:val="0"/>
        <w:jc w:val="both"/>
        <w:rPr>
          <w:sz w:val="24"/>
        </w:rPr>
      </w:pPr>
      <w:r>
        <w:rPr>
          <w:sz w:val="24"/>
        </w:rPr>
      </w:r>
    </w:p>
    <w:p>
      <w:pPr>
        <w:pStyle w:val="Normal"/>
        <w:bidi w:val="0"/>
        <w:jc w:val="both"/>
        <w:rPr>
          <w:sz w:val="24"/>
        </w:rPr>
      </w:pPr>
      <w:r>
        <w:rPr>
          <w:b/>
          <w:sz w:val="24"/>
        </w:rPr>
        <w:tab/>
        <w:t>“</w:t>
      </w:r>
      <w:r>
        <w:rPr>
          <w:b/>
          <w:sz w:val="24"/>
          <w:u w:val="single"/>
        </w:rPr>
        <w:t>Demand Note</w:t>
      </w:r>
      <w:r>
        <w:rPr>
          <w:b/>
          <w:sz w:val="24"/>
        </w:rPr>
        <w:t>”</w:t>
      </w:r>
      <w:r>
        <w:rPr>
          <w:sz w:val="24"/>
        </w:rPr>
        <w:t xml:space="preserve"> means, if applicable, a demand note executed by a Sponsor in favor of the related Asset LLC, in form and substance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Demand Note Assignment</w:t>
      </w:r>
      <w:r>
        <w:rPr>
          <w:b/>
          <w:sz w:val="24"/>
        </w:rPr>
        <w:t>”</w:t>
      </w:r>
      <w:r>
        <w:rPr>
          <w:sz w:val="24"/>
        </w:rPr>
        <w:t xml:space="preserve"> means, if applicable, an assignment by an Asset LLC to the Trust whereby such Asset LLC assigns to the Trust its rights to make calls under the applicable Demand Note, such assignment to be in the form and substance reasonably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Dollars</w:t>
      </w:r>
      <w:r>
        <w:rPr>
          <w:b/>
          <w:sz w:val="24"/>
        </w:rPr>
        <w:t xml:space="preserve">” </w:t>
      </w:r>
      <w:r>
        <w:rPr>
          <w:sz w:val="24"/>
        </w:rPr>
        <w:t xml:space="preserve">or </w:t>
      </w:r>
      <w:r>
        <w:rPr>
          <w:b/>
          <w:sz w:val="24"/>
        </w:rPr>
        <w:t>“</w:t>
      </w:r>
      <w:r>
        <w:rPr>
          <w:b/>
          <w:sz w:val="24"/>
          <w:u w:val="single"/>
        </w:rPr>
        <w:t>$</w:t>
      </w:r>
      <w:r>
        <w:rPr>
          <w:b/>
          <w:sz w:val="24"/>
        </w:rPr>
        <w:t xml:space="preserve">” </w:t>
      </w:r>
      <w:r>
        <w:rPr>
          <w:sz w:val="24"/>
        </w:rPr>
        <w:t>shall mean the lawful currency of the United States.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Drawdown</w:t>
      </w:r>
      <w:r>
        <w:rPr>
          <w:b/>
          <w:sz w:val="24"/>
        </w:rPr>
        <w:t>”</w:t>
      </w:r>
      <w:r>
        <w:rPr>
          <w:sz w:val="24"/>
        </w:rPr>
        <w:t xml:space="preserve"> means the drawing down of a Tranche pursuant to Article V.</w:t>
      </w:r>
    </w:p>
    <w:p>
      <w:pPr>
        <w:pStyle w:val="Normal"/>
        <w:bidi w:val="0"/>
        <w:jc w:val="both"/>
        <w:rPr>
          <w:sz w:val="24"/>
        </w:rPr>
      </w:pPr>
      <w:r>
        <w:rPr>
          <w:sz w:val="24"/>
        </w:rPr>
      </w:r>
    </w:p>
    <w:p>
      <w:pPr>
        <w:pStyle w:val="Normal"/>
        <w:bidi w:val="0"/>
        <w:jc w:val="both"/>
        <w:rPr>
          <w:sz w:val="24"/>
        </w:rPr>
      </w:pPr>
      <w:r>
        <w:rPr>
          <w:sz w:val="24"/>
        </w:rPr>
        <w:tab/>
        <w:t>“</w:t>
      </w:r>
      <w:r>
        <w:rPr>
          <w:b/>
          <w:sz w:val="24"/>
          <w:u w:val="single"/>
        </w:rPr>
        <w:t>Drawdown Date</w:t>
      </w:r>
      <w:r>
        <w:rPr>
          <w:sz w:val="24"/>
        </w:rPr>
        <w:t xml:space="preserve">” means, </w:t>
      </w:r>
      <w:ins w:id="341" w:author="">
        <w:r>
          <w:rPr>
            <w:b/>
            <w:sz w:val="24"/>
            <w:u w:val="double"/>
          </w:rPr>
          <w:t>in respect of the Hawaii Tranche, the date hereof, and</w:t>
        </w:r>
      </w:ins>
      <w:r>
        <w:rPr>
          <w:sz w:val="24"/>
        </w:rPr>
        <w:t xml:space="preserve"> in respect of each Tranche </w:t>
      </w:r>
      <w:ins w:id="342" w:author="">
        <w:r>
          <w:rPr>
            <w:b/>
            <w:sz w:val="24"/>
            <w:u w:val="double"/>
          </w:rPr>
          <w:t>that is not a Hawaii Tranche</w:t>
        </w:r>
      </w:ins>
      <w:r>
        <w:rPr>
          <w:sz w:val="24"/>
        </w:rPr>
        <w:t>, the date specified for Drawdown of such Tranche in the related Drawdown Request (or such other date as may be agreed by the Trust, the Majority Lenders and the Agent in writing) upon satisfaction of the conditions precedent specified in Article IV.</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Drawdown Request</w:t>
      </w:r>
      <w:r>
        <w:rPr>
          <w:b/>
          <w:sz w:val="24"/>
        </w:rPr>
        <w:t>”</w:t>
      </w:r>
      <w:r>
        <w:rPr>
          <w:sz w:val="24"/>
        </w:rPr>
        <w:t xml:space="preserve"> means a notice requesting the drawdown of a Tranche in substantially the form of Exhibit A executed by the Trust and delivered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Eligible Assignee</w:t>
      </w:r>
      <w:r>
        <w:rPr>
          <w:b/>
          <w:sz w:val="24"/>
        </w:rPr>
        <w:t>”</w:t>
      </w:r>
      <w:r>
        <w:rPr>
          <w:sz w:val="24"/>
        </w:rPr>
        <w:t xml:space="preserve"> means any Person (a) which is a bank or other financial institution and    (b) which is reasonably acceptable to Enron and the Agent.    </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Enron</w:t>
      </w:r>
      <w:r>
        <w:rPr>
          <w:b/>
          <w:sz w:val="24"/>
        </w:rPr>
        <w:t>”</w:t>
      </w:r>
      <w:r>
        <w:rPr>
          <w:sz w:val="24"/>
        </w:rPr>
        <w:t xml:space="preserve"> means Enron Corp., a corporation organized under the laws of the State of Oregon.</w:t>
      </w:r>
    </w:p>
    <w:p>
      <w:pPr>
        <w:pStyle w:val="Normal"/>
        <w:bidi w:val="0"/>
        <w:jc w:val="both"/>
        <w:rPr>
          <w:sz w:val="24"/>
        </w:rPr>
      </w:pPr>
      <w:r>
        <w:rPr>
          <w:sz w:val="24"/>
        </w:rPr>
      </w:r>
    </w:p>
    <w:p>
      <w:pPr>
        <w:pStyle w:val="Normal"/>
        <w:bidi w:val="0"/>
        <w:jc w:val="both"/>
        <w:rPr>
          <w:sz w:val="24"/>
        </w:rPr>
      </w:pPr>
      <w:r>
        <w:rPr>
          <w:sz w:val="24"/>
        </w:rPr>
        <w:tab/>
      </w:r>
      <w:ins w:id="343" w:author="">
        <w:r>
          <w:rPr>
            <w:b/>
            <w:sz w:val="24"/>
            <w:u w:val="double"/>
          </w:rPr>
          <w:t>“Enron Guaranty” means a guaranty from Enron to the Trust in substantially the form of Exhibit G4, together with such amendments as the Agent may approve in its sole discretion.</w:t>
        </w:r>
      </w:ins>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Equity Amount</w:t>
      </w:r>
      <w:r>
        <w:rPr>
          <w:b/>
          <w:sz w:val="24"/>
        </w:rPr>
        <w:t>”</w:t>
      </w:r>
      <w:r>
        <w:rPr>
          <w:sz w:val="24"/>
        </w:rPr>
        <w:t xml:space="preserve"> means, with respect to any Tranche, the initial Certificate Base Amount (as defined in the Trust Agreement) of the Series Certificate issued with respect to the applicable Series.</w:t>
      </w:r>
    </w:p>
    <w:p>
      <w:pPr>
        <w:pStyle w:val="Normal"/>
        <w:bidi w:val="0"/>
        <w:jc w:val="both"/>
        <w:rPr>
          <w:sz w:val="24"/>
        </w:rPr>
      </w:pPr>
      <w:r>
        <w:rPr>
          <w:sz w:val="24"/>
        </w:rPr>
      </w:r>
    </w:p>
    <w:p>
      <w:pPr>
        <w:pStyle w:val="Normal"/>
        <w:bidi w:val="0"/>
        <w:jc w:val="both"/>
        <w:rPr>
          <w:sz w:val="24"/>
        </w:rPr>
      </w:pPr>
      <w:r>
        <w:rPr>
          <w:b/>
          <w:sz w:val="24"/>
        </w:rPr>
        <w:tab/>
        <w:t>“</w:t>
      </w:r>
      <w:r>
        <w:rPr>
          <w:b/>
          <w:sz w:val="24"/>
          <w:u w:val="single"/>
        </w:rPr>
        <w:t>Eurocurrency Liabilities</w:t>
      </w:r>
      <w:r>
        <w:rPr>
          <w:b/>
          <w:sz w:val="24"/>
        </w:rPr>
        <w:t>”</w:t>
      </w:r>
      <w:r>
        <w:rPr>
          <w:sz w:val="24"/>
        </w:rPr>
        <w:t xml:space="preserve"> has the meaning assigned to that term in Regulation D of the Federal Reserve Board, as in effect from time to time.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Event of Default</w:t>
      </w:r>
      <w:r>
        <w:rPr>
          <w:b/>
          <w:sz w:val="24"/>
        </w:rPr>
        <w:t>”</w:t>
      </w:r>
      <w:r>
        <w:rPr>
          <w:sz w:val="24"/>
        </w:rPr>
        <w:t xml:space="preserve"> means any of the events specified in Section 13.1.</w:t>
      </w:r>
    </w:p>
    <w:p>
      <w:pPr>
        <w:pStyle w:val="Normal"/>
        <w:bidi w:val="0"/>
        <w:jc w:val="both"/>
        <w:rPr>
          <w:sz w:val="24"/>
        </w:rPr>
      </w:pPr>
      <w:r>
        <w:rPr>
          <w:sz w:val="24"/>
        </w:rPr>
      </w:r>
    </w:p>
    <w:p>
      <w:pPr>
        <w:pStyle w:val="Normal"/>
        <w:bidi w:val="0"/>
        <w:jc w:val="both"/>
        <w:rPr>
          <w:sz w:val="24"/>
        </w:rPr>
      </w:pPr>
      <w:r>
        <w:rPr>
          <w:b/>
          <w:sz w:val="24"/>
        </w:rPr>
        <w:tab/>
        <w:t>“</w:t>
      </w:r>
      <w:r>
        <w:rPr>
          <w:b/>
          <w:sz w:val="24"/>
          <w:u w:val="single"/>
        </w:rPr>
        <w:t>Existing Advances</w:t>
      </w:r>
      <w:r>
        <w:rPr>
          <w:b/>
          <w:sz w:val="24"/>
        </w:rPr>
        <w:t>”</w:t>
      </w:r>
      <w:r>
        <w:rPr>
          <w:sz w:val="24"/>
        </w:rPr>
        <w:t xml:space="preserve"> has the meaning given to </w:t>
      </w:r>
      <w:ins w:id="344" w:author="">
        <w:r>
          <w:rPr>
            <w:strike/>
            <w:sz w:val="24"/>
          </w:rPr>
          <w:t>that</w:t>
        </w:r>
      </w:ins>
      <w:r>
        <w:rPr>
          <w:sz w:val="24"/>
        </w:rPr>
        <w:t xml:space="preserve"> </w:t>
      </w:r>
      <w:ins w:id="345" w:author="">
        <w:r>
          <w:rPr>
            <w:b/>
            <w:sz w:val="24"/>
            <w:u w:val="double"/>
          </w:rPr>
          <w:t>such</w:t>
        </w:r>
      </w:ins>
      <w:r>
        <w:rPr>
          <w:sz w:val="24"/>
        </w:rPr>
        <w:t xml:space="preserve"> term in Section 3.3(c).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Federal Funds Rate</w:t>
      </w:r>
      <w:r>
        <w:rPr>
          <w:b/>
          <w:sz w:val="24"/>
        </w:rPr>
        <w:t>”</w:t>
      </w:r>
      <w:r>
        <w:rPr>
          <w:sz w:val="24"/>
        </w:rPr>
        <w:t xml:space="preserve"> means, for any day, a fluctuating interest rate per annum equal for such day to the weighted average of the rates on overnight Federal funds transactions with members of the Federal Reserve System arranged by Federal funds brokers, as published for such day (or, if such day is not a Business Day, for the next preceding Business Day) by the Federal Reserve Bank of New York, or, if such rate is not so published for any day which is a Business Day, the average of the quotations for such day on such transactions received by the Agent from three Federal funds brokers of recognized standing selected by it.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Federal Reserve Board</w:t>
      </w:r>
      <w:r>
        <w:rPr>
          <w:b/>
          <w:sz w:val="24"/>
        </w:rPr>
        <w:t>”</w:t>
      </w:r>
      <w:r>
        <w:rPr>
          <w:sz w:val="24"/>
        </w:rPr>
        <w:t xml:space="preserve"> means the Board of Governors of the Federal Reserve System, or any federal agency or authority of the United States from time to time succeeding to its function.</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Fee Letters</w:t>
      </w:r>
      <w:r>
        <w:rPr>
          <w:b/>
          <w:sz w:val="24"/>
        </w:rPr>
        <w:t>”</w:t>
      </w:r>
      <w:r>
        <w:rPr>
          <w:sz w:val="24"/>
        </w:rPr>
        <w:t xml:space="preserve"> means</w:t>
      </w:r>
      <w:ins w:id="346" w:author="">
        <w:r>
          <w:rPr>
            <w:strike/>
            <w:sz w:val="24"/>
          </w:rPr>
          <w:t>,</w:t>
        </w:r>
      </w:ins>
      <w:r>
        <w:rPr>
          <w:sz w:val="24"/>
        </w:rPr>
        <w:t xml:space="preserve"> collectively, (i) the fee letter, dated as of </w:t>
      </w:r>
      <w:ins w:id="347" w:author="">
        <w:r>
          <w:rPr>
            <w:strike/>
            <w:sz w:val="24"/>
          </w:rPr>
          <w:t>March 31, 2000</w:t>
        </w:r>
      </w:ins>
      <w:r>
        <w:rPr>
          <w:sz w:val="24"/>
        </w:rPr>
        <w:t xml:space="preserve"> </w:t>
      </w:r>
      <w:ins w:id="348" w:author="">
        <w:r>
          <w:rPr>
            <w:b/>
            <w:sz w:val="24"/>
            <w:u w:val="double"/>
          </w:rPr>
          <w:t>the date hereof</w:t>
        </w:r>
      </w:ins>
      <w:r>
        <w:rPr>
          <w:sz w:val="24"/>
        </w:rPr>
        <w:t>    between Enron and the Agent relating to the facility fee and (ii) the fee letter</w:t>
      </w:r>
      <w:ins w:id="349" w:author="">
        <w:r>
          <w:rPr>
            <w:strike/>
            <w:sz w:val="24"/>
          </w:rPr>
          <w:t>,</w:t>
        </w:r>
      </w:ins>
      <w:r>
        <w:rPr>
          <w:sz w:val="24"/>
        </w:rPr>
        <w:t xml:space="preserve"> dated </w:t>
      </w:r>
      <w:ins w:id="350" w:author="">
        <w:r>
          <w:rPr>
            <w:strike/>
            <w:sz w:val="24"/>
          </w:rPr>
          <w:t>on or about March 31,</w:t>
        </w:r>
      </w:ins>
      <w:r>
        <w:rPr>
          <w:sz w:val="24"/>
        </w:rPr>
        <w:t xml:space="preserve"> </w:t>
      </w:r>
      <w:ins w:id="351" w:author="">
        <w:r>
          <w:rPr>
            <w:b/>
            <w:sz w:val="24"/>
            <w:u w:val="double"/>
          </w:rPr>
          <w:t>October 13,</w:t>
        </w:r>
      </w:ins>
      <w:r>
        <w:rPr>
          <w:sz w:val="24"/>
        </w:rPr>
        <w:t xml:space="preserve"> 2000</w:t>
      </w:r>
      <w:ins w:id="352" w:author="">
        <w:r>
          <w:rPr>
            <w:strike/>
            <w:sz w:val="24"/>
          </w:rPr>
          <w:t>,</w:t>
        </w:r>
      </w:ins>
      <w:r>
        <w:rPr>
          <w:sz w:val="24"/>
        </w:rPr>
        <w:t xml:space="preserve"> among the Agent, the Arranger and Enron.</w:t>
      </w:r>
    </w:p>
    <w:p>
      <w:pPr>
        <w:pStyle w:val="Normal"/>
        <w:bidi w:val="0"/>
        <w:jc w:val="both"/>
        <w:rPr>
          <w:b/>
          <w:sz w:val="24"/>
        </w:rPr>
      </w:pPr>
      <w:r>
        <w:rPr>
          <w:b/>
          <w:sz w:val="24"/>
        </w:rPr>
      </w:r>
    </w:p>
    <w:p>
      <w:pPr>
        <w:pStyle w:val="Normal"/>
        <w:bidi w:val="0"/>
        <w:jc w:val="both"/>
        <w:rPr>
          <w:sz w:val="24"/>
        </w:rPr>
      </w:pPr>
      <w:r>
        <w:rPr>
          <w:sz w:val="24"/>
        </w:rPr>
        <w:tab/>
      </w:r>
      <w:ins w:id="353" w:author="">
        <w:r>
          <w:rPr>
            <w:b/>
            <w:sz w:val="24"/>
            <w:u w:val="double"/>
          </w:rPr>
          <w:t>** 1</w:t>
        </w:r>
      </w:ins>
      <w:r>
        <w:rPr>
          <w:b/>
          <w:sz w:val="24"/>
        </w:rPr>
        <w:t xml:space="preserve"> “</w:t>
      </w:r>
      <w:r>
        <w:rPr>
          <w:b/>
          <w:sz w:val="24"/>
          <w:u w:val="single"/>
        </w:rPr>
        <w:t xml:space="preserve"> </w:t>
      </w:r>
      <w:ins w:id="354" w:author="">
        <w:r>
          <w:rPr>
            <w:b/>
            <w:strike/>
            <w:sz w:val="24"/>
            <w:u w:val="single"/>
          </w:rPr>
          <w:t>Maturity</w:t>
        </w:r>
      </w:ins>
      <w:r>
        <w:rPr>
          <w:b/>
          <w:sz w:val="24"/>
          <w:u w:val="single"/>
        </w:rPr>
        <w:t xml:space="preserve"> </w:t>
      </w:r>
      <w:ins w:id="355" w:author="">
        <w:r>
          <w:rPr>
            <w:b/>
            <w:sz w:val="24"/>
            <w:u w:val="double"/>
          </w:rPr>
          <w:t>Final Advance</w:t>
        </w:r>
      </w:ins>
      <w:r>
        <w:rPr>
          <w:b/>
          <w:sz w:val="24"/>
          <w:u w:val="single"/>
        </w:rPr>
        <w:t xml:space="preserve"> Date</w:t>
      </w:r>
      <w:r>
        <w:rPr>
          <w:b/>
          <w:sz w:val="24"/>
        </w:rPr>
        <w:t>”</w:t>
      </w:r>
      <w:r>
        <w:rPr>
          <w:sz w:val="24"/>
        </w:rPr>
        <w:t xml:space="preserve"> means </w:t>
      </w:r>
      <w:ins w:id="356" w:author="">
        <w:r>
          <w:rPr>
            <w:strike/>
            <w:sz w:val="24"/>
          </w:rPr>
          <w:t>March 30</w:t>
        </w:r>
      </w:ins>
      <w:r>
        <w:rPr>
          <w:sz w:val="24"/>
        </w:rPr>
        <w:t xml:space="preserve"> </w:t>
      </w:r>
      <w:ins w:id="357" w:author="">
        <w:r>
          <w:rPr>
            <w:b/>
            <w:sz w:val="24"/>
            <w:u w:val="double"/>
          </w:rPr>
          <w:t>October [17]</w:t>
        </w:r>
      </w:ins>
      <w:r>
        <w:rPr>
          <w:sz w:val="24"/>
        </w:rPr>
        <w:t xml:space="preserve">, 2001 or such later date as the Agent, all the Lenders and the Trust (with the Trust acting on the direction of Enron pursuant to the Reimbursement and Disclosure Agreement), may agree in writing not less than 30 days and not more than 60 days prior to the then current </w:t>
      </w:r>
      <w:ins w:id="358" w:author="">
        <w:r>
          <w:rPr>
            <w:strike/>
            <w:sz w:val="24"/>
          </w:rPr>
          <w:t>Maturity</w:t>
        </w:r>
      </w:ins>
      <w:r>
        <w:rPr>
          <w:sz w:val="24"/>
        </w:rPr>
        <w:t xml:space="preserve"> </w:t>
      </w:r>
      <w:ins w:id="359" w:author="">
        <w:r>
          <w:rPr>
            <w:b/>
            <w:sz w:val="24"/>
            <w:u w:val="double"/>
          </w:rPr>
          <w:t>Final Advance</w:t>
        </w:r>
      </w:ins>
      <w:r>
        <w:rPr>
          <w:sz w:val="24"/>
        </w:rPr>
        <w:t xml:space="preserve"> Date.</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Finance Documents</w:t>
      </w:r>
      <w:r>
        <w:rPr>
          <w:b/>
          <w:sz w:val="24"/>
        </w:rPr>
        <w:t xml:space="preserve">” </w:t>
      </w:r>
      <w:r>
        <w:rPr>
          <w:sz w:val="24"/>
        </w:rPr>
        <w:t xml:space="preserve">means this Agreement, the Notes, the Fee Letters, the Total Return Swap </w:t>
      </w:r>
      <w:ins w:id="360" w:author="">
        <w:r>
          <w:rPr>
            <w:strike/>
            <w:sz w:val="24"/>
          </w:rPr>
          <w:t>Agreement</w:t>
        </w:r>
      </w:ins>
      <w:r>
        <w:rPr>
          <w:sz w:val="24"/>
        </w:rPr>
        <w:t xml:space="preserve"> </w:t>
      </w:r>
      <w:ins w:id="361" w:author="">
        <w:r>
          <w:rPr>
            <w:b/>
            <w:sz w:val="24"/>
            <w:u w:val="double"/>
          </w:rPr>
          <w:t>Agreements, the Enron Guaranty</w:t>
        </w:r>
      </w:ins>
      <w:r>
        <w:rPr>
          <w:sz w:val="24"/>
        </w:rPr>
        <w:t>, the Reimbursement and Disclosure Agreement, the Put Option Agreements (if applicable) and the Demand Notes (if applicable).</w:t>
      </w:r>
    </w:p>
    <w:p>
      <w:pPr>
        <w:pStyle w:val="Normal"/>
        <w:bidi w:val="0"/>
        <w:jc w:val="both"/>
        <w:rPr>
          <w:sz w:val="24"/>
        </w:rPr>
      </w:pPr>
      <w:r>
        <w:rPr>
          <w:sz w:val="24"/>
        </w:rPr>
      </w:r>
    </w:p>
    <w:p>
      <w:pPr>
        <w:pStyle w:val="Normal"/>
        <w:bidi w:val="0"/>
        <w:jc w:val="both"/>
        <w:rPr>
          <w:sz w:val="24"/>
        </w:rPr>
      </w:pPr>
      <w:r>
        <w:rPr>
          <w:b/>
          <w:sz w:val="24"/>
        </w:rPr>
        <w:tab/>
        <w:t>“</w:t>
      </w:r>
      <w:r>
        <w:rPr>
          <w:b/>
          <w:sz w:val="24"/>
          <w:u w:val="single"/>
        </w:rPr>
        <w:t>Finance Indemnitees</w:t>
      </w:r>
      <w:r>
        <w:rPr>
          <w:b/>
          <w:sz w:val="24"/>
        </w:rPr>
        <w:t>”</w:t>
      </w:r>
      <w:r>
        <w:rPr>
          <w:sz w:val="24"/>
        </w:rPr>
        <w:t xml:space="preserve"> has the meaning given to such term in Section 25.1.</w:t>
      </w:r>
    </w:p>
    <w:p>
      <w:pPr>
        <w:pStyle w:val="Normal"/>
        <w:bidi w:val="0"/>
        <w:jc w:val="both"/>
        <w:rPr>
          <w:sz w:val="24"/>
        </w:rPr>
      </w:pPr>
      <w:r>
        <w:rPr>
          <w:sz w:val="24"/>
        </w:rPr>
      </w:r>
    </w:p>
    <w:p>
      <w:pPr>
        <w:pStyle w:val="Normal"/>
        <w:bidi w:val="0"/>
        <w:jc w:val="both"/>
        <w:rPr>
          <w:sz w:val="24"/>
        </w:rPr>
      </w:pPr>
      <w:r>
        <w:rPr>
          <w:b/>
          <w:sz w:val="24"/>
        </w:rPr>
        <w:tab/>
        <w:t>“</w:t>
      </w:r>
      <w:r>
        <w:rPr>
          <w:b/>
          <w:sz w:val="24"/>
          <w:u w:val="single"/>
        </w:rPr>
        <w:t>Finance Parties</w:t>
      </w:r>
      <w:r>
        <w:rPr>
          <w:sz w:val="24"/>
        </w:rPr>
        <w:t>” means the Agent, the Arranger, the Co</w:t>
        <w:noBreakHyphen/>
        <w:t>Arrangers,    the Syndication Agent, the Documentation Agent and the Lenders.</w:t>
      </w:r>
    </w:p>
    <w:p>
      <w:pPr>
        <w:pStyle w:val="Normal"/>
        <w:bidi w:val="0"/>
        <w:jc w:val="both"/>
        <w:rPr>
          <w:sz w:val="24"/>
        </w:rPr>
      </w:pPr>
      <w:r>
        <w:rPr>
          <w:sz w:val="24"/>
        </w:rPr>
        <w:t xml:space="preserve"> </w:t>
      </w:r>
    </w:p>
    <w:p>
      <w:pPr>
        <w:pStyle w:val="Normal"/>
        <w:bidi w:val="0"/>
        <w:jc w:val="both"/>
        <w:rPr>
          <w:sz w:val="24"/>
        </w:rPr>
      </w:pPr>
      <w:r>
        <w:rPr>
          <w:b/>
          <w:sz w:val="24"/>
        </w:rPr>
        <w:tab/>
      </w:r>
      <w:ins w:id="362" w:author="">
        <w:r>
          <w:rPr>
            <w:b/>
            <w:sz w:val="24"/>
            <w:u w:val="double"/>
          </w:rPr>
          <w:t>“Funding Indemnity Agreement” means that certain Funding Indemnity Agreement dated the date hereof for the benefit of the Lenders, indemnifying the Finance Parties in the event the Trust fails to borrow a LIBOR Advance described in a Drawdown Request.</w:t>
        </w:r>
      </w:ins>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Funding Office</w:t>
      </w:r>
      <w:r>
        <w:rPr>
          <w:b/>
          <w:sz w:val="24"/>
        </w:rPr>
        <w:t>”</w:t>
      </w:r>
      <w:r>
        <w:rPr>
          <w:sz w:val="24"/>
        </w:rPr>
        <w:t xml:space="preserve"> means, in relation to any Lender, the office or offices through which it is acting for the purpose of this Agreement, which office or offices initially are set out in Schedule 1, as such offices may be changed by notice to the Trust.</w:t>
      </w:r>
    </w:p>
    <w:p>
      <w:pPr>
        <w:pStyle w:val="Normal"/>
        <w:bidi w:val="0"/>
        <w:jc w:val="both"/>
        <w:rPr>
          <w:sz w:val="24"/>
        </w:rPr>
      </w:pPr>
      <w:r>
        <w:rPr>
          <w:sz w:val="24"/>
        </w:rPr>
      </w:r>
    </w:p>
    <w:p>
      <w:pPr>
        <w:pStyle w:val="Normal"/>
        <w:bidi w:val="0"/>
        <w:jc w:val="both"/>
        <w:rPr>
          <w:sz w:val="24"/>
        </w:rPr>
      </w:pPr>
      <w:r>
        <w:rPr>
          <w:sz w:val="24"/>
        </w:rPr>
        <w:tab/>
        <w:t>“</w:t>
      </w:r>
      <w:r>
        <w:rPr>
          <w:b/>
          <w:sz w:val="24"/>
          <w:u w:val="single"/>
        </w:rPr>
        <w:t>GAAP</w:t>
      </w:r>
      <w:r>
        <w:rPr>
          <w:sz w:val="24"/>
        </w:rPr>
        <w:t xml:space="preserve">” shall mean United States generally accepted accounting principles and policies, applied consistently with those applied in the preparation of the audited consolidated financial statements of Enron and its subsidiaries as of December 31, 1999. </w:t>
      </w:r>
    </w:p>
    <w:p>
      <w:pPr>
        <w:pStyle w:val="Normal"/>
        <w:bidi w:val="0"/>
        <w:jc w:val="both"/>
        <w:rPr>
          <w:sz w:val="24"/>
        </w:rPr>
      </w:pPr>
      <w:r>
        <w:rPr>
          <w:sz w:val="24"/>
        </w:rPr>
      </w:r>
    </w:p>
    <w:p>
      <w:pPr>
        <w:pStyle w:val="Normal"/>
        <w:bidi w:val="0"/>
        <w:jc w:val="both"/>
        <w:rPr>
          <w:b/>
          <w:sz w:val="24"/>
          <w:u w:val="double"/>
          <w:ins w:id="364" w:author=""/>
        </w:rPr>
      </w:pPr>
      <w:r>
        <w:rPr>
          <w:sz w:val="24"/>
        </w:rPr>
        <w:tab/>
      </w:r>
      <w:ins w:id="363" w:author="">
        <w:r>
          <w:rPr>
            <w:b/>
            <w:sz w:val="24"/>
            <w:u w:val="double"/>
          </w:rPr>
          <w:t>“Hawaii Facility Agreement” means that certain Amended and Restated Facility Agreement dated May 31, 2000 among Hawaii 125</w:t>
          <w:noBreakHyphen/>
          <w:t>0 Trust, as issuer of the notes, the Lenders party thereto, Canadian Imperial Bank of Commerce, as Administrative Agent, CIBC World Markets Corp., as Sole Lead Arranger and Bookrunner, First Union National Bank and San Paolo IMI S.p.A., as Co</w:t>
          <w:noBreakHyphen/>
          <w:t>Arrangers, BNP Paribas, as Syndication Agent, and Bayerische Landesbank, as Documentation Agent.</w:t>
        </w:r>
      </w:ins>
    </w:p>
    <w:p>
      <w:pPr>
        <w:pStyle w:val="Normal"/>
        <w:bidi w:val="0"/>
        <w:jc w:val="both"/>
        <w:rPr>
          <w:b/>
          <w:sz w:val="24"/>
          <w:u w:val="double"/>
          <w:ins w:id="366" w:author=""/>
        </w:rPr>
      </w:pPr>
      <w:ins w:id="365" w:author="">
        <w:r>
          <w:rPr>
            <w:b/>
            <w:sz w:val="24"/>
            <w:u w:val="double"/>
          </w:rPr>
        </w:r>
      </w:ins>
    </w:p>
    <w:p>
      <w:pPr>
        <w:pStyle w:val="Normal"/>
        <w:bidi w:val="0"/>
        <w:jc w:val="both"/>
        <w:rPr>
          <w:b/>
          <w:sz w:val="24"/>
          <w:u w:val="double"/>
          <w:ins w:id="368" w:author=""/>
        </w:rPr>
      </w:pPr>
      <w:ins w:id="367" w:author="">
        <w:r>
          <w:rPr>
            <w:b/>
            <w:sz w:val="24"/>
            <w:u w:val="double"/>
          </w:rPr>
          <w:tab/>
          <w:t>“Hawaii Tranche” shall mean the Tranche drawn down on the date hereof with respect to Series Danno B of the Trust, the proceeds of which shall be used to acquire the Class B Interest in the related Asset LLC from Hawaii 125</w:t>
          <w:noBreakHyphen/>
          <w:t>0 Trust on the date hereof.</w:t>
        </w:r>
      </w:ins>
    </w:p>
    <w:p>
      <w:pPr>
        <w:pStyle w:val="Normal"/>
        <w:bidi w:val="0"/>
        <w:jc w:val="both"/>
        <w:rPr>
          <w:b/>
          <w:sz w:val="24"/>
          <w:u w:val="double"/>
          <w:ins w:id="370" w:author=""/>
        </w:rPr>
      </w:pPr>
      <w:ins w:id="369" w:author="">
        <w:r>
          <w:rPr>
            <w:b/>
            <w:sz w:val="24"/>
            <w:u w:val="double"/>
          </w:rPr>
        </w:r>
      </w:ins>
    </w:p>
    <w:p>
      <w:pPr>
        <w:pStyle w:val="Normal"/>
        <w:bidi w:val="0"/>
        <w:jc w:val="both"/>
        <w:rPr>
          <w:b/>
          <w:sz w:val="24"/>
          <w:u w:val="double"/>
          <w:ins w:id="372" w:author=""/>
        </w:rPr>
      </w:pPr>
      <w:ins w:id="371" w:author="">
        <w:r>
          <w:rPr>
            <w:b/>
            <w:sz w:val="24"/>
            <w:u w:val="double"/>
          </w:rPr>
          <w:tab/>
          <w:t>“Hawaii II Facility Agreement” means that certain Facility Agreement dated November [17], 2000 among Hawaii II 125</w:t>
          <w:noBreakHyphen/>
          <w:t>0 Trust, as issuer of the notes, the Lenders party thereto, Canadian Imperial Bank of Commerce, as Administrative Agent, CIBC World Markets Corp., as Sole Lead Arranger and Bookrunner, First Union National Bank and San Paolo IMI S.p.A., as Co</w:t>
          <w:noBreakHyphen/>
          <w:t>Arrangers, BNP Paribas, as Syndication Agent, and Bayerische Landesbank, as Documentation Agent.</w:t>
        </w:r>
      </w:ins>
    </w:p>
    <w:p>
      <w:pPr>
        <w:pStyle w:val="Normal"/>
        <w:bidi w:val="0"/>
        <w:jc w:val="both"/>
        <w:rPr>
          <w:b/>
          <w:sz w:val="24"/>
          <w:u w:val="double"/>
          <w:ins w:id="374" w:author=""/>
        </w:rPr>
      </w:pPr>
      <w:ins w:id="373" w:author="">
        <w:r>
          <w:rPr>
            <w:b/>
            <w:sz w:val="24"/>
            <w:u w:val="double"/>
          </w:rPr>
        </w:r>
      </w:ins>
    </w:p>
    <w:p>
      <w:pPr>
        <w:pStyle w:val="Normal"/>
        <w:bidi w:val="0"/>
        <w:jc w:val="both"/>
        <w:rPr>
          <w:b/>
          <w:sz w:val="24"/>
          <w:u w:val="double"/>
          <w:ins w:id="376" w:author=""/>
        </w:rPr>
      </w:pPr>
      <w:ins w:id="375" w:author="">
        <w:r>
          <w:rPr>
            <w:b/>
            <w:sz w:val="24"/>
            <w:u w:val="double"/>
          </w:rPr>
          <w:tab/>
          <w:t>“Hawaii II Tranches” has the meaning given to such term in Section 2.2(b).</w:t>
        </w:r>
      </w:ins>
    </w:p>
    <w:p>
      <w:pPr>
        <w:pStyle w:val="Normal"/>
        <w:bidi w:val="0"/>
        <w:jc w:val="both"/>
        <w:rPr>
          <w:b/>
          <w:sz w:val="24"/>
          <w:u w:val="double"/>
          <w:ins w:id="378" w:author=""/>
        </w:rPr>
      </w:pPr>
      <w:ins w:id="377" w:author="">
        <w:r>
          <w:rPr>
            <w:b/>
            <w:sz w:val="24"/>
            <w:u w:val="double"/>
          </w:rPr>
        </w:r>
      </w:ins>
    </w:p>
    <w:p>
      <w:pPr>
        <w:pStyle w:val="Normal"/>
        <w:bidi w:val="0"/>
        <w:jc w:val="both"/>
        <w:rPr>
          <w:b/>
          <w:sz w:val="24"/>
          <w:u w:val="double"/>
          <w:ins w:id="380" w:author=""/>
        </w:rPr>
      </w:pPr>
      <w:ins w:id="379" w:author="">
        <w:r>
          <w:rPr>
            <w:b/>
            <w:sz w:val="24"/>
            <w:u w:val="double"/>
          </w:rPr>
          <w:tab/>
          <w:t>“Increased Commitment Certificate” has the meaning given to such term in Section 3.3(b).</w:t>
        </w:r>
      </w:ins>
    </w:p>
    <w:p>
      <w:pPr>
        <w:pStyle w:val="Normal"/>
        <w:bidi w:val="0"/>
        <w:jc w:val="both"/>
        <w:rPr>
          <w:b/>
          <w:sz w:val="24"/>
          <w:u w:val="double"/>
          <w:ins w:id="382" w:author=""/>
        </w:rPr>
      </w:pPr>
      <w:ins w:id="381" w:author="">
        <w:r>
          <w:rPr>
            <w:b/>
            <w:sz w:val="24"/>
            <w:u w:val="double"/>
          </w:rPr>
        </w:r>
      </w:ins>
    </w:p>
    <w:p>
      <w:pPr>
        <w:pStyle w:val="Normal"/>
        <w:bidi w:val="0"/>
        <w:jc w:val="both"/>
        <w:rPr>
          <w:sz w:val="24"/>
        </w:rPr>
      </w:pPr>
      <w:ins w:id="383" w:author="">
        <w:r>
          <w:rPr>
            <w:b/>
            <w:sz w:val="24"/>
            <w:u w:val="double"/>
          </w:rPr>
          <w:tab/>
          <w:t>“Increased Commitment Lender” has the meaning given to such term in Section 3.3(b).</w:t>
        </w:r>
      </w:ins>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Indebtedness</w:t>
      </w:r>
      <w:r>
        <w:rPr>
          <w:sz w:val="24"/>
        </w:rPr>
        <w:t>” means, without duplication, any obligation (whether incurred as principal or surety) for the payment or repayment of money, whether present or future, actual or contingent in respect of or arising under or in connection with:</w:t>
      </w:r>
    </w:p>
    <w:p>
      <w:pPr>
        <w:pStyle w:val="Normal"/>
        <w:bidi w:val="0"/>
        <w:jc w:val="both"/>
        <w:rPr>
          <w:sz w:val="24"/>
        </w:rPr>
      </w:pPr>
      <w:r>
        <w:rPr>
          <w:sz w:val="24"/>
        </w:rPr>
      </w:r>
    </w:p>
    <w:p>
      <w:pPr>
        <w:pStyle w:val="Normal"/>
        <w:bidi w:val="0"/>
        <w:ind w:hanging="0" w:start="720"/>
        <w:jc w:val="both"/>
        <w:rPr>
          <w:sz w:val="24"/>
        </w:rPr>
      </w:pPr>
      <w:r>
        <w:rPr>
          <w:sz w:val="24"/>
        </w:rPr>
        <w:tab/>
        <w:t>(i)</w:t>
        <w:tab/>
        <w:t>monies    borrowed including, without limitation, on a contractually subordinated basis;</w:t>
      </w:r>
    </w:p>
    <w:p>
      <w:pPr>
        <w:pStyle w:val="Normal"/>
        <w:bidi w:val="0"/>
        <w:jc w:val="both"/>
        <w:rPr>
          <w:sz w:val="24"/>
        </w:rPr>
      </w:pPr>
      <w:r>
        <w:rPr>
          <w:sz w:val="24"/>
        </w:rPr>
      </w:r>
    </w:p>
    <w:p>
      <w:pPr>
        <w:pStyle w:val="Normal"/>
        <w:bidi w:val="0"/>
        <w:ind w:hanging="0" w:start="720"/>
        <w:jc w:val="both"/>
        <w:rPr>
          <w:sz w:val="24"/>
        </w:rPr>
      </w:pPr>
      <w:r>
        <w:rPr>
          <w:sz w:val="24"/>
        </w:rPr>
        <w:tab/>
        <w:t>(ii)</w:t>
        <w:tab/>
        <w:t>any debenture, bond, note or other similar instrument;</w:t>
      </w:r>
    </w:p>
    <w:p>
      <w:pPr>
        <w:pStyle w:val="Normal"/>
        <w:bidi w:val="0"/>
        <w:jc w:val="both"/>
        <w:rPr>
          <w:sz w:val="24"/>
        </w:rPr>
      </w:pPr>
      <w:r>
        <w:rPr>
          <w:sz w:val="24"/>
        </w:rPr>
      </w:r>
    </w:p>
    <w:p>
      <w:pPr>
        <w:pStyle w:val="Normal"/>
        <w:bidi w:val="0"/>
        <w:ind w:hanging="0" w:start="720"/>
        <w:jc w:val="both"/>
        <w:rPr>
          <w:sz w:val="24"/>
        </w:rPr>
      </w:pPr>
      <w:r>
        <w:rPr>
          <w:sz w:val="24"/>
        </w:rPr>
        <w:tab/>
        <w:t>(iii)</w:t>
        <w:tab/>
        <w:t>any acceptance or documentary credit;</w:t>
      </w:r>
    </w:p>
    <w:p>
      <w:pPr>
        <w:pStyle w:val="Normal"/>
        <w:bidi w:val="0"/>
        <w:jc w:val="both"/>
        <w:rPr>
          <w:sz w:val="24"/>
        </w:rPr>
      </w:pPr>
      <w:r>
        <w:rPr>
          <w:sz w:val="24"/>
        </w:rPr>
      </w:r>
    </w:p>
    <w:p>
      <w:pPr>
        <w:pStyle w:val="Normal"/>
        <w:bidi w:val="0"/>
        <w:ind w:hanging="0" w:start="720"/>
        <w:jc w:val="both"/>
        <w:rPr>
          <w:sz w:val="24"/>
        </w:rPr>
      </w:pPr>
      <w:r>
        <w:rPr>
          <w:sz w:val="24"/>
        </w:rPr>
        <w:tab/>
        <w:t>(iv)</w:t>
        <w:tab/>
        <w:t>receivables sold or discounted in a transaction other than one in respect of which (a) no recourse exists against the Trust, any Trust Property, the Asset LLCs or the Transferors, and none of the Trust, the Asset LLCs or the Transferors has any obligation to repurchase, or make any payment in respect of deficiencies in collection of, any receivables, and (b) none of the Trust, the Asset LLCs or the Transferors has the right or obligation to sell, discount or otherwise dispose of receivables in addition to those transferred on the initial funding date of the transaction;</w:t>
      </w:r>
    </w:p>
    <w:p>
      <w:pPr>
        <w:pStyle w:val="Normal"/>
        <w:bidi w:val="0"/>
        <w:jc w:val="both"/>
        <w:rPr>
          <w:sz w:val="24"/>
        </w:rPr>
      </w:pPr>
      <w:r>
        <w:rPr>
          <w:sz w:val="24"/>
        </w:rPr>
      </w:r>
    </w:p>
    <w:p>
      <w:pPr>
        <w:pStyle w:val="Normal"/>
        <w:bidi w:val="0"/>
        <w:ind w:hanging="0" w:start="720"/>
        <w:jc w:val="both"/>
        <w:rPr>
          <w:sz w:val="24"/>
        </w:rPr>
      </w:pPr>
      <w:r>
        <w:rPr>
          <w:sz w:val="24"/>
        </w:rPr>
        <w:tab/>
        <w:t>(v)</w:t>
        <w:tab/>
        <w:t>the acquisition cost of any asset to the extent payable after the time of acquisition or possession by the Person liable as principal obligor for the payment thereof where the deferred payment is arranged primarily as a method of raising finance or financing or refinancing the acquisition of the asset acquired (which, for the avoidance of doubt, shall not include liabilities to trade creditors incurred in the ordinary course of business and having a term of not more than 90 days);</w:t>
      </w:r>
    </w:p>
    <w:p>
      <w:pPr>
        <w:pStyle w:val="Normal"/>
        <w:bidi w:val="0"/>
        <w:jc w:val="both"/>
        <w:rPr>
          <w:sz w:val="24"/>
        </w:rPr>
      </w:pPr>
      <w:r>
        <w:rPr>
          <w:sz w:val="24"/>
        </w:rPr>
      </w:r>
    </w:p>
    <w:p>
      <w:pPr>
        <w:pStyle w:val="Normal"/>
        <w:bidi w:val="0"/>
        <w:ind w:hanging="0" w:start="720"/>
        <w:jc w:val="both"/>
        <w:rPr>
          <w:sz w:val="24"/>
        </w:rPr>
      </w:pPr>
      <w:r>
        <w:rPr>
          <w:sz w:val="24"/>
        </w:rPr>
        <w:tab/>
        <w:t>(vi)</w:t>
        <w:tab/>
        <w:t>the sale price of any asset to the extent paid before the time of sale or delivery by the Person liable to effect such sale or delivery where the advance payment is arranged primarily as a method of raising finance or financing or refinancing the manufacture, assembly, acquisition or holding of the asset to be sold;</w:t>
      </w:r>
    </w:p>
    <w:p>
      <w:pPr>
        <w:pStyle w:val="Normal"/>
        <w:bidi w:val="0"/>
        <w:jc w:val="both"/>
        <w:rPr>
          <w:sz w:val="24"/>
        </w:rPr>
      </w:pPr>
      <w:r>
        <w:rPr>
          <w:sz w:val="24"/>
        </w:rPr>
      </w:r>
    </w:p>
    <w:p>
      <w:pPr>
        <w:pStyle w:val="Normal"/>
        <w:bidi w:val="0"/>
        <w:ind w:hanging="0" w:start="720"/>
        <w:jc w:val="both"/>
        <w:rPr>
          <w:sz w:val="24"/>
        </w:rPr>
      </w:pPr>
      <w:r>
        <w:rPr>
          <w:sz w:val="24"/>
        </w:rPr>
        <w:tab/>
        <w:t>(vii)</w:t>
        <w:tab/>
        <w:t>the amount payable under any put option or other arrangement whereby the Trust, any Asset LLC or any Transferor is liable to purchase share capital or other securities issued;</w:t>
      </w:r>
    </w:p>
    <w:p>
      <w:pPr>
        <w:pStyle w:val="Normal"/>
        <w:bidi w:val="0"/>
        <w:jc w:val="both"/>
        <w:rPr>
          <w:sz w:val="24"/>
        </w:rPr>
      </w:pPr>
      <w:r>
        <w:rPr>
          <w:sz w:val="24"/>
        </w:rPr>
      </w:r>
    </w:p>
    <w:p>
      <w:pPr>
        <w:pStyle w:val="Normal"/>
        <w:bidi w:val="0"/>
        <w:ind w:hanging="0" w:start="720"/>
        <w:jc w:val="both"/>
        <w:rPr>
          <w:sz w:val="24"/>
        </w:rPr>
      </w:pPr>
      <w:r>
        <w:rPr>
          <w:sz w:val="24"/>
        </w:rPr>
        <w:tab/>
        <w:t>(viii)</w:t>
        <w:tab/>
        <w:t>any guarantee, indemnity or similar assurance against financial loss of any Person in respect of obligations of the type described in the preceding paragraphs (i) to (vii);</w:t>
      </w:r>
    </w:p>
    <w:p>
      <w:pPr>
        <w:pStyle w:val="Normal"/>
        <w:bidi w:val="0"/>
        <w:jc w:val="both"/>
        <w:rPr>
          <w:sz w:val="24"/>
        </w:rPr>
      </w:pPr>
      <w:r>
        <w:rPr>
          <w:sz w:val="24"/>
        </w:rPr>
      </w:r>
    </w:p>
    <w:p>
      <w:pPr>
        <w:pStyle w:val="Normal"/>
        <w:bidi w:val="0"/>
        <w:ind w:hanging="0" w:start="720"/>
        <w:jc w:val="both"/>
        <w:rPr>
          <w:sz w:val="24"/>
        </w:rPr>
      </w:pPr>
      <w:r>
        <w:rPr>
          <w:sz w:val="24"/>
        </w:rPr>
        <w:tab/>
        <w:t>(ix)</w:t>
        <w:tab/>
        <w:t>any guarantee, endorsement or other undertaking of responsibility for any obligations of any other Person, whether (a) directly or indirectly by agreement to purchase the Indebtedness of any other Person, or (b) through the purchase of goods or other assets, supplies or services, or maintenance of working capital or other balance sheet covenants or conditions, or by way of stock purchase, capital contribution, advance or loan which, in any case in this subclause (b), is entered into for the purpose of paying or discharging any Indebtedness of such other Person or assuring the holder of such Indebtedness or obligation against loss in respect thereof;</w:t>
      </w:r>
    </w:p>
    <w:p>
      <w:pPr>
        <w:pStyle w:val="Normal"/>
        <w:bidi w:val="0"/>
        <w:jc w:val="both"/>
        <w:rPr>
          <w:sz w:val="24"/>
        </w:rPr>
      </w:pPr>
      <w:r>
        <w:rPr>
          <w:sz w:val="24"/>
        </w:rPr>
      </w:r>
    </w:p>
    <w:p>
      <w:pPr>
        <w:pStyle w:val="Normal"/>
        <w:bidi w:val="0"/>
        <w:ind w:hanging="0" w:start="720"/>
        <w:jc w:val="both"/>
        <w:rPr>
          <w:sz w:val="24"/>
        </w:rPr>
      </w:pPr>
      <w:r>
        <w:rPr>
          <w:sz w:val="24"/>
        </w:rPr>
        <w:tab/>
        <w:t>(x)</w:t>
        <w:tab/>
        <w:t>amounts raised under any other transaction having as a primary, and not an incidental effect, the commercial effect of a borrowing;</w:t>
      </w:r>
    </w:p>
    <w:p>
      <w:pPr>
        <w:pStyle w:val="Normal"/>
        <w:bidi w:val="0"/>
        <w:jc w:val="both"/>
        <w:rPr>
          <w:sz w:val="24"/>
        </w:rPr>
      </w:pPr>
      <w:r>
        <w:rPr>
          <w:sz w:val="24"/>
        </w:rPr>
      </w:r>
    </w:p>
    <w:p>
      <w:pPr>
        <w:pStyle w:val="Normal"/>
        <w:bidi w:val="0"/>
        <w:ind w:hanging="0" w:start="720"/>
        <w:jc w:val="both"/>
        <w:rPr>
          <w:sz w:val="24"/>
        </w:rPr>
      </w:pPr>
      <w:r>
        <w:rPr>
          <w:sz w:val="24"/>
        </w:rPr>
        <w:tab/>
        <w:t>(xi)</w:t>
        <w:tab/>
        <w:t>debts incurred in the ordinary course of business which remain unpaid for more than 60 days after their due date for payment, including for this purpose debts which upon their incurrence are within the exceptions set forth in paragraph (iv) above (other than debts which are being diligently contested in good faith unless the Agent reasonably believes that there is no reasonable prospect of success);</w:t>
      </w:r>
    </w:p>
    <w:p>
      <w:pPr>
        <w:pStyle w:val="Normal"/>
        <w:bidi w:val="0"/>
        <w:jc w:val="both"/>
        <w:rPr>
          <w:sz w:val="24"/>
        </w:rPr>
      </w:pPr>
      <w:r>
        <w:rPr>
          <w:sz w:val="24"/>
        </w:rPr>
      </w:r>
    </w:p>
    <w:p>
      <w:pPr>
        <w:pStyle w:val="Normal"/>
        <w:bidi w:val="0"/>
        <w:ind w:hanging="0" w:start="720"/>
        <w:jc w:val="both"/>
        <w:rPr>
          <w:sz w:val="24"/>
        </w:rPr>
      </w:pPr>
      <w:r>
        <w:rPr>
          <w:sz w:val="24"/>
        </w:rPr>
        <w:tab/>
        <w:t>(xii)</w:t>
        <w:tab/>
        <w:t>net amounts payable under any interest rate or currency swap, collar or other similar agreement or any other hedging or derivative instrument; or</w:t>
      </w:r>
    </w:p>
    <w:p>
      <w:pPr>
        <w:pStyle w:val="Normal"/>
        <w:bidi w:val="0"/>
        <w:jc w:val="both"/>
        <w:rPr>
          <w:sz w:val="24"/>
        </w:rPr>
      </w:pPr>
      <w:r>
        <w:rPr>
          <w:sz w:val="24"/>
        </w:rPr>
      </w:r>
    </w:p>
    <w:p>
      <w:pPr>
        <w:pStyle w:val="Normal"/>
        <w:bidi w:val="0"/>
        <w:ind w:hanging="0" w:start="720"/>
        <w:jc w:val="both"/>
        <w:rPr>
          <w:sz w:val="24"/>
        </w:rPr>
      </w:pPr>
      <w:r>
        <w:rPr>
          <w:sz w:val="24"/>
        </w:rPr>
        <w:tab/>
        <w:t>(xiii)</w:t>
        <w:tab/>
        <w:t>finance leases, credit sale or conditional sale agreements (whether in respect of land, buildings, plant, machinery, equipment or otherwise) entered into primarily as a method of raising finance or financing or refinancing the acquisition of the relevant asset (but not including liabilities under operating leases).</w:t>
      </w:r>
    </w:p>
    <w:p>
      <w:pPr>
        <w:pStyle w:val="Normal"/>
        <w:bidi w:val="0"/>
        <w:jc w:val="both"/>
        <w:rPr>
          <w:sz w:val="24"/>
        </w:rPr>
      </w:pPr>
      <w:r>
        <w:rPr>
          <w:sz w:val="24"/>
        </w:rPr>
      </w:r>
    </w:p>
    <w:p>
      <w:pPr>
        <w:pStyle w:val="Normal"/>
        <w:bidi w:val="0"/>
        <w:jc w:val="both"/>
        <w:rPr>
          <w:sz w:val="24"/>
        </w:rPr>
      </w:pPr>
      <w:r>
        <w:rPr>
          <w:b/>
          <w:sz w:val="24"/>
        </w:rPr>
        <w:tab/>
        <w:t>“</w:t>
      </w:r>
      <w:r>
        <w:rPr>
          <w:b/>
          <w:sz w:val="24"/>
          <w:u w:val="single"/>
        </w:rPr>
        <w:t>Independent Auctioneer Letter</w:t>
      </w:r>
      <w:r>
        <w:rPr>
          <w:b/>
          <w:sz w:val="24"/>
        </w:rPr>
        <w:t xml:space="preserve">” </w:t>
      </w:r>
      <w:r>
        <w:rPr>
          <w:sz w:val="24"/>
        </w:rPr>
        <w:t>means, with respect to each Asset LLC Agreement,    an Independent Auctioneer Letter in substantially the form of Exhibit F (with any amendments that may be approved by the Agent) between CIBC Inc. and the applicable Sponsor.</w:t>
      </w:r>
    </w:p>
    <w:p>
      <w:pPr>
        <w:pStyle w:val="Normal"/>
        <w:bidi w:val="0"/>
        <w:jc w:val="both"/>
        <w:rPr>
          <w:sz w:val="24"/>
        </w:rPr>
      </w:pPr>
      <w:r>
        <w:rPr>
          <w:sz w:val="24"/>
        </w:rPr>
      </w:r>
    </w:p>
    <w:p>
      <w:pPr>
        <w:pStyle w:val="Normal"/>
        <w:bidi w:val="0"/>
        <w:jc w:val="both"/>
        <w:rPr>
          <w:sz w:val="24"/>
        </w:rPr>
      </w:pPr>
      <w:ins w:id="384" w:author="">
        <w:r>
          <w:rPr>
            <w:strike/>
            <w:sz w:val="24"/>
          </w:rPr>
          <w:t>“</w:t>
        </w:r>
      </w:ins>
      <w:ins w:id="385" w:author="">
        <w:r>
          <w:rPr>
            <w:strike/>
            <w:sz w:val="24"/>
          </w:rPr>
          <w:t>Initial Closing Date” means March 31, 2000.</w:t>
        </w:r>
      </w:ins>
    </w:p>
    <w:p>
      <w:pPr>
        <w:pStyle w:val="Normal"/>
        <w:bidi w:val="0"/>
        <w:jc w:val="both"/>
        <w:rPr>
          <w:sz w:val="24"/>
        </w:rPr>
      </w:pPr>
      <w:r>
        <w:rPr>
          <w:sz w:val="24"/>
        </w:rPr>
      </w:r>
    </w:p>
    <w:p>
      <w:pPr>
        <w:pStyle w:val="Normal"/>
        <w:bidi w:val="0"/>
        <w:jc w:val="both"/>
        <w:rPr>
          <w:sz w:val="24"/>
        </w:rPr>
      </w:pPr>
      <w:r>
        <w:rPr>
          <w:b/>
          <w:sz w:val="24"/>
        </w:rPr>
        <w:tab/>
        <w:t>“</w:t>
      </w:r>
      <w:r>
        <w:rPr>
          <w:b/>
          <w:sz w:val="24"/>
          <w:u w:val="single"/>
        </w:rPr>
        <w:t>Instrument of Assignment</w:t>
      </w:r>
      <w:r>
        <w:rPr>
          <w:b/>
          <w:sz w:val="24"/>
        </w:rPr>
        <w:t xml:space="preserve">” </w:t>
      </w:r>
      <w:r>
        <w:rPr>
          <w:sz w:val="24"/>
        </w:rPr>
        <w:t>means an instrument substantially in the form of Exhibit C.</w:t>
      </w:r>
    </w:p>
    <w:p>
      <w:pPr>
        <w:pStyle w:val="Normal"/>
        <w:bidi w:val="0"/>
        <w:jc w:val="both"/>
        <w:rPr>
          <w:sz w:val="24"/>
        </w:rPr>
      </w:pPr>
      <w:r>
        <w:rPr>
          <w:b/>
          <w:sz w:val="24"/>
        </w:rPr>
        <w:tab/>
        <w:t>“</w:t>
      </w:r>
      <w:r>
        <w:rPr>
          <w:b/>
          <w:sz w:val="24"/>
          <w:u w:val="single"/>
        </w:rPr>
        <w:t>Interest Payment Date</w:t>
      </w:r>
      <w:r>
        <w:rPr>
          <w:b/>
          <w:sz w:val="24"/>
        </w:rPr>
        <w:t xml:space="preserve">” </w:t>
      </w:r>
      <w:r>
        <w:rPr>
          <w:sz w:val="24"/>
        </w:rPr>
        <w:t>means, in relation to the Advances, the date for payment of interest determined pursuant to Section 8.1(a).</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Interest Period</w:t>
      </w:r>
      <w:r>
        <w:rPr>
          <w:b/>
          <w:sz w:val="24"/>
        </w:rPr>
        <w:t>”</w:t>
      </w:r>
      <w:r>
        <w:rPr>
          <w:sz w:val="24"/>
        </w:rPr>
        <w:t xml:space="preserve"> means a period by reference to which interest is calculated and payable on the LIBOR Advances, determined in accordance with Section 8.2.</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Lender</w:t>
      </w:r>
      <w:r>
        <w:rPr>
          <w:b/>
          <w:sz w:val="24"/>
        </w:rPr>
        <w:t>”</w:t>
      </w:r>
      <w:r>
        <w:rPr>
          <w:sz w:val="24"/>
        </w:rPr>
        <w:t xml:space="preserve"> and </w:t>
      </w:r>
      <w:r>
        <w:rPr>
          <w:b/>
          <w:sz w:val="24"/>
        </w:rPr>
        <w:t>“</w:t>
      </w:r>
      <w:r>
        <w:rPr>
          <w:b/>
          <w:sz w:val="24"/>
          <w:u w:val="single"/>
        </w:rPr>
        <w:t>Lenders</w:t>
      </w:r>
      <w:r>
        <w:rPr>
          <w:b/>
          <w:sz w:val="24"/>
        </w:rPr>
        <w:t>”</w:t>
      </w:r>
      <w:r>
        <w:rPr>
          <w:sz w:val="24"/>
        </w:rPr>
        <w:t xml:space="preserve"> have the respective meanings given to such terms in the introductory paragraph to this Agreement.</w:t>
      </w:r>
    </w:p>
    <w:p>
      <w:pPr>
        <w:pStyle w:val="Normal"/>
        <w:keepNext w:val="true"/>
        <w:bidi w:val="0"/>
        <w:jc w:val="both"/>
        <w:rPr>
          <w:sz w:val="24"/>
        </w:rPr>
      </w:pPr>
      <w:r>
        <w:rPr>
          <w:sz w:val="24"/>
        </w:rPr>
      </w:r>
    </w:p>
    <w:p>
      <w:pPr>
        <w:pStyle w:val="Normal"/>
        <w:keepNext w:val="true"/>
        <w:keepLines/>
        <w:bidi w:val="0"/>
        <w:jc w:val="both"/>
        <w:rPr>
          <w:sz w:val="24"/>
        </w:rPr>
      </w:pPr>
      <w:r>
        <w:rPr>
          <w:b/>
          <w:sz w:val="24"/>
        </w:rPr>
        <w:tab/>
        <w:t>“</w:t>
      </w:r>
      <w:r>
        <w:rPr>
          <w:b/>
          <w:sz w:val="24"/>
          <w:u w:val="single"/>
        </w:rPr>
        <w:t>LIBOR</w:t>
      </w:r>
      <w:r>
        <w:rPr>
          <w:b/>
          <w:sz w:val="24"/>
        </w:rPr>
        <w:t>”</w:t>
      </w:r>
      <w:r>
        <w:rPr>
          <w:sz w:val="24"/>
        </w:rPr>
        <w:t xml:space="preserve"> means, in relation to LIBOR Advances:</w:t>
      </w:r>
    </w:p>
    <w:p>
      <w:pPr>
        <w:pStyle w:val="Normal"/>
        <w:keepNext w:val="true"/>
        <w:keepLines/>
        <w:bidi w:val="0"/>
        <w:jc w:val="both"/>
        <w:rPr>
          <w:sz w:val="24"/>
        </w:rPr>
      </w:pPr>
      <w:r>
        <w:rPr>
          <w:sz w:val="24"/>
        </w:rPr>
      </w:r>
    </w:p>
    <w:p>
      <w:pPr>
        <w:pStyle w:val="Normal"/>
        <w:keepLines/>
        <w:bidi w:val="0"/>
        <w:jc w:val="both"/>
        <w:rPr>
          <w:sz w:val="24"/>
        </w:rPr>
      </w:pPr>
      <w:r>
        <w:rPr>
          <w:sz w:val="24"/>
        </w:rPr>
        <w:tab/>
        <w:t>(a)</w:t>
        <w:tab/>
        <w:t>the rate determined by the Agent for any Interest Period as the rate per annum for deposits in Dollars for a period equal to such Interest Period which appears on the Telerate Page 3750 as of 11:00 a.m., London, England time, on the Rate Fixing Day for such Interest Period; or</w:t>
      </w:r>
    </w:p>
    <w:p>
      <w:pPr>
        <w:pStyle w:val="Normal"/>
        <w:bidi w:val="0"/>
        <w:jc w:val="both"/>
        <w:rPr>
          <w:sz w:val="24"/>
        </w:rPr>
      </w:pPr>
      <w:r>
        <w:rPr>
          <w:sz w:val="24"/>
        </w:rPr>
      </w:r>
    </w:p>
    <w:p>
      <w:pPr>
        <w:pStyle w:val="Normal"/>
        <w:bidi w:val="0"/>
        <w:jc w:val="both"/>
        <w:rPr>
          <w:sz w:val="24"/>
        </w:rPr>
      </w:pPr>
      <w:r>
        <w:rPr>
          <w:sz w:val="24"/>
        </w:rPr>
        <w:tab/>
        <w:t>(b)</w:t>
        <w:tab/>
        <w:t>if Telerate Page 3750 is unavailable at the time for determining LIBOR, then subject to Section 8.1(c), LIBOR for the appropriate Interest Period will be determined at approximately 11:00 a.m., London, England time, on the Rate Fixing Day on the basis of the rate at which LIBOR for such Interest Period is offered by the Reference Banks in the London interbank market commencing on the second business day immediately following such Rate Fixing Day.</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LIBOR Advances</w:t>
      </w:r>
      <w:r>
        <w:rPr>
          <w:b/>
          <w:sz w:val="24"/>
        </w:rPr>
        <w:t>”</w:t>
      </w:r>
      <w:r>
        <w:rPr>
          <w:sz w:val="24"/>
        </w:rPr>
        <w:t xml:space="preserve"> means Advances which bear interest at LIBOR.</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Lien</w:t>
      </w:r>
      <w:r>
        <w:rPr>
          <w:b/>
          <w:sz w:val="24"/>
        </w:rPr>
        <w:t>”</w:t>
      </w:r>
      <w:r>
        <w:rPr>
          <w:sz w:val="24"/>
        </w:rPr>
        <w:t xml:space="preserve"> means any mortgage, pledge, lien, charge, encumbrance, right of set</w:t>
        <w:noBreakHyphen/>
        <w:t>off, hypothecation, trust, assignment by way of security, reservation of title or any other security interest whatsoever, howsoever created or arising or any other agreement or arrangement (including, without limitation, a sale and repurchase arrangement) having the practical effect of conferring security, and any agreement to enter into, create or establish any of the foregoing.</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Majority Lenders</w:t>
      </w:r>
      <w:r>
        <w:rPr>
          <w:b/>
          <w:sz w:val="24"/>
        </w:rPr>
        <w:t>”</w:t>
      </w:r>
      <w:r>
        <w:rPr>
          <w:sz w:val="24"/>
        </w:rPr>
        <w:t xml:space="preserve"> means Lenders holding at least 66</w:t>
        <w:noBreakHyphen/>
        <w:t>2/3% of the aggregate amount of the Commitments or, if the Commitments have terminated or are no longer outstanding, Lenders holding at least 66</w:t>
        <w:noBreakHyphen/>
        <w:t>2/3% of the aggregate unpaid principal amount of the Advances.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Mandatory Prepayment</w:t>
      </w:r>
      <w:r>
        <w:rPr>
          <w:b/>
          <w:sz w:val="24"/>
        </w:rPr>
        <w:t>”</w:t>
      </w:r>
      <w:r>
        <w:rPr>
          <w:sz w:val="24"/>
        </w:rPr>
        <w:t xml:space="preserve"> has the meaning given to such term in Section 7.1.</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Margin Stock</w:t>
      </w:r>
      <w:r>
        <w:rPr>
          <w:b/>
          <w:sz w:val="24"/>
        </w:rPr>
        <w:t xml:space="preserve">” </w:t>
      </w:r>
      <w:r>
        <w:rPr>
          <w:sz w:val="24"/>
        </w:rPr>
        <w:t>means margin stock within the meaning of Regulations T, U or X promulgated by the Federal Reserve Board.</w:t>
      </w:r>
    </w:p>
    <w:p>
      <w:pPr>
        <w:pStyle w:val="Normal"/>
        <w:bidi w:val="0"/>
        <w:jc w:val="both"/>
        <w:rPr>
          <w:sz w:val="24"/>
        </w:rPr>
      </w:pPr>
      <w:r>
        <w:rPr>
          <w:sz w:val="24"/>
        </w:rPr>
      </w:r>
    </w:p>
    <w:p>
      <w:pPr>
        <w:pStyle w:val="Normal"/>
        <w:bidi w:val="0"/>
        <w:jc w:val="both"/>
        <w:rPr>
          <w:sz w:val="24"/>
        </w:rPr>
      </w:pPr>
      <w:r>
        <w:rPr>
          <w:b/>
          <w:sz w:val="24"/>
        </w:rPr>
        <w:tab/>
        <w:t>“</w:t>
      </w:r>
      <w:r>
        <w:rPr>
          <w:b/>
          <w:sz w:val="24"/>
          <w:u w:val="single"/>
        </w:rPr>
        <w:t>Material Adverse Effect</w:t>
      </w:r>
      <w:r>
        <w:rPr>
          <w:b/>
          <w:sz w:val="24"/>
        </w:rPr>
        <w:t>”</w:t>
      </w:r>
      <w:r>
        <w:rPr>
          <w:sz w:val="24"/>
        </w:rPr>
        <w:t xml:space="preserve"> means an event or matter (a) which has or is reasonably likely to have a material adverse effect on, except for those matters covered by sub</w:t>
        <w:noBreakHyphen/>
        <w:t>clause (b) of this definition, the ability of the Trust or Enron to perform in a timely and diligent manner all or any of its material obligations (including, without limitation, payment obligations) under each of the Operative Documents to which it is a party; or (b) resulting in any material term of the Finance Documents to which Enron or the Trust is a party not being legal, valid and binding on or enforceable against Enron or the Trust, subject only to the Reservations.</w:t>
      </w:r>
    </w:p>
    <w:p>
      <w:pPr>
        <w:pStyle w:val="Normal"/>
        <w:bidi w:val="0"/>
        <w:jc w:val="both"/>
        <w:rPr>
          <w:sz w:val="24"/>
        </w:rPr>
      </w:pPr>
      <w:r>
        <w:rPr>
          <w:sz w:val="24"/>
        </w:rPr>
      </w:r>
    </w:p>
    <w:p>
      <w:pPr>
        <w:pStyle w:val="Normal"/>
        <w:bidi w:val="0"/>
        <w:jc w:val="both"/>
        <w:rPr>
          <w:sz w:val="24"/>
        </w:rPr>
      </w:pPr>
      <w:r>
        <w:rPr>
          <w:sz w:val="24"/>
        </w:rPr>
        <w:t>* 1 moved from here; text not shown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Methodology</w:t>
      </w:r>
      <w:r>
        <w:rPr>
          <w:b/>
          <w:sz w:val="24"/>
        </w:rPr>
        <w:t>”</w:t>
      </w:r>
      <w:r>
        <w:rPr>
          <w:sz w:val="24"/>
        </w:rPr>
        <w:t xml:space="preserve"> means the methodology for selecting Underlying Assets, described in Part A of Exhibit E 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Model Structure</w:t>
      </w:r>
      <w:r>
        <w:rPr>
          <w:b/>
          <w:sz w:val="24"/>
        </w:rPr>
        <w:t>”</w:t>
      </w:r>
      <w:r>
        <w:rPr>
          <w:sz w:val="24"/>
        </w:rPr>
        <w:t xml:space="preserve"> means the model structure described in Part B of Exhibit E 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Moody’s</w:t>
      </w:r>
      <w:r>
        <w:rPr>
          <w:b/>
          <w:sz w:val="24"/>
        </w:rPr>
        <w:t>”</w:t>
      </w:r>
      <w:r>
        <w:rPr>
          <w:sz w:val="24"/>
        </w:rPr>
        <w:t xml:space="preserve"> means Moody’s Investors Service, Inc.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Notes</w:t>
      </w:r>
      <w:r>
        <w:rPr>
          <w:b/>
          <w:sz w:val="24"/>
        </w:rPr>
        <w:t>”</w:t>
      </w:r>
      <w:r>
        <w:rPr>
          <w:sz w:val="24"/>
        </w:rPr>
        <w:t xml:space="preserve"> means the promissory notes, issued pursuant to Section 4.1(ii)(E) and Section 23.2(h), to the Lenders, substantially in the form of Exhibit B, evidencing the Advances hereunder.</w:t>
      </w:r>
    </w:p>
    <w:p>
      <w:pPr>
        <w:pStyle w:val="Normal"/>
        <w:bidi w:val="0"/>
        <w:jc w:val="both"/>
        <w:rPr>
          <w:sz w:val="24"/>
        </w:rPr>
      </w:pPr>
      <w:r>
        <w:rPr>
          <w:sz w:val="24"/>
        </w:rPr>
      </w:r>
    </w:p>
    <w:p>
      <w:pPr>
        <w:pStyle w:val="Normal"/>
        <w:bidi w:val="0"/>
        <w:jc w:val="both"/>
        <w:rPr>
          <w:sz w:val="24"/>
        </w:rPr>
      </w:pPr>
      <w:r>
        <w:rPr>
          <w:sz w:val="24"/>
        </w:rPr>
        <w:tab/>
      </w:r>
      <w:ins w:id="386" w:author="">
        <w:r>
          <w:rPr>
            <w:b/>
            <w:sz w:val="24"/>
            <w:u w:val="double"/>
          </w:rPr>
          <w:t>“Omnibus Amendment” means, with respect to the Hawaii Tranche, that certain Omnibus Amendment, dated the date hereof, substantially in the form of Exhibit M.</w:t>
        </w:r>
      </w:ins>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Operative Documents</w:t>
      </w:r>
      <w:r>
        <w:rPr>
          <w:b/>
          <w:sz w:val="24"/>
        </w:rPr>
        <w:t>”</w:t>
      </w:r>
      <w:r>
        <w:rPr>
          <w:sz w:val="24"/>
        </w:rPr>
        <w:t xml:space="preserve"> means the Independent Auctioneer Agreement, the Certificates, the Finance Documents, the Trust Agreement, the Series Supplements, the Fee Letters, the Asset LLC Agreements, the Transferor Constitutional Documents, the Put Option Assignments (if applicable), the Demand Notes (if applicable), the Demand Note Assignments (if applicable), the Reimbursement and Disclosure Agreement and the </w:t>
      </w:r>
      <w:ins w:id="387" w:author="">
        <w:r>
          <w:rPr>
            <w:strike/>
            <w:sz w:val="24"/>
          </w:rPr>
          <w:t>Sale</w:t>
        </w:r>
      </w:ins>
      <w:r>
        <w:rPr>
          <w:sz w:val="24"/>
        </w:rPr>
        <w:t xml:space="preserve"> </w:t>
      </w:r>
      <w:ins w:id="388" w:author="">
        <w:r>
          <w:rPr>
            <w:b/>
            <w:sz w:val="24"/>
            <w:u w:val="double"/>
          </w:rPr>
          <w:t>Transfer</w:t>
        </w:r>
      </w:ins>
      <w:r>
        <w:rPr>
          <w:sz w:val="24"/>
        </w:rPr>
        <w:t xml:space="preserve"> and Auction Agreements.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Other Taxes</w:t>
      </w:r>
      <w:r>
        <w:rPr>
          <w:b/>
          <w:sz w:val="24"/>
        </w:rPr>
        <w:t>”</w:t>
      </w:r>
      <w:r>
        <w:rPr>
          <w:sz w:val="24"/>
        </w:rPr>
        <w:t xml:space="preserve"> has the meaning given to such term in Section 8.8(c).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Owner Trustee</w:t>
      </w:r>
      <w:r>
        <w:rPr>
          <w:b/>
          <w:sz w:val="24"/>
        </w:rPr>
        <w:t>”</w:t>
      </w:r>
      <w:r>
        <w:rPr>
          <w:sz w:val="24"/>
        </w:rPr>
        <w:t xml:space="preserve"> means the person appointed as owner trustee under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Percentage Commitment</w:t>
      </w:r>
      <w:r>
        <w:rPr>
          <w:b/>
          <w:sz w:val="24"/>
        </w:rPr>
        <w:t>”</w:t>
      </w:r>
      <w:r>
        <w:rPr>
          <w:sz w:val="24"/>
        </w:rPr>
        <w:t xml:space="preserve"> means, in respect of each Lender, that Lender’s Commitment divided by the aggregate of all the Lenders’ Commitments, expressed as a percentage.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Permitted Investments</w:t>
      </w:r>
      <w:r>
        <w:rPr>
          <w:b/>
          <w:sz w:val="24"/>
        </w:rPr>
        <w:t xml:space="preserve">” </w:t>
      </w:r>
      <w:r>
        <w:rPr>
          <w:sz w:val="24"/>
        </w:rPr>
        <w:t>means the following investments:</w:t>
      </w:r>
    </w:p>
    <w:p>
      <w:pPr>
        <w:pStyle w:val="Normal"/>
        <w:bidi w:val="0"/>
        <w:jc w:val="both"/>
        <w:rPr>
          <w:sz w:val="24"/>
        </w:rPr>
      </w:pPr>
      <w:r>
        <w:rPr>
          <w:sz w:val="24"/>
        </w:rPr>
      </w:r>
    </w:p>
    <w:p>
      <w:pPr>
        <w:pStyle w:val="Normal"/>
        <w:bidi w:val="0"/>
        <w:ind w:hanging="0" w:start="720"/>
        <w:jc w:val="both"/>
        <w:rPr>
          <w:sz w:val="24"/>
        </w:rPr>
      </w:pPr>
      <w:r>
        <w:rPr>
          <w:sz w:val="24"/>
        </w:rPr>
        <w:tab/>
        <w:t>(i)</w:t>
        <w:tab/>
        <w:t>cash;</w:t>
      </w:r>
    </w:p>
    <w:p>
      <w:pPr>
        <w:pStyle w:val="Normal"/>
        <w:bidi w:val="0"/>
        <w:jc w:val="both"/>
        <w:rPr>
          <w:sz w:val="24"/>
        </w:rPr>
      </w:pPr>
      <w:r>
        <w:rPr>
          <w:sz w:val="24"/>
        </w:rPr>
      </w:r>
    </w:p>
    <w:p>
      <w:pPr>
        <w:pStyle w:val="Normal"/>
        <w:tabs>
          <w:tab w:val="left" w:pos="720" w:leader="none"/>
        </w:tabs>
        <w:bidi w:val="0"/>
        <w:ind w:hanging="720" w:start="720"/>
        <w:jc w:val="both"/>
        <w:rPr>
          <w:sz w:val="24"/>
        </w:rPr>
      </w:pPr>
      <w:r>
        <w:rPr>
          <w:sz w:val="24"/>
        </w:rPr>
        <w:tab/>
        <w:tab/>
        <w:t>(ii)</w:t>
        <w:tab/>
        <w:t xml:space="preserve">commercial paper maturing not more than nine months from the date of issue </w:t>
        <w:tab/>
        <w:t>and rated at least A</w:t>
        <w:noBreakHyphen/>
        <w:t>1 by S&amp;P or P</w:t>
        <w:noBreakHyphen/>
        <w:t>1 by Moody’s;</w:t>
      </w:r>
    </w:p>
    <w:p>
      <w:pPr>
        <w:pStyle w:val="Normal"/>
        <w:bidi w:val="0"/>
        <w:jc w:val="both"/>
        <w:rPr>
          <w:sz w:val="24"/>
        </w:rPr>
      </w:pPr>
      <w:r>
        <w:rPr>
          <w:sz w:val="24"/>
        </w:rPr>
      </w:r>
    </w:p>
    <w:p>
      <w:pPr>
        <w:pStyle w:val="Normal"/>
        <w:bidi w:val="0"/>
        <w:ind w:hanging="0" w:start="720"/>
        <w:jc w:val="both"/>
        <w:rPr>
          <w:sz w:val="24"/>
        </w:rPr>
      </w:pPr>
      <w:r>
        <w:rPr>
          <w:sz w:val="24"/>
        </w:rPr>
        <w:tab/>
        <w:t>(iii)</w:t>
        <w:tab/>
        <w:t>any deposit of not more than one year’s maturity with, or acceptance maturing not more than one year after issue accepted by, a bank or credit institution which has a combined capital and surplus and undistributable profits of not less than $500,000,000 (or the equivalent amount in another currency) and whose short term unsecured, unsubordinated debt rating is at least A</w:t>
        <w:noBreakHyphen/>
        <w:t>1 by S&amp;P or P</w:t>
        <w:noBreakHyphen/>
        <w:t xml:space="preserve">1 by Moody’s; </w:t>
      </w:r>
    </w:p>
    <w:p>
      <w:pPr>
        <w:pStyle w:val="Normal"/>
        <w:bidi w:val="0"/>
        <w:jc w:val="both"/>
        <w:rPr>
          <w:sz w:val="24"/>
        </w:rPr>
      </w:pPr>
      <w:r>
        <w:rPr>
          <w:sz w:val="24"/>
        </w:rPr>
      </w:r>
    </w:p>
    <w:p>
      <w:pPr>
        <w:pStyle w:val="Normal"/>
        <w:bidi w:val="0"/>
        <w:ind w:hanging="0" w:start="720"/>
        <w:jc w:val="both"/>
        <w:rPr>
          <w:sz w:val="24"/>
        </w:rPr>
      </w:pPr>
      <w:r>
        <w:rPr>
          <w:sz w:val="24"/>
        </w:rPr>
        <w:tab/>
        <w:t>(iv)</w:t>
        <w:tab/>
        <w:t>securities issued or directly and fully guaranteed or insured by the government of the United States of America or any agency or    instrumentality thereof having maturities of not more than one year from the date of acquisition;</w:t>
      </w:r>
    </w:p>
    <w:p>
      <w:pPr>
        <w:pStyle w:val="Normal"/>
        <w:bidi w:val="0"/>
        <w:jc w:val="both"/>
        <w:rPr>
          <w:sz w:val="24"/>
        </w:rPr>
      </w:pPr>
      <w:r>
        <w:rPr>
          <w:sz w:val="24"/>
        </w:rPr>
      </w:r>
    </w:p>
    <w:p>
      <w:pPr>
        <w:pStyle w:val="Normal"/>
        <w:bidi w:val="0"/>
        <w:ind w:hanging="0" w:start="720"/>
        <w:jc w:val="both"/>
        <w:rPr>
          <w:sz w:val="24"/>
        </w:rPr>
      </w:pPr>
      <w:r>
        <w:rPr>
          <w:sz w:val="24"/>
        </w:rPr>
        <w:tab/>
        <w:t>(v)</w:t>
        <w:tab/>
        <w:t>repurchase obligations with a term of not more than seven days fully collateralized by underlying securities of the types described in paragraphs (ii) and (iii) above entered into with any bank meeting the qualifications specified in paragraph (iii) above;</w:t>
      </w:r>
    </w:p>
    <w:p>
      <w:pPr>
        <w:pStyle w:val="Normal"/>
        <w:bidi w:val="0"/>
        <w:jc w:val="both"/>
        <w:rPr>
          <w:sz w:val="24"/>
        </w:rPr>
      </w:pPr>
      <w:r>
        <w:rPr>
          <w:sz w:val="24"/>
        </w:rPr>
      </w:r>
    </w:p>
    <w:p>
      <w:pPr>
        <w:pStyle w:val="Normal"/>
        <w:tabs>
          <w:tab w:val="left" w:pos="720" w:leader="none"/>
        </w:tabs>
        <w:bidi w:val="0"/>
        <w:ind w:hanging="720" w:start="720"/>
        <w:jc w:val="both"/>
        <w:rPr>
          <w:sz w:val="24"/>
        </w:rPr>
      </w:pPr>
      <w:r>
        <w:rPr>
          <w:sz w:val="24"/>
        </w:rPr>
        <w:tab/>
        <w:tab/>
        <w:t>(vi)</w:t>
        <w:tab/>
        <w:t xml:space="preserve">debt securities having not more than one year until final maturity and listed </w:t>
        <w:tab/>
        <w:t>on a recognized stock exchange and rated at least AA by Moody’s or AA by S&amp;P; and</w:t>
      </w:r>
    </w:p>
    <w:p>
      <w:pPr>
        <w:pStyle w:val="Normal"/>
        <w:bidi w:val="0"/>
        <w:jc w:val="both"/>
        <w:rPr>
          <w:sz w:val="24"/>
        </w:rPr>
      </w:pPr>
      <w:r>
        <w:rPr>
          <w:sz w:val="24"/>
        </w:rPr>
      </w:r>
    </w:p>
    <w:p>
      <w:pPr>
        <w:pStyle w:val="Normal"/>
        <w:bidi w:val="0"/>
        <w:ind w:hanging="0" w:start="720"/>
        <w:jc w:val="both"/>
        <w:rPr>
          <w:sz w:val="24"/>
        </w:rPr>
      </w:pPr>
      <w:r>
        <w:rPr>
          <w:sz w:val="24"/>
        </w:rPr>
        <w:tab/>
        <w:t>(vii)</w:t>
        <w:tab/>
        <w:t>notes and other obligations issued by Enron and/or any of its wholly owned Subsidiaries.</w:t>
      </w:r>
    </w:p>
    <w:p>
      <w:pPr>
        <w:pStyle w:val="Normal"/>
        <w:bidi w:val="0"/>
        <w:jc w:val="both"/>
        <w:rPr>
          <w:sz w:val="24"/>
        </w:rPr>
      </w:pPr>
      <w:r>
        <w:rPr>
          <w:sz w:val="24"/>
        </w:rPr>
      </w:r>
    </w:p>
    <w:p>
      <w:pPr>
        <w:pStyle w:val="Normal"/>
        <w:bidi w:val="0"/>
        <w:jc w:val="both"/>
        <w:rPr>
          <w:sz w:val="24"/>
        </w:rPr>
      </w:pPr>
      <w:r>
        <w:rPr>
          <w:sz w:val="24"/>
        </w:rPr>
        <w:t>provided that no such investment of Series Property shall mature after the Repayment Date for the Tranche to which it relates.</w:t>
      </w:r>
    </w:p>
    <w:p>
      <w:pPr>
        <w:pStyle w:val="Normal"/>
        <w:bidi w:val="0"/>
        <w:jc w:val="both"/>
        <w:rPr>
          <w:sz w:val="24"/>
        </w:rPr>
      </w:pPr>
      <w:r>
        <w:rPr>
          <w:sz w:val="24"/>
        </w:rPr>
      </w:r>
    </w:p>
    <w:p>
      <w:pPr>
        <w:pStyle w:val="Normal"/>
        <w:bidi w:val="0"/>
        <w:jc w:val="both"/>
        <w:rPr>
          <w:sz w:val="24"/>
        </w:rPr>
      </w:pPr>
      <w:r>
        <w:rPr>
          <w:sz w:val="24"/>
        </w:rPr>
        <w:tab/>
      </w:r>
      <w:ins w:id="389" w:author="">
        <w:r>
          <w:rPr>
            <w:b/>
            <w:sz w:val="24"/>
            <w:u w:val="double"/>
          </w:rPr>
          <w:t>“Permitted Swap Party” means a Sponsor which is a Person that is consolidated with Enron in accordance with generally accepted accounting principles, of which 100% of the outstanding capital stock or other equity interests having ordinary voting power is at the time owned and exercisable, directly or indirectly, by Enron.</w:t>
        </w:r>
      </w:ins>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Person</w:t>
      </w:r>
      <w:r>
        <w:rPr>
          <w:b/>
          <w:sz w:val="24"/>
        </w:rPr>
        <w:t>”</w:t>
      </w:r>
      <w:r>
        <w:rPr>
          <w:sz w:val="24"/>
        </w:rPr>
        <w:t xml:space="preserve"> shall mean any individual, corporation, company, voluntary association, partnership, joint venture, trust, limited liability company, unincorporated organization or government authority or entity.</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Prescribed Forms</w:t>
      </w:r>
      <w:r>
        <w:rPr>
          <w:b/>
          <w:sz w:val="24"/>
        </w:rPr>
        <w:t>”</w:t>
      </w:r>
      <w:r>
        <w:rPr>
          <w:sz w:val="24"/>
        </w:rPr>
        <w:t xml:space="preserve"> means such duly executed form(s) or statement(s), and in such number of copies, which may, from time to time, be prescribed by law and which, pursuant to applicable provisions of (a) an income tax treaty between the United States and the country of residence of the Lender providing such form(s) or statement(s), (b) the Code, or (c) any applicable rule or regulation under the Code, permit the Trust to make payments hereunder and under the Notes for the account of such Lender free and clear of deduction or withholding of income or similar taxes (except for any deduction or withholding of income or similar taxes as a result of any change in or in the interpretation of any such treaty, the Code or any such rule or regulation).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Put Notice</w:t>
      </w:r>
      <w:r>
        <w:rPr>
          <w:b/>
          <w:sz w:val="24"/>
        </w:rPr>
        <w:t>”</w:t>
      </w:r>
      <w:r>
        <w:rPr>
          <w:sz w:val="24"/>
        </w:rPr>
        <w:t xml:space="preserve"> has the meaning given to that term in the Put Option Agreements (if applicable).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Put Option Agreement</w:t>
      </w:r>
      <w:r>
        <w:rPr>
          <w:b/>
          <w:sz w:val="24"/>
        </w:rPr>
        <w:t>”</w:t>
      </w:r>
      <w:r>
        <w:rPr>
          <w:sz w:val="24"/>
        </w:rPr>
        <w:t xml:space="preserve"> means, if applicable, a Put Option Agreement executed by an Asset LLC    and the applicable Sponsor, in form and substance reasonably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Put Option Assignment</w:t>
      </w:r>
      <w:r>
        <w:rPr>
          <w:b/>
          <w:sz w:val="24"/>
        </w:rPr>
        <w:t>”</w:t>
      </w:r>
      <w:r>
        <w:rPr>
          <w:sz w:val="24"/>
        </w:rPr>
        <w:t xml:space="preserve"> means, if applicable, an Assignment by an Asset LLC to the Trust whereby such Asset LLC assigns to the Trust its rights to deliver a Put Notice, in form and substance reasonably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Quarter</w:t>
      </w:r>
      <w:r>
        <w:rPr>
          <w:b/>
          <w:sz w:val="24"/>
        </w:rPr>
        <w:t>”</w:t>
      </w:r>
      <w:r>
        <w:rPr>
          <w:sz w:val="24"/>
        </w:rPr>
        <w:t xml:space="preserve"> means a period of three (3) calendar months ending on March 31</w:t>
      </w:r>
      <w:r>
        <w:rPr>
          <w:sz w:val="24"/>
          <w:vertAlign w:val="superscript"/>
        </w:rPr>
        <w:t>st</w:t>
      </w:r>
      <w:r>
        <w:rPr>
          <w:sz w:val="24"/>
        </w:rPr>
        <w:t>, June 30</w:t>
      </w:r>
      <w:r>
        <w:rPr>
          <w:sz w:val="24"/>
          <w:vertAlign w:val="superscript"/>
        </w:rPr>
        <w:t>th</w:t>
      </w:r>
      <w:r>
        <w:rPr>
          <w:sz w:val="24"/>
        </w:rPr>
        <w:t>, September 30</w:t>
      </w:r>
      <w:r>
        <w:rPr>
          <w:sz w:val="24"/>
          <w:vertAlign w:val="superscript"/>
        </w:rPr>
        <w:t>th</w:t>
      </w:r>
      <w:r>
        <w:rPr>
          <w:sz w:val="24"/>
        </w:rPr>
        <w:t xml:space="preserve"> or December 31</w:t>
      </w:r>
      <w:r>
        <w:rPr>
          <w:sz w:val="24"/>
          <w:vertAlign w:val="superscript"/>
        </w:rPr>
        <w:t>st</w:t>
      </w:r>
      <w:r>
        <w:rPr>
          <w:sz w:val="24"/>
        </w:rPr>
        <w:t xml:space="preserve"> in any year.</w:t>
      </w:r>
    </w:p>
    <w:p>
      <w:pPr>
        <w:pStyle w:val="Normal"/>
        <w:bidi w:val="0"/>
        <w:jc w:val="both"/>
        <w:rPr>
          <w:sz w:val="24"/>
        </w:rPr>
      </w:pPr>
      <w:r>
        <w:rPr>
          <w:sz w:val="24"/>
        </w:rPr>
      </w:r>
    </w:p>
    <w:p>
      <w:pPr>
        <w:pStyle w:val="Normal"/>
        <w:bidi w:val="0"/>
        <w:jc w:val="both"/>
        <w:rPr>
          <w:sz w:val="24"/>
        </w:rPr>
      </w:pPr>
      <w:r>
        <w:rPr>
          <w:b/>
          <w:sz w:val="24"/>
        </w:rPr>
        <w:tab/>
        <w:t>“</w:t>
      </w:r>
      <w:r>
        <w:rPr>
          <w:b/>
          <w:sz w:val="24"/>
          <w:u w:val="single"/>
        </w:rPr>
        <w:t>Rate Fixing Day</w:t>
      </w:r>
      <w:r>
        <w:rPr>
          <w:b/>
          <w:sz w:val="24"/>
        </w:rPr>
        <w:t xml:space="preserve">” </w:t>
      </w:r>
      <w:r>
        <w:rPr>
          <w:sz w:val="24"/>
        </w:rPr>
        <w:t>means, in relation to any Interest Period, the Business Day that is two Business Days prior to the first day of such Interest Period.</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Record</w:t>
      </w:r>
      <w:r>
        <w:rPr>
          <w:b/>
          <w:sz w:val="24"/>
        </w:rPr>
        <w:t>”</w:t>
      </w:r>
      <w:r>
        <w:rPr>
          <w:sz w:val="24"/>
        </w:rPr>
        <w:t xml:space="preserve"> has the meaning given to such term in Section 23.2(d).</w:t>
      </w:r>
    </w:p>
    <w:p>
      <w:pPr>
        <w:pStyle w:val="Normal"/>
        <w:bidi w:val="0"/>
        <w:jc w:val="both"/>
        <w:rPr>
          <w:sz w:val="24"/>
        </w:rPr>
      </w:pPr>
      <w:r>
        <w:rPr>
          <w:sz w:val="24"/>
        </w:rPr>
      </w:r>
    </w:p>
    <w:p>
      <w:pPr>
        <w:pStyle w:val="Normal"/>
        <w:bidi w:val="0"/>
        <w:spacing w:lineRule="atLeast" w:line="480"/>
        <w:jc w:val="both"/>
        <w:rPr>
          <w:sz w:val="24"/>
        </w:rPr>
      </w:pPr>
      <w:r>
        <w:rPr>
          <w:sz w:val="24"/>
        </w:rPr>
        <w:tab/>
      </w:r>
      <w:r>
        <w:rPr>
          <w:b/>
          <w:sz w:val="24"/>
        </w:rPr>
        <w:t>“</w:t>
      </w:r>
      <w:r>
        <w:rPr>
          <w:b/>
          <w:sz w:val="24"/>
          <w:u w:val="single"/>
        </w:rPr>
        <w:t>Recovery</w:t>
      </w:r>
      <w:r>
        <w:rPr>
          <w:b/>
          <w:sz w:val="24"/>
        </w:rPr>
        <w:t xml:space="preserve">” </w:t>
      </w:r>
      <w:r>
        <w:rPr>
          <w:sz w:val="24"/>
        </w:rPr>
        <w:t>has the meaning given to such term in Section 17.1.</w:t>
      </w:r>
    </w:p>
    <w:p>
      <w:pPr>
        <w:pStyle w:val="Normal"/>
        <w:bidi w:val="0"/>
        <w:jc w:val="both"/>
        <w:rPr>
          <w:sz w:val="24"/>
        </w:rPr>
      </w:pPr>
      <w:r>
        <w:rPr>
          <w:sz w:val="24"/>
        </w:rPr>
        <w:tab/>
      </w:r>
      <w:r>
        <w:rPr>
          <w:b/>
          <w:sz w:val="24"/>
        </w:rPr>
        <w:t>“</w:t>
      </w:r>
      <w:r>
        <w:rPr>
          <w:b/>
          <w:sz w:val="24"/>
          <w:u w:val="single"/>
        </w:rPr>
        <w:t>Reference Banks</w:t>
      </w:r>
      <w:r>
        <w:rPr>
          <w:b/>
          <w:sz w:val="24"/>
        </w:rPr>
        <w:t>”</w:t>
      </w:r>
      <w:r>
        <w:rPr>
          <w:sz w:val="24"/>
        </w:rPr>
        <w:t xml:space="preserve"> means four major banks selected by the Agent in the London interbank market.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Regulation A</w:t>
      </w:r>
      <w:r>
        <w:rPr>
          <w:b/>
          <w:sz w:val="24"/>
        </w:rPr>
        <w:t xml:space="preserve">” </w:t>
      </w:r>
      <w:r>
        <w:rPr>
          <w:sz w:val="24"/>
        </w:rPr>
        <w:t>means Regulation A of the Federal Reserve Board.</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Reimbursement and Disclosure Agreement</w:t>
      </w:r>
      <w:r>
        <w:rPr>
          <w:b/>
          <w:sz w:val="24"/>
        </w:rPr>
        <w:t>”</w:t>
      </w:r>
      <w:r>
        <w:rPr>
          <w:sz w:val="24"/>
        </w:rPr>
        <w:t xml:space="preserve"> means the Reimbursement and Disclosure Agreement dated as of </w:t>
      </w:r>
      <w:ins w:id="390" w:author="">
        <w:r>
          <w:rPr>
            <w:strike/>
            <w:sz w:val="24"/>
          </w:rPr>
          <w:t>March 31</w:t>
        </w:r>
      </w:ins>
      <w:r>
        <w:rPr>
          <w:sz w:val="24"/>
        </w:rPr>
        <w:t xml:space="preserve"> </w:t>
      </w:r>
      <w:ins w:id="391" w:author="">
        <w:r>
          <w:rPr>
            <w:b/>
            <w:sz w:val="24"/>
            <w:u w:val="double"/>
          </w:rPr>
          <w:t>November [17]</w:t>
        </w:r>
      </w:ins>
      <w:r>
        <w:rPr>
          <w:sz w:val="24"/>
        </w:rPr>
        <w:t>, 2000 among Enron, the Trust and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Relevant Taxes</w:t>
      </w:r>
      <w:r>
        <w:rPr>
          <w:b/>
          <w:sz w:val="24"/>
        </w:rPr>
        <w:t>”</w:t>
      </w:r>
      <w:r>
        <w:rPr>
          <w:sz w:val="24"/>
        </w:rPr>
        <w:t xml:space="preserve"> has the meaning given to such term in Section 8.8.</w:t>
      </w:r>
    </w:p>
    <w:p>
      <w:pPr>
        <w:pStyle w:val="Normal"/>
        <w:bidi w:val="0"/>
        <w:jc w:val="both"/>
        <w:rPr>
          <w:sz w:val="24"/>
        </w:rPr>
      </w:pPr>
      <w:r>
        <w:rPr>
          <w:sz w:val="24"/>
        </w:rPr>
      </w:r>
    </w:p>
    <w:p>
      <w:pPr>
        <w:pStyle w:val="Normal"/>
        <w:bidi w:val="0"/>
        <w:jc w:val="both"/>
        <w:rPr>
          <w:sz w:val="24"/>
        </w:rPr>
      </w:pPr>
      <w:r>
        <w:rPr>
          <w:sz w:val="24"/>
        </w:rPr>
        <w:tab/>
        <w:t>“</w:t>
      </w:r>
      <w:r>
        <w:rPr>
          <w:b/>
          <w:sz w:val="24"/>
          <w:u w:val="single"/>
        </w:rPr>
        <w:t>Repayment Date</w:t>
      </w:r>
      <w:r>
        <w:rPr>
          <w:sz w:val="24"/>
        </w:rPr>
        <w:t xml:space="preserve">” means, in respect of </w:t>
      </w:r>
      <w:ins w:id="392" w:author="">
        <w:r>
          <w:rPr>
            <w:strike/>
            <w:sz w:val="24"/>
          </w:rPr>
          <w:t>any</w:t>
        </w:r>
      </w:ins>
      <w:r>
        <w:rPr>
          <w:sz w:val="24"/>
        </w:rPr>
        <w:t xml:space="preserve"> </w:t>
      </w:r>
      <w:ins w:id="393" w:author="">
        <w:r>
          <w:rPr>
            <w:b/>
            <w:sz w:val="24"/>
            <w:u w:val="double"/>
          </w:rPr>
          <w:t>each</w:t>
        </w:r>
      </w:ins>
      <w:r>
        <w:rPr>
          <w:sz w:val="24"/>
        </w:rPr>
        <w:t xml:space="preserve"> Tranche, the date specified in the applicable Drawdown Request, but in no event earlier than one month after the applicable Drawdown Date, nor later than nine months after the applicable Drawdown Date.</w:t>
      </w:r>
    </w:p>
    <w:p>
      <w:pPr>
        <w:pStyle w:val="Normal"/>
        <w:bidi w:val="0"/>
        <w:jc w:val="both"/>
        <w:rPr>
          <w:sz w:val="24"/>
        </w:rPr>
      </w:pPr>
      <w:r>
        <w:rPr>
          <w:sz w:val="24"/>
        </w:rPr>
      </w:r>
    </w:p>
    <w:p>
      <w:pPr>
        <w:pStyle w:val="Normal"/>
        <w:bidi w:val="0"/>
        <w:jc w:val="both"/>
        <w:rPr>
          <w:sz w:val="24"/>
        </w:rPr>
      </w:pPr>
      <w:r>
        <w:rPr>
          <w:b/>
          <w:sz w:val="24"/>
        </w:rPr>
        <w:tab/>
        <w:t>“</w:t>
      </w:r>
      <w:r>
        <w:rPr>
          <w:b/>
          <w:sz w:val="24"/>
          <w:u w:val="single"/>
        </w:rPr>
        <w:t>Replacement Funds</w:t>
      </w:r>
      <w:r>
        <w:rPr>
          <w:b/>
          <w:sz w:val="24"/>
        </w:rPr>
        <w:t>”</w:t>
      </w:r>
      <w:r>
        <w:rPr>
          <w:sz w:val="24"/>
        </w:rPr>
        <w:t xml:space="preserve"> has the meaning given to </w:t>
      </w:r>
      <w:ins w:id="394" w:author="">
        <w:r>
          <w:rPr>
            <w:strike/>
            <w:sz w:val="24"/>
          </w:rPr>
          <w:t>that</w:t>
        </w:r>
      </w:ins>
      <w:r>
        <w:rPr>
          <w:sz w:val="24"/>
        </w:rPr>
        <w:t xml:space="preserve"> </w:t>
      </w:r>
      <w:ins w:id="395" w:author="">
        <w:r>
          <w:rPr>
            <w:b/>
            <w:sz w:val="24"/>
            <w:u w:val="double"/>
          </w:rPr>
          <w:t>such</w:t>
        </w:r>
      </w:ins>
      <w:r>
        <w:rPr>
          <w:sz w:val="24"/>
        </w:rPr>
        <w:t xml:space="preserve"> term in Section 3.3(c).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Reservations</w:t>
      </w:r>
      <w:r>
        <w:rPr>
          <w:b/>
          <w:sz w:val="24"/>
        </w:rPr>
        <w:t>”</w:t>
      </w:r>
      <w:r>
        <w:rPr>
          <w:sz w:val="24"/>
        </w:rPr>
        <w:t xml:space="preserve"> means limitations on enforceability of legal documents of the relevant category dictated by local law and used as qualifications in legal opinions delivered to and accepted by the Agent in connection with the Drawdown.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S&amp;P</w:t>
      </w:r>
      <w:r>
        <w:rPr>
          <w:b/>
          <w:sz w:val="24"/>
        </w:rPr>
        <w:t>”</w:t>
      </w:r>
      <w:r>
        <w:rPr>
          <w:sz w:val="24"/>
        </w:rPr>
        <w:t xml:space="preserve"> means Standard &amp; Poor’s Ratings Services, a division of The McGraw Hill Companies.</w:t>
      </w:r>
    </w:p>
    <w:p>
      <w:pPr>
        <w:pStyle w:val="Normal"/>
        <w:bidi w:val="0"/>
        <w:jc w:val="both"/>
        <w:rPr>
          <w:sz w:val="24"/>
        </w:rPr>
      </w:pPr>
      <w:r>
        <w:rPr>
          <w:sz w:val="24"/>
        </w:rPr>
      </w:r>
    </w:p>
    <w:p>
      <w:pPr>
        <w:pStyle w:val="Normal"/>
        <w:bidi w:val="0"/>
        <w:jc w:val="both"/>
        <w:rPr>
          <w:b/>
          <w:sz w:val="24"/>
        </w:rPr>
      </w:pPr>
      <w:r>
        <w:rPr>
          <w:b/>
          <w:sz w:val="24"/>
        </w:rPr>
        <w:tab/>
      </w:r>
    </w:p>
    <w:p>
      <w:pPr>
        <w:pStyle w:val="Normal"/>
        <w:bidi w:val="0"/>
        <w:jc w:val="both"/>
        <w:rPr>
          <w:b/>
          <w:sz w:val="24"/>
        </w:rPr>
      </w:pPr>
      <w:r>
        <w:rPr>
          <w:b/>
          <w:sz w:val="24"/>
        </w:rPr>
        <w:t>* 2 moved from here; text not shown</w:t>
      </w:r>
    </w:p>
    <w:p>
      <w:pPr>
        <w:pStyle w:val="Normal"/>
        <w:bidi w:val="0"/>
        <w:jc w:val="both"/>
        <w:rPr>
          <w:sz w:val="24"/>
        </w:rPr>
      </w:pPr>
      <w:ins w:id="396" w:author="">
        <w:r>
          <w:rPr>
            <w:b/>
            <w:sz w:val="24"/>
            <w:u w:val="double"/>
          </w:rPr>
          <w:t>“</w:t>
        </w:r>
      </w:ins>
      <w:ins w:id="397" w:author="">
        <w:r>
          <w:rPr>
            <w:b/>
            <w:sz w:val="24"/>
            <w:u w:val="double"/>
          </w:rPr>
          <w:t>Schedule” means a schedule to an ISDA Master Agreement executed by the Trust and Enron or a Permitted Swap Party in substantially the form of Exhibit G2 or G3 (as applicable), together with such changes as may be approved by the Agent in its sole discretion.</w:t>
        </w:r>
      </w:ins>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Second Closing Date</w:t>
      </w:r>
      <w:r>
        <w:rPr>
          <w:b/>
          <w:sz w:val="24"/>
        </w:rPr>
        <w:t>”</w:t>
      </w:r>
      <w:r>
        <w:rPr>
          <w:sz w:val="24"/>
        </w:rPr>
        <w:t xml:space="preserve"> means </w:t>
      </w:r>
      <w:ins w:id="398" w:author="">
        <w:r>
          <w:rPr>
            <w:strike/>
            <w:sz w:val="24"/>
          </w:rPr>
          <w:t>July 15, 2000, or such other date as may be agreed by the Agent and the Borrower and, if</w:t>
        </w:r>
      </w:ins>
      <w:r>
        <w:rPr>
          <w:sz w:val="24"/>
        </w:rPr>
        <w:t xml:space="preserve"> </w:t>
      </w:r>
      <w:ins w:id="399" w:author="">
        <w:r>
          <w:rPr>
            <w:b/>
            <w:sz w:val="24"/>
            <w:u w:val="double"/>
          </w:rPr>
          <w:t>any Interest Payment Date which the Trust, the Agent and the Subscriber may agree in writing, provided that (i) not less than 30 days notice thereof shall be given to each Lender in writing by the Agent and (ii)</w:t>
        </w:r>
      </w:ins>
      <w:r>
        <w:rPr>
          <w:sz w:val="24"/>
        </w:rPr>
        <w:t xml:space="preserve"> the Second Closing Date </w:t>
      </w:r>
      <w:ins w:id="400" w:author="">
        <w:r>
          <w:rPr>
            <w:strike/>
            <w:sz w:val="24"/>
          </w:rPr>
          <w:t>is later than July 15, 2000, all the Lenders</w:t>
        </w:r>
      </w:ins>
      <w:r>
        <w:rPr>
          <w:sz w:val="24"/>
        </w:rPr>
        <w:t xml:space="preserve"> </w:t>
      </w:r>
      <w:ins w:id="401" w:author="">
        <w:r>
          <w:rPr>
            <w:b/>
            <w:sz w:val="24"/>
            <w:u w:val="double"/>
          </w:rPr>
          <w:t>shall not be after    October [9], 2001</w:t>
        </w:r>
      </w:ins>
      <w:r>
        <w:rPr>
          <w:sz w:val="24"/>
        </w:rPr>
        <w: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Second Drawdown Date</w:t>
      </w:r>
      <w:r>
        <w:rPr>
          <w:b/>
          <w:sz w:val="24"/>
        </w:rPr>
        <w:t>”</w:t>
      </w:r>
      <w:r>
        <w:rPr>
          <w:sz w:val="24"/>
        </w:rPr>
        <w:t xml:space="preserve"> means the </w:t>
      </w:r>
      <w:ins w:id="402" w:author="">
        <w:r>
          <w:rPr>
            <w:strike/>
            <w:sz w:val="24"/>
          </w:rPr>
          <w:t>first</w:t>
        </w:r>
      </w:ins>
      <w:r>
        <w:rPr>
          <w:sz w:val="24"/>
        </w:rPr>
        <w:t xml:space="preserve"> Drawdown Date </w:t>
      </w:r>
      <w:ins w:id="403" w:author="">
        <w:r>
          <w:rPr>
            <w:b/>
            <w:sz w:val="24"/>
            <w:u w:val="double"/>
          </w:rPr>
          <w:t>first</w:t>
        </w:r>
      </w:ins>
      <w:r>
        <w:rPr>
          <w:sz w:val="24"/>
        </w:rPr>
        <w:t xml:space="preserve"> occurring on or after the Second Closing Date.</w:t>
      </w:r>
    </w:p>
    <w:p>
      <w:pPr>
        <w:pStyle w:val="Normal"/>
        <w:bidi w:val="0"/>
        <w:jc w:val="both"/>
        <w:rPr>
          <w:sz w:val="24"/>
        </w:rPr>
      </w:pPr>
      <w:r>
        <w:rPr>
          <w:sz w:val="24"/>
        </w:rPr>
      </w:r>
    </w:p>
    <w:p>
      <w:pPr>
        <w:pStyle w:val="Normal"/>
        <w:bidi w:val="0"/>
        <w:jc w:val="both"/>
        <w:rPr>
          <w:sz w:val="24"/>
        </w:rPr>
      </w:pPr>
      <w:r>
        <w:rPr>
          <w:b/>
          <w:sz w:val="24"/>
        </w:rPr>
        <w:tab/>
        <w:t>“</w:t>
      </w:r>
      <w:r>
        <w:rPr>
          <w:b/>
          <w:sz w:val="24"/>
          <w:u w:val="single"/>
        </w:rPr>
        <w:t>Series</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Series Property</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Series Supplement</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Sponsor</w:t>
      </w:r>
      <w:r>
        <w:rPr>
          <w:b/>
          <w:sz w:val="24"/>
        </w:rPr>
        <w:t>”</w:t>
      </w:r>
      <w:r>
        <w:rPr>
          <w:sz w:val="24"/>
        </w:rPr>
        <w:t xml:space="preserve"> means, with respect to each Series, the Person named as Sponsor in the Series Supplement, and which is either (a) Enron, (b) a Subsidiary of Enron or (c) an Affiliate of Enron, in excess of 50% of the economic interest in which is owned by Enron.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Sponsor Designee</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Subscriber</w:t>
      </w:r>
      <w:r>
        <w:rPr>
          <w:b/>
          <w:sz w:val="24"/>
        </w:rPr>
        <w:t>”</w:t>
      </w:r>
      <w:r>
        <w:rPr>
          <w:sz w:val="24"/>
        </w:rPr>
        <w:t xml:space="preserve"> shall mean CIBC Inc.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Subscription Agreement</w:t>
      </w:r>
      <w:r>
        <w:rPr>
          <w:b/>
          <w:sz w:val="24"/>
        </w:rPr>
        <w:t>”</w:t>
      </w:r>
      <w:r>
        <w:rPr>
          <w:sz w:val="24"/>
        </w:rPr>
        <w:t xml:space="preserve"> shall mean that certain Subscription Agreement dated </w:t>
      </w:r>
      <w:ins w:id="404" w:author="">
        <w:r>
          <w:rPr>
            <w:strike/>
            <w:sz w:val="24"/>
          </w:rPr>
          <w:t>March 31</w:t>
        </w:r>
      </w:ins>
      <w:r>
        <w:rPr>
          <w:sz w:val="24"/>
        </w:rPr>
        <w:t xml:space="preserve"> </w:t>
      </w:r>
      <w:ins w:id="405" w:author="">
        <w:r>
          <w:rPr>
            <w:b/>
            <w:sz w:val="24"/>
            <w:u w:val="double"/>
          </w:rPr>
          <w:t>November [17]</w:t>
        </w:r>
      </w:ins>
      <w:r>
        <w:rPr>
          <w:sz w:val="24"/>
        </w:rPr>
        <w:t>, 2000 and executed by the Trust and the Subscriber, as amended or restated after such date.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Subsidiary</w:t>
      </w:r>
      <w:r>
        <w:rPr>
          <w:b/>
          <w:sz w:val="24"/>
        </w:rPr>
        <w:t>”</w:t>
      </w:r>
      <w:r>
        <w:rPr>
          <w:sz w:val="24"/>
        </w:rPr>
        <w:t xml:space="preserve"> means, with respect to any Person, any corporation or other Person more than 50% of whose securities or other ownership interests having ordinary voting power for the election of directors or similar representatives (other than securities having such power only by reason of the happening of a contingency) are, as of the date of determination thereof, directly or indirectly owned by such Person or one or more of such Person’s subsidiaries.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Swap Confirmation</w:t>
      </w:r>
      <w:r>
        <w:rPr>
          <w:b/>
          <w:sz w:val="24"/>
        </w:rPr>
        <w:t>”</w:t>
      </w:r>
      <w:r>
        <w:rPr>
          <w:sz w:val="24"/>
        </w:rPr>
        <w:t xml:space="preserve"> means, with respect to each Series, a confirmation in substantially the form of Exhibit </w:t>
      </w:r>
      <w:ins w:id="406" w:author="">
        <w:r>
          <w:rPr>
            <w:strike/>
            <w:sz w:val="24"/>
          </w:rPr>
          <w:t>G</w:t>
        </w:r>
      </w:ins>
      <w:r>
        <w:rPr>
          <w:sz w:val="24"/>
        </w:rPr>
        <w:t xml:space="preserve"> </w:t>
      </w:r>
      <w:ins w:id="407" w:author="">
        <w:r>
          <w:rPr>
            <w:b/>
            <w:sz w:val="24"/>
            <w:u w:val="double"/>
          </w:rPr>
          <w:t>G1</w:t>
        </w:r>
      </w:ins>
      <w:r>
        <w:rPr>
          <w:sz w:val="24"/>
        </w:rPr>
        <w:t xml:space="preserve"> (with such amendments as may be approved the Agent </w:t>
      </w:r>
      <w:ins w:id="408" w:author="">
        <w:r>
          <w:rPr>
            <w:strike/>
            <w:sz w:val="24"/>
          </w:rPr>
          <w:t>)</w:t>
        </w:r>
      </w:ins>
      <w:r>
        <w:rPr>
          <w:sz w:val="24"/>
        </w:rPr>
        <w:t xml:space="preserve"> </w:t>
      </w:r>
      <w:ins w:id="409" w:author="">
        <w:r>
          <w:rPr>
            <w:b/>
            <w:sz w:val="24"/>
            <w:u w:val="double"/>
          </w:rPr>
          <w:t>in its sole discretion)</w:t>
        </w:r>
      </w:ins>
      <w:r>
        <w:rPr>
          <w:sz w:val="24"/>
        </w:rPr>
        <w:t xml:space="preserve">, executed by the Trust and Enron </w:t>
      </w:r>
      <w:ins w:id="410" w:author="">
        <w:r>
          <w:rPr>
            <w:b/>
            <w:sz w:val="24"/>
            <w:u w:val="double"/>
          </w:rPr>
          <w:t>or a Permitted Swap Party, as applicable</w:t>
        </w:r>
      </w:ins>
      <w:r>
        <w:rPr>
          <w:sz w:val="24"/>
        </w:rPr>
        <w:t>.</w:t>
      </w:r>
    </w:p>
    <w:p>
      <w:pPr>
        <w:pStyle w:val="Normal"/>
        <w:bidi w:val="0"/>
        <w:jc w:val="both"/>
        <w:rPr>
          <w:b/>
          <w:sz w:val="24"/>
        </w:rPr>
      </w:pPr>
      <w:r>
        <w:rPr>
          <w:b/>
          <w:sz w:val="24"/>
        </w:rPr>
      </w:r>
    </w:p>
    <w:p>
      <w:pPr>
        <w:pStyle w:val="Normal"/>
        <w:bidi w:val="0"/>
        <w:jc w:val="both"/>
        <w:rPr>
          <w:sz w:val="24"/>
        </w:rPr>
      </w:pPr>
      <w:r>
        <w:rPr>
          <w:sz w:val="24"/>
        </w:rPr>
        <w:tab/>
      </w:r>
      <w:r>
        <w:rPr>
          <w:b/>
          <w:sz w:val="24"/>
        </w:rPr>
        <w:t>“</w:t>
      </w:r>
      <w:r>
        <w:rPr>
          <w:b/>
          <w:sz w:val="24"/>
          <w:u w:val="single"/>
        </w:rPr>
        <w:t>Taxes</w:t>
      </w:r>
      <w:r>
        <w:rPr>
          <w:b/>
          <w:sz w:val="24"/>
        </w:rPr>
        <w:t>”</w:t>
      </w:r>
      <w:r>
        <w:rPr>
          <w:sz w:val="24"/>
        </w:rPr>
        <w:t xml:space="preserve"> means and includes all present and future taxes, levies, assessments, imposts, deductions, charges, duties and withholdings and any payments made on or in respect thereof, including income, franchise and similar taxes; and</w:t>
      </w:r>
      <w:r>
        <w:rPr>
          <w:b/>
          <w:sz w:val="24"/>
        </w:rPr>
        <w:t xml:space="preserve"> “</w:t>
      </w:r>
      <w:r>
        <w:rPr>
          <w:b/>
          <w:sz w:val="24"/>
          <w:u w:val="single"/>
        </w:rPr>
        <w:t>Tax</w:t>
      </w:r>
      <w:r>
        <w:rPr>
          <w:b/>
          <w:sz w:val="24"/>
        </w:rPr>
        <w:t xml:space="preserve">” </w:t>
      </w:r>
      <w:r>
        <w:rPr>
          <w:sz w:val="24"/>
        </w:rPr>
        <w:t xml:space="preserve">and </w:t>
      </w:r>
      <w:r>
        <w:rPr>
          <w:b/>
          <w:sz w:val="24"/>
        </w:rPr>
        <w:t>“</w:t>
      </w:r>
      <w:r>
        <w:rPr>
          <w:b/>
          <w:sz w:val="24"/>
          <w:u w:val="single"/>
        </w:rPr>
        <w:t>Taxation</w:t>
      </w:r>
      <w:r>
        <w:rPr>
          <w:b/>
          <w:sz w:val="24"/>
        </w:rPr>
        <w:t xml:space="preserve">” </w:t>
      </w:r>
      <w:r>
        <w:rPr>
          <w:sz w:val="24"/>
        </w:rPr>
        <w:t>shall be construed accordingly.</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Total Return Swap Agreement</w:t>
      </w:r>
      <w:r>
        <w:rPr>
          <w:b/>
          <w:sz w:val="24"/>
        </w:rPr>
        <w:t>”</w:t>
      </w:r>
      <w:r>
        <w:rPr>
          <w:sz w:val="24"/>
        </w:rPr>
        <w:t xml:space="preserve"> means </w:t>
      </w:r>
      <w:ins w:id="411" w:author="">
        <w:r>
          <w:rPr>
            <w:b/>
            <w:sz w:val="24"/>
            <w:u w:val="double"/>
          </w:rPr>
          <w:t>(i)</w:t>
        </w:r>
      </w:ins>
      <w:r>
        <w:rPr>
          <w:sz w:val="24"/>
        </w:rPr>
        <w:t xml:space="preserve"> that certain ISDA Master Agreement dated </w:t>
      </w:r>
      <w:ins w:id="412" w:author="">
        <w:r>
          <w:rPr>
            <w:strike/>
            <w:sz w:val="24"/>
          </w:rPr>
          <w:t>March 31</w:t>
        </w:r>
      </w:ins>
      <w:r>
        <w:rPr>
          <w:sz w:val="24"/>
        </w:rPr>
        <w:t xml:space="preserve"> </w:t>
      </w:r>
      <w:ins w:id="413" w:author="">
        <w:r>
          <w:rPr>
            <w:b/>
            <w:sz w:val="24"/>
            <w:u w:val="double"/>
          </w:rPr>
          <w:t>November [17]</w:t>
        </w:r>
      </w:ins>
      <w:r>
        <w:rPr>
          <w:sz w:val="24"/>
        </w:rPr>
        <w:t xml:space="preserve">, 2000 and executed by the Trust and Enron, </w:t>
      </w:r>
      <w:ins w:id="414" w:author="">
        <w:r>
          <w:rPr>
            <w:b/>
            <w:sz w:val="24"/>
            <w:u w:val="double"/>
          </w:rPr>
          <w:t>together with the Schedule and each Swap Confirmation thereto or (ii) if applicable, each ISDA Master Agreement executed by the Trust and a Permitted Swap Party,</w:t>
        </w:r>
      </w:ins>
      <w:r>
        <w:rPr>
          <w:sz w:val="24"/>
        </w:rPr>
        <w:t xml:space="preserve"> together with the Schedule and each Swap Confirmation thereto.</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Tranche</w:t>
      </w:r>
      <w:r>
        <w:rPr>
          <w:b/>
          <w:sz w:val="24"/>
        </w:rPr>
        <w:t>”</w:t>
      </w:r>
      <w:r>
        <w:rPr>
          <w:sz w:val="24"/>
        </w:rPr>
        <w:t xml:space="preserve"> has the meaning given to such term in Section 2.1.</w:t>
      </w:r>
    </w:p>
    <w:p>
      <w:pPr>
        <w:pStyle w:val="Normal"/>
        <w:bidi w:val="0"/>
        <w:jc w:val="both"/>
        <w:rPr>
          <w:sz w:val="24"/>
        </w:rPr>
      </w:pPr>
      <w:r>
        <w:rPr>
          <w:sz w:val="24"/>
        </w:rPr>
      </w:r>
    </w:p>
    <w:p>
      <w:pPr>
        <w:pStyle w:val="Normal"/>
        <w:bidi w:val="0"/>
        <w:jc w:val="both"/>
        <w:rPr>
          <w:sz w:val="24"/>
        </w:rPr>
      </w:pPr>
      <w:r>
        <w:rPr>
          <w:sz w:val="24"/>
        </w:rPr>
        <w:tab/>
      </w:r>
      <w:ins w:id="415" w:author="">
        <w:r>
          <w:rPr>
            <w:b/>
            <w:sz w:val="24"/>
            <w:u w:val="double"/>
          </w:rPr>
          <w:t>** 2</w:t>
        </w:r>
      </w:ins>
      <w:r>
        <w:rPr>
          <w:sz w:val="24"/>
        </w:rPr>
        <w:t xml:space="preserve"> “</w:t>
      </w:r>
      <w:r>
        <w:rPr>
          <w:b/>
          <w:sz w:val="24"/>
          <w:u w:val="single"/>
        </w:rPr>
        <w:t xml:space="preserve"> </w:t>
      </w:r>
      <w:ins w:id="416" w:author="">
        <w:r>
          <w:rPr>
            <w:b/>
            <w:strike/>
            <w:sz w:val="24"/>
            <w:u w:val="single"/>
          </w:rPr>
          <w:t>Sale</w:t>
        </w:r>
      </w:ins>
      <w:r>
        <w:rPr>
          <w:b/>
          <w:sz w:val="24"/>
          <w:u w:val="single"/>
        </w:rPr>
        <w:t xml:space="preserve"> </w:t>
      </w:r>
      <w:ins w:id="417" w:author="">
        <w:r>
          <w:rPr>
            <w:b/>
            <w:sz w:val="24"/>
            <w:u w:val="double"/>
          </w:rPr>
          <w:t>Transfer</w:t>
        </w:r>
      </w:ins>
      <w:r>
        <w:rPr>
          <w:b/>
          <w:sz w:val="24"/>
          <w:u w:val="single"/>
        </w:rPr>
        <w:t xml:space="preserve"> and Auction Agreement</w:t>
      </w:r>
      <w:r>
        <w:rPr>
          <w:sz w:val="24"/>
        </w:rPr>
        <w:t xml:space="preserve">” means, with respect to each Class B Interest, the related </w:t>
      </w:r>
      <w:ins w:id="418" w:author="">
        <w:r>
          <w:rPr>
            <w:strike/>
            <w:sz w:val="24"/>
          </w:rPr>
          <w:t>Sale</w:t>
        </w:r>
      </w:ins>
      <w:r>
        <w:rPr>
          <w:sz w:val="24"/>
        </w:rPr>
        <w:t xml:space="preserve"> </w:t>
      </w:r>
      <w:ins w:id="419" w:author="">
        <w:r>
          <w:rPr>
            <w:b/>
            <w:sz w:val="24"/>
            <w:u w:val="double"/>
          </w:rPr>
          <w:t>Transfer</w:t>
        </w:r>
      </w:ins>
      <w:r>
        <w:rPr>
          <w:sz w:val="24"/>
        </w:rPr>
        <w:t xml:space="preserve"> and Auction Agreement in substantially the form of Exhibit H (with any amendments that may be approved by the Agent) executed by    the Trust, the applicable Sponsor and the applicable Transferor.</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Transferor</w:t>
      </w:r>
      <w:r>
        <w:rPr>
          <w:b/>
          <w:sz w:val="24"/>
        </w:rPr>
        <w:t>”</w:t>
      </w:r>
      <w:r>
        <w:rPr>
          <w:sz w:val="24"/>
        </w:rPr>
        <w:t xml:space="preserve"> means, with respect to each Tranche and the related Class B Interest, the Person which executes the applicable </w:t>
      </w:r>
      <w:ins w:id="420" w:author="">
        <w:r>
          <w:rPr>
            <w:strike/>
            <w:sz w:val="24"/>
          </w:rPr>
          <w:t>Sale</w:t>
        </w:r>
      </w:ins>
      <w:r>
        <w:rPr>
          <w:sz w:val="24"/>
        </w:rPr>
        <w:t xml:space="preserve"> </w:t>
      </w:r>
      <w:ins w:id="421" w:author="">
        <w:r>
          <w:rPr>
            <w:b/>
            <w:sz w:val="24"/>
            <w:u w:val="double"/>
          </w:rPr>
          <w:t>Transfer</w:t>
        </w:r>
      </w:ins>
      <w:r>
        <w:rPr>
          <w:sz w:val="24"/>
        </w:rPr>
        <w:t xml:space="preserve"> and Auction Agreement and assigns such Class B Interest to the Trust, such Person to be a special purpose entity satisfactory to the Agent and either (i) a Delaware limited liability company constituted by a Transferor LLC Agreement, (ii) a Delaware business trust governed by a trust agreement containing restrictions on activities similar to those contained in Section 2.03 of the Trust Agreement or (iii) any other transferor entity approved by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Transferor Constitutional Document</w:t>
      </w:r>
      <w:r>
        <w:rPr>
          <w:b/>
          <w:sz w:val="24"/>
        </w:rPr>
        <w:t>”</w:t>
      </w:r>
      <w:r>
        <w:rPr>
          <w:sz w:val="24"/>
        </w:rPr>
        <w:t xml:space="preserve"> means (i) if the Transferor is a Delaware limited liability company newly formed in respect of the applicable Series, a Transferor LLC Agreement; (ii) if the Transferor is a Delaware business trust, the trust agreement constituting the trust; or (iii) if the Transferor is another type of entity, the governing document or documents constituting such entity in each case, reasonably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Transferor LLC Agreement</w:t>
      </w:r>
      <w:r>
        <w:rPr>
          <w:b/>
          <w:sz w:val="24"/>
        </w:rPr>
        <w:t>”</w:t>
      </w:r>
      <w:r>
        <w:rPr>
          <w:sz w:val="24"/>
        </w:rPr>
        <w:t xml:space="preserve"> means a limited liability company agreement substantially in the form of Part 2 of Exhibit I (with such amendments as the Agent may approve) .</w:t>
      </w:r>
    </w:p>
    <w:p>
      <w:pPr>
        <w:pStyle w:val="Normal"/>
        <w:bidi w:val="0"/>
        <w:jc w:val="both"/>
        <w:rPr>
          <w:sz w:val="24"/>
        </w:rPr>
      </w:pPr>
      <w:r>
        <w:rPr>
          <w:sz w:val="24"/>
        </w:rPr>
      </w:r>
    </w:p>
    <w:p>
      <w:pPr>
        <w:pStyle w:val="Normal"/>
        <w:bidi w:val="0"/>
        <w:jc w:val="both"/>
        <w:rPr>
          <w:sz w:val="24"/>
        </w:rPr>
      </w:pPr>
      <w:r>
        <w:rPr>
          <w:b/>
          <w:sz w:val="24"/>
        </w:rPr>
        <w:tab/>
        <w:t>“</w:t>
      </w:r>
      <w:r>
        <w:rPr>
          <w:b/>
          <w:sz w:val="24"/>
          <w:u w:val="single"/>
        </w:rPr>
        <w:t>Trust</w:t>
      </w:r>
      <w:r>
        <w:rPr>
          <w:b/>
          <w:sz w:val="24"/>
        </w:rPr>
        <w:t>”</w:t>
      </w:r>
      <w:r>
        <w:rPr>
          <w:sz w:val="24"/>
        </w:rPr>
        <w:t xml:space="preserve"> has the meaning given to that term in the introductory paragraph to this Agreement.</w:t>
      </w:r>
    </w:p>
    <w:p>
      <w:pPr>
        <w:pStyle w:val="Normal"/>
        <w:bidi w:val="0"/>
        <w:jc w:val="both"/>
        <w:rPr>
          <w:sz w:val="24"/>
        </w:rPr>
      </w:pPr>
      <w:r>
        <w:rPr>
          <w:sz w:val="24"/>
        </w:rPr>
      </w:r>
    </w:p>
    <w:p>
      <w:pPr>
        <w:pStyle w:val="Normal"/>
        <w:bidi w:val="0"/>
        <w:jc w:val="both"/>
        <w:rPr>
          <w:sz w:val="24"/>
        </w:rPr>
      </w:pPr>
      <w:r>
        <w:rPr>
          <w:b/>
          <w:sz w:val="24"/>
        </w:rPr>
        <w:tab/>
        <w:t>“</w:t>
      </w:r>
      <w:r>
        <w:rPr>
          <w:b/>
          <w:sz w:val="24"/>
          <w:u w:val="single"/>
        </w:rPr>
        <w:t>Trust Agreement</w:t>
      </w:r>
      <w:r>
        <w:rPr>
          <w:b/>
          <w:sz w:val="24"/>
        </w:rPr>
        <w:t>”</w:t>
      </w:r>
      <w:r>
        <w:rPr>
          <w:sz w:val="24"/>
        </w:rPr>
        <w:t xml:space="preserve"> means the Trust Agreement </w:t>
      </w:r>
      <w:ins w:id="422" w:author="">
        <w:r>
          <w:rPr>
            <w:strike/>
            <w:sz w:val="24"/>
          </w:rPr>
          <w:t>creating the</w:t>
        </w:r>
      </w:ins>
      <w:r>
        <w:rPr>
          <w:sz w:val="24"/>
        </w:rPr>
        <w:t xml:space="preserve"> </w:t>
      </w:r>
      <w:ins w:id="423" w:author="">
        <w:r>
          <w:rPr>
            <w:b/>
            <w:sz w:val="24"/>
            <w:u w:val="double"/>
          </w:rPr>
          <w:t>of Hawaii I 125</w:t>
          <w:noBreakHyphen/>
          <w:t>0</w:t>
        </w:r>
      </w:ins>
      <w:r>
        <w:rPr>
          <w:sz w:val="24"/>
        </w:rPr>
        <w:t xml:space="preserve"> Trust, dated as of </w:t>
      </w:r>
      <w:ins w:id="424" w:author="">
        <w:r>
          <w:rPr>
            <w:strike/>
            <w:sz w:val="24"/>
          </w:rPr>
          <w:t>March 31, 2000, and amended and restated on the date hereof and</w:t>
        </w:r>
      </w:ins>
      <w:r>
        <w:rPr>
          <w:sz w:val="24"/>
        </w:rPr>
        <w:t xml:space="preserve"> </w:t>
      </w:r>
      <w:ins w:id="425" w:author="">
        <w:r>
          <w:rPr>
            <w:b/>
            <w:sz w:val="24"/>
            <w:u w:val="double"/>
          </w:rPr>
          <w:t xml:space="preserve">November [17], 2000, </w:t>
        </w:r>
      </w:ins>
      <w:r>
        <w:rPr>
          <w:sz w:val="24"/>
        </w:rPr>
        <w:t xml:space="preserve">executed by Wilmington Trust Company, as Owner Trustee, and the initial Certificate Holder, and consented to by the Lenders by means of execution of this Agreement, as </w:t>
      </w:r>
      <w:ins w:id="426" w:author="">
        <w:r>
          <w:rPr>
            <w:b/>
            <w:sz w:val="24"/>
            <w:u w:val="double"/>
          </w:rPr>
          <w:t>such agreement</w:t>
        </w:r>
      </w:ins>
      <w:r>
        <w:rPr>
          <w:sz w:val="24"/>
        </w:rPr>
        <w:t xml:space="preserve"> may be </w:t>
      </w:r>
      <w:ins w:id="427" w:author="">
        <w:r>
          <w:rPr>
            <w:strike/>
            <w:sz w:val="24"/>
          </w:rPr>
          <w:t>further</w:t>
        </w:r>
      </w:ins>
      <w:r>
        <w:rPr>
          <w:sz w:val="24"/>
        </w:rPr>
        <w:t xml:space="preserve"> amended, supplemented or restated after the date hereof.</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Trust Property</w:t>
      </w:r>
      <w:r>
        <w:rPr>
          <w:b/>
          <w:sz w:val="24"/>
        </w:rPr>
        <w:t>”</w:t>
      </w:r>
      <w:r>
        <w:rPr>
          <w:sz w:val="24"/>
        </w:rPr>
        <w:t xml:space="preserve"> has the meaning given to such term in the Trust Agreement .</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Underlying Assets</w:t>
      </w:r>
      <w:r>
        <w:rPr>
          <w:b/>
          <w:sz w:val="24"/>
        </w:rPr>
        <w:t>”</w:t>
      </w:r>
      <w:r>
        <w:rPr>
          <w:sz w:val="24"/>
        </w:rPr>
        <w:t xml:space="preserve"> means, with respect to any Series, the assets owned by or to be transferred to the applicable Asset LLC by the Sponsor pursuant to the applicable Asset LLC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Unpaid Sum</w:t>
      </w:r>
      <w:r>
        <w:rPr>
          <w:b/>
          <w:sz w:val="24"/>
        </w:rPr>
        <w:t>”</w:t>
      </w:r>
      <w:r>
        <w:rPr>
          <w:sz w:val="24"/>
        </w:rPr>
        <w:t xml:space="preserve"> has the meaning given to such term in Section 8.3(a).</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1.2   Interpretation " \l 1 </w:instrText>
      </w:r>
      <w:r>
        <w:rPr>
          <w:sz w:val="24"/>
        </w:rPr>
        <w:fldChar w:fldCharType="separate"/>
      </w:r>
      <w:r>
        <w:rPr>
          <w:sz w:val="24"/>
        </w:rPr>
      </w:r>
      <w:r>
        <w:rPr>
          <w:sz w:val="24"/>
        </w:rPr>
        <w:fldChar w:fldCharType="end"/>
      </w:r>
      <w:r>
        <w:rPr>
          <w:sz w:val="24"/>
        </w:rPr>
        <w:t>.    In this Agreement, unless the context otherwise requires, a reference to:</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 xml:space="preserve">a </w:t>
      </w:r>
      <w:r>
        <w:rPr>
          <w:b/>
          <w:sz w:val="24"/>
        </w:rPr>
        <w:t>“</w:t>
      </w:r>
      <w:r>
        <w:rPr>
          <w:b/>
          <w:sz w:val="24"/>
          <w:u w:val="single"/>
        </w:rPr>
        <w:t>Month</w:t>
      </w:r>
      <w:r>
        <w:rPr>
          <w:b/>
          <w:sz w:val="24"/>
        </w:rPr>
        <w:t>”</w:t>
      </w:r>
      <w:r>
        <w:rPr>
          <w:sz w:val="24"/>
        </w:rPr>
        <w:t xml:space="preserve"> means (except where used in the expression</w:t>
      </w:r>
      <w:r>
        <w:rPr>
          <w:b/>
          <w:sz w:val="24"/>
        </w:rPr>
        <w:t xml:space="preserve"> “</w:t>
      </w:r>
      <w:r>
        <w:rPr>
          <w:b/>
          <w:sz w:val="24"/>
          <w:u w:val="single"/>
        </w:rPr>
        <w:t>calendar month</w:t>
      </w:r>
      <w:r>
        <w:rPr>
          <w:b/>
          <w:sz w:val="24"/>
        </w:rPr>
        <w:t>”</w:t>
      </w:r>
      <w:r>
        <w:rPr>
          <w:sz w:val="24"/>
        </w:rPr>
        <w:t xml:space="preserve">) a period starting on one day in a calendar month and ending on the numerically corresponding day in the next calendar month (or in a subsequent calendar month in the case of the plural </w:t>
      </w:r>
      <w:r>
        <w:rPr>
          <w:b/>
          <w:sz w:val="24"/>
        </w:rPr>
        <w:t>“</w:t>
      </w:r>
      <w:r>
        <w:rPr>
          <w:b/>
          <w:sz w:val="24"/>
          <w:u w:val="single"/>
        </w:rPr>
        <w:t>months</w:t>
      </w:r>
      <w:r>
        <w:rPr>
          <w:b/>
          <w:sz w:val="24"/>
        </w:rPr>
        <w:t>”</w:t>
      </w:r>
      <w:r>
        <w:rPr>
          <w:sz w:val="24"/>
        </w:rPr>
        <w:t>), provided that if:</w:t>
      </w:r>
    </w:p>
    <w:p>
      <w:pPr>
        <w:pStyle w:val="Normal"/>
        <w:bidi w:val="0"/>
        <w:spacing w:before="0" w:after="240"/>
        <w:ind w:hanging="0" w:start="720"/>
        <w:jc w:val="both"/>
        <w:rPr>
          <w:sz w:val="24"/>
        </w:rPr>
      </w:pPr>
      <w:r>
        <w:rPr>
          <w:sz w:val="24"/>
        </w:rPr>
        <w:tab/>
        <w:t>(i)</w:t>
        <w:tab/>
        <w:t>any such period would otherwise end on a day which is not a Business Day, it shall end on the next Business Day in the same calendar month, or if none, on the preceding Business Day, and</w:t>
      </w:r>
    </w:p>
    <w:p>
      <w:pPr>
        <w:pStyle w:val="Normal"/>
        <w:bidi w:val="0"/>
        <w:spacing w:before="0" w:after="240"/>
        <w:ind w:hanging="0" w:start="720"/>
        <w:jc w:val="both"/>
        <w:rPr>
          <w:sz w:val="24"/>
        </w:rPr>
      </w:pPr>
      <w:r>
        <w:rPr>
          <w:sz w:val="24"/>
        </w:rPr>
        <w:tab/>
        <w:t>(ii)</w:t>
        <w:tab/>
        <w:t>a period starts on the last Business Day in a calendar month or if there is no numerically corresponding day in the month in which that period ends, that period shall end on the last Business Day in that later month.</w:t>
      </w:r>
    </w:p>
    <w:p>
      <w:pPr>
        <w:pStyle w:val="Normal"/>
        <w:bidi w:val="0"/>
        <w:spacing w:before="0" w:after="240"/>
        <w:jc w:val="both"/>
        <w:rPr>
          <w:sz w:val="24"/>
        </w:rPr>
      </w:pPr>
      <w:r>
        <w:rPr>
          <w:sz w:val="24"/>
        </w:rPr>
        <w:tab/>
        <w:t>(b)</w:t>
        <w:tab/>
        <w:t>a reference to the Trust or a Finance Party is, where relevant, deemed to be a reference to or to include, as appropriate, their respective successors or assigns;</w:t>
      </w:r>
    </w:p>
    <w:p>
      <w:pPr>
        <w:pStyle w:val="Normal"/>
        <w:bidi w:val="0"/>
        <w:spacing w:before="0" w:after="240"/>
        <w:jc w:val="both"/>
        <w:rPr>
          <w:sz w:val="24"/>
        </w:rPr>
      </w:pPr>
      <w:r>
        <w:rPr>
          <w:sz w:val="24"/>
        </w:rPr>
        <w:tab/>
        <w:t>(c)</w:t>
        <w:tab/>
        <w:t>references to Articles, Sections, Schedules and Exhibits are references to, respectively, articles and sections of and schedules and exhibits to this Agreement;</w:t>
      </w:r>
    </w:p>
    <w:p>
      <w:pPr>
        <w:pStyle w:val="Normal"/>
        <w:bidi w:val="0"/>
        <w:spacing w:before="0" w:after="240"/>
        <w:jc w:val="both"/>
        <w:rPr>
          <w:sz w:val="24"/>
        </w:rPr>
      </w:pPr>
      <w:r>
        <w:rPr>
          <w:sz w:val="24"/>
        </w:rPr>
        <w:tab/>
        <w:t>(d)</w:t>
        <w:tab/>
        <w:t>a reference to any agreement, deed or other instrument (including any of the Operative Documents) is to be construed as a reference to that agreement, deed or other instrument as it may have been or hereafter be, from time to time, amended, varied, supplemented, restated or novated but excluding for this purpose any amendment, variation, supplement or modification which is contrary to any provision of any of the Operative Documents;</w:t>
      </w:r>
    </w:p>
    <w:p>
      <w:pPr>
        <w:pStyle w:val="Normal"/>
        <w:bidi w:val="0"/>
        <w:spacing w:before="0" w:after="240"/>
        <w:jc w:val="both"/>
        <w:rPr>
          <w:sz w:val="24"/>
        </w:rPr>
      </w:pPr>
      <w:r>
        <w:rPr>
          <w:sz w:val="24"/>
        </w:rPr>
        <w:tab/>
        <w:t>(e)</w:t>
        <w:tab/>
        <w:t>a reference to a statute, law, rule, regulation or statutory instrument is to be construed as a reference to that statute as the same may have been or may from time to time hereafter be, amended or re</w:t>
        <w:noBreakHyphen/>
        <w:t>enacted and any includes any successor thereto;</w:t>
      </w:r>
    </w:p>
    <w:p>
      <w:pPr>
        <w:pStyle w:val="Normal"/>
        <w:bidi w:val="0"/>
        <w:spacing w:before="0" w:after="240"/>
        <w:jc w:val="both"/>
        <w:rPr>
          <w:sz w:val="24"/>
        </w:rPr>
      </w:pPr>
      <w:r>
        <w:rPr>
          <w:sz w:val="24"/>
        </w:rPr>
        <w:tab/>
        <w:t>(f)</w:t>
        <w:tab/>
        <w:t>unless otherwise specified, a time of day is a reference to New York, New York time;</w:t>
      </w:r>
    </w:p>
    <w:p>
      <w:pPr>
        <w:pStyle w:val="Normal"/>
        <w:bidi w:val="0"/>
        <w:spacing w:before="0" w:after="240"/>
        <w:jc w:val="both"/>
        <w:rPr>
          <w:sz w:val="24"/>
        </w:rPr>
      </w:pPr>
      <w:r>
        <w:rPr>
          <w:sz w:val="24"/>
        </w:rPr>
        <w:tab/>
        <w:t>(g)</w:t>
        <w:tab/>
        <w:t>the index to and the headings in this Agreement are inserted for convenience only and are to be ignored in construing this Agreement;</w:t>
      </w:r>
    </w:p>
    <w:p>
      <w:pPr>
        <w:pStyle w:val="Normal"/>
        <w:bidi w:val="0"/>
        <w:spacing w:before="0" w:after="240"/>
        <w:jc w:val="both"/>
        <w:rPr>
          <w:sz w:val="24"/>
        </w:rPr>
      </w:pPr>
      <w:r>
        <w:rPr>
          <w:sz w:val="24"/>
        </w:rPr>
        <w:tab/>
        <w:t>(h)</w:t>
        <w:tab/>
        <w:t xml:space="preserve">references to the singular shall include the plural and </w:t>
      </w:r>
      <w:r>
        <w:rPr>
          <w:sz w:val="24"/>
          <w:u w:val="single"/>
        </w:rPr>
        <w:t>vice</w:t>
      </w:r>
      <w:r>
        <w:rPr>
          <w:sz w:val="24"/>
        </w:rPr>
        <w:t xml:space="preserve"> </w:t>
      </w:r>
      <w:r>
        <w:rPr>
          <w:sz w:val="24"/>
          <w:u w:val="single"/>
        </w:rPr>
        <w:t>versa</w:t>
      </w:r>
      <w:r>
        <w:rPr>
          <w:sz w:val="24"/>
        </w:rPr>
        <w:t xml:space="preserve">, and reference by way of masculine pronoun or adjective shall include references by way of the feminine, and </w:t>
      </w:r>
      <w:r>
        <w:rPr>
          <w:sz w:val="24"/>
          <w:u w:val="single"/>
        </w:rPr>
        <w:t>vice</w:t>
      </w:r>
      <w:r>
        <w:rPr>
          <w:sz w:val="24"/>
        </w:rPr>
        <w:t xml:space="preserve"> </w:t>
      </w:r>
      <w:r>
        <w:rPr>
          <w:sz w:val="24"/>
          <w:u w:val="single"/>
        </w:rPr>
        <w:t>versa</w:t>
      </w:r>
      <w:r>
        <w:rPr>
          <w:sz w:val="24"/>
        </w:rPr>
        <w:t>;</w:t>
      </w:r>
    </w:p>
    <w:p>
      <w:pPr>
        <w:pStyle w:val="Normal"/>
        <w:bidi w:val="0"/>
        <w:spacing w:before="0" w:after="240"/>
        <w:jc w:val="both"/>
        <w:rPr>
          <w:sz w:val="24"/>
        </w:rPr>
      </w:pPr>
      <w:r>
        <w:rPr>
          <w:sz w:val="24"/>
        </w:rPr>
        <w:tab/>
        <w:t>(i)</w:t>
        <w:tab/>
        <w:t>accounting terms are to be construed in accordance with GAAP;</w:t>
      </w:r>
    </w:p>
    <w:p>
      <w:pPr>
        <w:pStyle w:val="Normal"/>
        <w:bidi w:val="0"/>
        <w:spacing w:before="0" w:after="240"/>
        <w:jc w:val="both"/>
        <w:rPr>
          <w:sz w:val="24"/>
        </w:rPr>
      </w:pPr>
      <w:r>
        <w:rPr>
          <w:sz w:val="24"/>
        </w:rPr>
        <w:tab/>
        <w:t>(j)</w:t>
        <w:tab/>
        <w:t>references to</w:t>
      </w:r>
      <w:r>
        <w:rPr>
          <w:b/>
          <w:sz w:val="24"/>
        </w:rPr>
        <w:t xml:space="preserve"> “</w:t>
      </w:r>
      <w:r>
        <w:rPr>
          <w:b/>
          <w:sz w:val="24"/>
          <w:u w:val="single"/>
        </w:rPr>
        <w:t>continue</w:t>
      </w:r>
      <w:r>
        <w:rPr>
          <w:b/>
          <w:sz w:val="24"/>
        </w:rPr>
        <w:t>”</w:t>
      </w:r>
      <w:r>
        <w:rPr>
          <w:sz w:val="24"/>
        </w:rPr>
        <w:t xml:space="preserve">, </w:t>
      </w:r>
      <w:r>
        <w:rPr>
          <w:b/>
          <w:sz w:val="24"/>
        </w:rPr>
        <w:t>“</w:t>
      </w:r>
      <w:r>
        <w:rPr>
          <w:b/>
          <w:sz w:val="24"/>
          <w:u w:val="single"/>
        </w:rPr>
        <w:t>continuation</w:t>
      </w:r>
      <w:r>
        <w:rPr>
          <w:b/>
          <w:sz w:val="24"/>
        </w:rPr>
        <w:t>”</w:t>
      </w:r>
      <w:r>
        <w:rPr>
          <w:sz w:val="24"/>
        </w:rPr>
        <w:t xml:space="preserve"> and </w:t>
      </w:r>
      <w:r>
        <w:rPr>
          <w:b/>
          <w:sz w:val="24"/>
        </w:rPr>
        <w:t>“</w:t>
      </w:r>
      <w:r>
        <w:rPr>
          <w:b/>
          <w:sz w:val="24"/>
          <w:u w:val="single"/>
        </w:rPr>
        <w:t>continued</w:t>
      </w:r>
      <w:r>
        <w:rPr>
          <w:b/>
          <w:sz w:val="24"/>
        </w:rPr>
        <w:t>”</w:t>
      </w:r>
      <w:r>
        <w:rPr>
          <w:sz w:val="24"/>
        </w:rPr>
        <w:t xml:space="preserve"> shall refer to the continuation pursuant hereto of a LIBOR Advance as such from one Interest Period to the next;</w:t>
      </w:r>
    </w:p>
    <w:p>
      <w:pPr>
        <w:pStyle w:val="Normal"/>
        <w:bidi w:val="0"/>
        <w:spacing w:before="0" w:after="240"/>
        <w:jc w:val="both"/>
        <w:rPr>
          <w:sz w:val="24"/>
        </w:rPr>
      </w:pPr>
      <w:r>
        <w:rPr>
          <w:sz w:val="24"/>
        </w:rPr>
        <w:tab/>
        <w:t>(k)</w:t>
        <w:tab/>
        <w:t xml:space="preserve">references to </w:t>
      </w:r>
      <w:r>
        <w:rPr>
          <w:b/>
          <w:sz w:val="24"/>
        </w:rPr>
        <w:t>“</w:t>
      </w:r>
      <w:r>
        <w:rPr>
          <w:b/>
          <w:sz w:val="24"/>
          <w:u w:val="single"/>
        </w:rPr>
        <w:t>convert</w:t>
      </w:r>
      <w:r>
        <w:rPr>
          <w:b/>
          <w:sz w:val="24"/>
        </w:rPr>
        <w:t>”</w:t>
      </w:r>
      <w:r>
        <w:rPr>
          <w:sz w:val="24"/>
        </w:rPr>
        <w:t xml:space="preserve">, </w:t>
      </w:r>
      <w:r>
        <w:rPr>
          <w:b/>
          <w:sz w:val="24"/>
        </w:rPr>
        <w:t>“</w:t>
      </w:r>
      <w:r>
        <w:rPr>
          <w:b/>
          <w:sz w:val="24"/>
          <w:u w:val="single"/>
        </w:rPr>
        <w:t>conversion</w:t>
      </w:r>
      <w:r>
        <w:rPr>
          <w:b/>
          <w:sz w:val="24"/>
        </w:rPr>
        <w:t>”</w:t>
      </w:r>
      <w:r>
        <w:rPr>
          <w:sz w:val="24"/>
        </w:rPr>
        <w:t xml:space="preserve"> and </w:t>
      </w:r>
      <w:r>
        <w:rPr>
          <w:b/>
          <w:sz w:val="24"/>
        </w:rPr>
        <w:t>“</w:t>
      </w:r>
      <w:r>
        <w:rPr>
          <w:b/>
          <w:sz w:val="24"/>
          <w:u w:val="single"/>
        </w:rPr>
        <w:t>converted</w:t>
      </w:r>
      <w:r>
        <w:rPr>
          <w:b/>
          <w:sz w:val="24"/>
        </w:rPr>
        <w:t>”</w:t>
      </w:r>
      <w:r>
        <w:rPr>
          <w:sz w:val="24"/>
        </w:rPr>
        <w:t xml:space="preserve"> shall refer to the conversion pursuant hereto of LIBOR Advances into Alternate Base Rate Advances and </w:t>
      </w:r>
      <w:r>
        <w:rPr>
          <w:sz w:val="24"/>
          <w:u w:val="single"/>
        </w:rPr>
        <w:t>vice</w:t>
      </w:r>
      <w:r>
        <w:rPr>
          <w:sz w:val="24"/>
        </w:rPr>
        <w:t xml:space="preserve"> </w:t>
      </w:r>
      <w:r>
        <w:rPr>
          <w:sz w:val="24"/>
          <w:u w:val="single"/>
        </w:rPr>
        <w:t>versa</w:t>
      </w:r>
      <w:r>
        <w:rPr>
          <w:sz w:val="24"/>
        </w:rPr>
        <w:t>; and</w:t>
      </w:r>
    </w:p>
    <w:p>
      <w:pPr>
        <w:pStyle w:val="Normal"/>
        <w:keepNext w:val="true"/>
        <w:bidi w:val="0"/>
        <w:spacing w:before="0" w:after="240"/>
        <w:jc w:val="both"/>
        <w:rPr>
          <w:sz w:val="24"/>
        </w:rPr>
      </w:pPr>
      <w:r>
        <w:rPr>
          <w:sz w:val="24"/>
        </w:rPr>
        <w:tab/>
        <w:t>(l)</w:t>
        <w:tab/>
        <w:t xml:space="preserve">references to a </w:t>
      </w:r>
      <w:r>
        <w:rPr>
          <w:b/>
          <w:sz w:val="24"/>
        </w:rPr>
        <w:t>“</w:t>
      </w:r>
      <w:r>
        <w:rPr>
          <w:b/>
          <w:sz w:val="24"/>
          <w:u w:val="single"/>
        </w:rPr>
        <w:t>type</w:t>
      </w:r>
      <w:r>
        <w:rPr>
          <w:b/>
          <w:sz w:val="24"/>
        </w:rPr>
        <w:t>”</w:t>
      </w:r>
      <w:r>
        <w:rPr>
          <w:sz w:val="24"/>
        </w:rPr>
        <w:t xml:space="preserve"> of Advance shall refer to either an Alternate Base Rate Advance or a LIBOR Advance, each of which shall be a type of Advance.</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IITRANCHES AND ADVANCES"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2.1   Tranches " \l 1 </w:instrText>
      </w:r>
      <w:r>
        <w:rPr>
          <w:sz w:val="24"/>
        </w:rPr>
        <w:fldChar w:fldCharType="separate"/>
      </w:r>
      <w:r>
        <w:rPr>
          <w:sz w:val="24"/>
        </w:rPr>
      </w:r>
      <w:r>
        <w:rPr>
          <w:sz w:val="24"/>
        </w:rPr>
        <w:fldChar w:fldCharType="end"/>
      </w:r>
      <w:r>
        <w:rPr>
          <w:sz w:val="24"/>
        </w:rPr>
        <w:t xml:space="preserve">.    The facility extended to the Trust hereunder will be drawn down in tranches (each, a </w:t>
      </w:r>
      <w:r>
        <w:rPr>
          <w:b/>
          <w:sz w:val="24"/>
        </w:rPr>
        <w:t>“</w:t>
      </w:r>
      <w:r>
        <w:rPr>
          <w:b/>
          <w:sz w:val="24"/>
          <w:u w:val="single"/>
        </w:rPr>
        <w:t>Tranche</w:t>
      </w:r>
      <w:r>
        <w:rPr>
          <w:b/>
          <w:sz w:val="24"/>
        </w:rPr>
        <w:t>”</w:t>
      </w:r>
      <w:r>
        <w:rPr>
          <w:sz w:val="24"/>
        </w:rPr>
        <w:t xml:space="preserve">).    Each Tranche will be of an aggregate amount specified in the related Drawdown Request and will comprise Advances made by each of the Lenders.    The Advance to be made by each Lender in respect of each Tranche shall be in an amount equal to the amount of such Tranche multiplied by such Lender’s Percentage Commitment.    A Series shall be created in respect of each Tranche pursuant to a Series Supplement. </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2.2   Advances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 xml:space="preserve">Each Lender hereby severally agrees, on the terms and conditions of this Agreement, to make advances from time to time </w:t>
      </w:r>
      <w:ins w:id="428" w:author="">
        <w:r>
          <w:rPr>
            <w:b/>
            <w:sz w:val="24"/>
            <w:u w:val="double"/>
          </w:rPr>
          <w:t>on or</w:t>
        </w:r>
      </w:ins>
      <w:r>
        <w:rPr>
          <w:sz w:val="24"/>
        </w:rPr>
        <w:t xml:space="preserve"> prior to the </w:t>
      </w:r>
      <w:ins w:id="429" w:author="">
        <w:r>
          <w:rPr>
            <w:strike/>
            <w:sz w:val="24"/>
          </w:rPr>
          <w:t>Maturity</w:t>
        </w:r>
      </w:ins>
      <w:r>
        <w:rPr>
          <w:sz w:val="24"/>
        </w:rPr>
        <w:t xml:space="preserve"> </w:t>
      </w:r>
      <w:ins w:id="430" w:author="">
        <w:r>
          <w:rPr>
            <w:b/>
            <w:sz w:val="24"/>
            <w:u w:val="double"/>
          </w:rPr>
          <w:t>Final Advance</w:t>
        </w:r>
      </w:ins>
      <w:r>
        <w:rPr>
          <w:sz w:val="24"/>
        </w:rPr>
        <w:t xml:space="preserve"> Date to the Trust in Dollars on the terms and subject to the conditions of this Agreement in an aggregate principal amount equal to (but not exceeding) the amount of such Lender’s Commitment in effect from time to time (each, an </w:t>
      </w:r>
      <w:r>
        <w:rPr>
          <w:b/>
          <w:sz w:val="24"/>
        </w:rPr>
        <w:t>“</w:t>
      </w:r>
      <w:r>
        <w:rPr>
          <w:b/>
          <w:sz w:val="24"/>
          <w:u w:val="single"/>
        </w:rPr>
        <w:t>Advance</w:t>
      </w:r>
      <w:r>
        <w:rPr>
          <w:b/>
          <w:sz w:val="24"/>
        </w:rPr>
        <w:t>”</w:t>
      </w:r>
      <w:r>
        <w:rPr>
          <w:sz w:val="24"/>
        </w:rPr>
        <w:t xml:space="preserve"> and, collectively with all such Advances made by the Lenders hereunder including those maintained by the Lenders from time to time hereunder pursuant to an assignment or assignments of all or part of the initial Advances, the </w:t>
      </w:r>
      <w:r>
        <w:rPr>
          <w:b/>
          <w:sz w:val="24"/>
        </w:rPr>
        <w:t>“</w:t>
      </w:r>
      <w:r>
        <w:rPr>
          <w:b/>
          <w:sz w:val="24"/>
          <w:u w:val="single"/>
        </w:rPr>
        <w:t>Advances</w:t>
      </w:r>
      <w:r>
        <w:rPr>
          <w:b/>
          <w:sz w:val="24"/>
        </w:rPr>
        <w:t>”</w:t>
      </w:r>
      <w:r>
        <w:rPr>
          <w:sz w:val="24"/>
        </w:rPr>
        <w:t>).    Within the limits of each Bank’s Commitment, the Trust may borrow Advances, repay Advances in accordance with Article VI, prepay Advances in accordance with Article VII and reborrow Advances under and subject to the terms and conditions of this Agreement.</w:t>
      </w:r>
    </w:p>
    <w:p>
      <w:pPr>
        <w:pStyle w:val="Normal"/>
        <w:bidi w:val="0"/>
        <w:spacing w:before="0" w:after="240"/>
        <w:jc w:val="both"/>
        <w:rPr>
          <w:sz w:val="24"/>
        </w:rPr>
      </w:pPr>
      <w:r>
        <w:rPr>
          <w:sz w:val="24"/>
        </w:rPr>
        <w:tab/>
        <w:t>(b)</w:t>
        <w:tab/>
        <w:t xml:space="preserve">The proceeds of each Tranche drawn down hereunder shall be used by the Trust to </w:t>
      </w:r>
      <w:ins w:id="431" w:author="">
        <w:r>
          <w:rPr>
            <w:strike/>
            <w:sz w:val="24"/>
          </w:rPr>
          <w:t>purchase</w:t>
        </w:r>
      </w:ins>
      <w:r>
        <w:rPr>
          <w:sz w:val="24"/>
        </w:rPr>
        <w:t xml:space="preserve"> </w:t>
      </w:r>
      <w:ins w:id="432" w:author="">
        <w:r>
          <w:rPr>
            <w:b/>
            <w:sz w:val="24"/>
            <w:u w:val="double"/>
          </w:rPr>
          <w:t>acquire</w:t>
        </w:r>
      </w:ins>
      <w:r>
        <w:rPr>
          <w:sz w:val="24"/>
        </w:rPr>
        <w:t xml:space="preserve"> the Class B Interest in the Asset LLC to which such Tranche relates (as specified in the applicable Asset Notice) pursuant to a </w:t>
      </w:r>
      <w:ins w:id="433" w:author="">
        <w:r>
          <w:rPr>
            <w:strike/>
            <w:sz w:val="24"/>
          </w:rPr>
          <w:t>Sale</w:t>
        </w:r>
      </w:ins>
      <w:r>
        <w:rPr>
          <w:sz w:val="24"/>
        </w:rPr>
        <w:t xml:space="preserve"> </w:t>
      </w:r>
      <w:ins w:id="434" w:author="">
        <w:r>
          <w:rPr>
            <w:b/>
            <w:sz w:val="24"/>
            <w:u w:val="double"/>
          </w:rPr>
          <w:t>Transfer</w:t>
        </w:r>
      </w:ins>
      <w:r>
        <w:rPr>
          <w:sz w:val="24"/>
        </w:rPr>
        <w:t xml:space="preserve"> and Auction Agreement and for no other purpose</w:t>
      </w:r>
      <w:ins w:id="435" w:author="">
        <w:r>
          <w:rPr>
            <w:b/>
            <w:sz w:val="24"/>
            <w:u w:val="double"/>
          </w:rPr>
          <w:t>, except that the parties hereto agree and acknowledge that from time to time the Trust may use the proceeds of a Tranche to acquire a Class B Interest in an Asset LLC from the Hawaii II 125</w:t>
          <w:noBreakHyphen/>
          <w:t>0 Trust, a Delaware business trust, (such Tranches being referred to herein as the “</w:t>
        </w:r>
      </w:ins>
      <w:ins w:id="436" w:author="">
        <w:r>
          <w:rPr>
            <w:b/>
            <w:i/>
            <w:sz w:val="24"/>
            <w:u w:val="double"/>
          </w:rPr>
          <w:t>Hawaii II Tranches</w:t>
        </w:r>
      </w:ins>
      <w:ins w:id="437" w:author="">
        <w:r>
          <w:rPr>
            <w:b/>
            <w:sz w:val="24"/>
            <w:u w:val="double"/>
          </w:rPr>
          <w:t>”)</w:t>
        </w:r>
      </w:ins>
      <w:r>
        <w:rPr>
          <w:sz w:val="24"/>
        </w:rPr>
        <w:t>.</w:t>
      </w:r>
    </w:p>
    <w:p>
      <w:pPr>
        <w:pStyle w:val="Normal"/>
        <w:keepNext w:val="true"/>
        <w:bidi w:val="0"/>
        <w:spacing w:before="0" w:after="240"/>
        <w:jc w:val="both"/>
        <w:rPr>
          <w:sz w:val="24"/>
        </w:rPr>
      </w:pPr>
      <w:r>
        <w:rPr>
          <w:sz w:val="24"/>
        </w:rPr>
        <w:tab/>
        <w:t>(c)</w:t>
        <w:tab/>
        <w:t xml:space="preserve">Each Lender’s obligation to make Advances shall terminate </w:t>
      </w:r>
      <w:ins w:id="438" w:author="">
        <w:r>
          <w:rPr>
            <w:b/>
            <w:sz w:val="24"/>
            <w:u w:val="double"/>
          </w:rPr>
          <w:t>at [2:00 p.m.]</w:t>
        </w:r>
      </w:ins>
      <w:r>
        <w:rPr>
          <w:sz w:val="24"/>
        </w:rPr>
        <w:t xml:space="preserve"> on the </w:t>
      </w:r>
      <w:ins w:id="439" w:author="">
        <w:r>
          <w:rPr>
            <w:strike/>
            <w:sz w:val="24"/>
          </w:rPr>
          <w:t>Maturity</w:t>
        </w:r>
      </w:ins>
      <w:r>
        <w:rPr>
          <w:sz w:val="24"/>
        </w:rPr>
        <w:t xml:space="preserve"> </w:t>
      </w:r>
      <w:ins w:id="440" w:author="">
        <w:r>
          <w:rPr>
            <w:b/>
            <w:sz w:val="24"/>
            <w:u w:val="double"/>
          </w:rPr>
          <w:t>Final Advance</w:t>
        </w:r>
      </w:ins>
      <w:r>
        <w:rPr>
          <w:sz w:val="24"/>
        </w:rPr>
        <w:t xml:space="preserve"> Date and the Commitments shall reduce to zero </w:t>
      </w:r>
      <w:ins w:id="441" w:author="">
        <w:r>
          <w:rPr>
            <w:b/>
            <w:sz w:val="24"/>
            <w:u w:val="double"/>
          </w:rPr>
          <w:t>at [2:00 p.m.]</w:t>
        </w:r>
      </w:ins>
      <w:r>
        <w:rPr>
          <w:sz w:val="24"/>
        </w:rPr>
        <w:t xml:space="preserve"> on the </w:t>
      </w:r>
      <w:ins w:id="442" w:author="">
        <w:r>
          <w:rPr>
            <w:strike/>
            <w:sz w:val="24"/>
          </w:rPr>
          <w:t>Maturity</w:t>
        </w:r>
      </w:ins>
      <w:r>
        <w:rPr>
          <w:sz w:val="24"/>
        </w:rPr>
        <w:t xml:space="preserve"> </w:t>
      </w:r>
      <w:ins w:id="443" w:author="">
        <w:r>
          <w:rPr>
            <w:b/>
            <w:sz w:val="24"/>
            <w:u w:val="double"/>
          </w:rPr>
          <w:t>Final Advance</w:t>
        </w:r>
      </w:ins>
      <w:r>
        <w:rPr>
          <w:sz w:val="24"/>
        </w:rPr>
        <w:t xml:space="preserve"> Date.</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IIIPARTICIPATION OF LENDERS"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3.1   Funding Office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Next w:val="true"/>
        <w:keepLines/>
        <w:bidi w:val="0"/>
        <w:spacing w:before="0" w:after="240"/>
        <w:jc w:val="both"/>
        <w:rPr>
          <w:sz w:val="24"/>
        </w:rPr>
      </w:pPr>
      <w:r>
        <w:rPr>
          <w:sz w:val="24"/>
        </w:rPr>
        <w:tab/>
        <w:t>(a)</w:t>
        <w:tab/>
        <w:t>Each Lender will make its Advances through its Funding Office.</w:t>
      </w:r>
    </w:p>
    <w:p>
      <w:pPr>
        <w:pStyle w:val="Normal"/>
        <w:keepLines/>
        <w:bidi w:val="0"/>
        <w:spacing w:before="0" w:after="240"/>
        <w:jc w:val="both"/>
        <w:rPr>
          <w:sz w:val="24"/>
        </w:rPr>
      </w:pPr>
      <w:r>
        <w:rPr>
          <w:sz w:val="24"/>
        </w:rPr>
        <w:tab/>
        <w:t>(b)</w:t>
        <w:tab/>
        <w:t>If any Lender changes its Funding Office, such Lender agrees to notify the Agent and the Trust promptly of such change and, until it does so, the Agent and the Trust shall be entitled to assume that no such change has taken place.</w:t>
      </w:r>
    </w:p>
    <w:p>
      <w:pPr>
        <w:pStyle w:val="Normal"/>
        <w:keepLines/>
        <w:bidi w:val="0"/>
        <w:jc w:val="both"/>
        <w:rPr>
          <w:sz w:val="24"/>
        </w:rPr>
      </w:pPr>
      <w:r>
        <w:rPr>
          <w:sz w:val="24"/>
        </w:rPr>
        <w:tab/>
      </w:r>
      <w:r>
        <w:fldChar w:fldCharType="begin"/>
      </w:r>
      <w:r>
        <w:rPr>
          <w:sz w:val="24"/>
        </w:rPr>
        <w:instrText xml:space="preserve"> TC "Section  3.2   Rights and Obligations of Finance Parties " \l 1 </w:instrText>
      </w:r>
      <w:r>
        <w:rPr>
          <w:sz w:val="24"/>
        </w:rPr>
        <w:fldChar w:fldCharType="separate"/>
      </w:r>
      <w:r>
        <w:rPr>
          <w:sz w:val="24"/>
        </w:rPr>
      </w:r>
      <w:r>
        <w:rPr>
          <w:sz w:val="24"/>
        </w:rPr>
        <w:fldChar w:fldCharType="end"/>
      </w:r>
      <w:r>
        <w:rPr>
          <w:sz w:val="24"/>
        </w:rPr>
        <w:t>.</w:t>
      </w:r>
    </w:p>
    <w:p>
      <w:pPr>
        <w:pStyle w:val="Normal"/>
        <w:keepLines/>
        <w:bidi w:val="0"/>
        <w:jc w:val="both"/>
        <w:rPr>
          <w:sz w:val="24"/>
        </w:rPr>
      </w:pPr>
      <w:r>
        <w:rPr>
          <w:sz w:val="24"/>
        </w:rPr>
      </w:r>
    </w:p>
    <w:p>
      <w:pPr>
        <w:pStyle w:val="Normal"/>
        <w:keepLines/>
        <w:bidi w:val="0"/>
        <w:spacing w:before="0" w:after="240"/>
        <w:jc w:val="both"/>
        <w:rPr>
          <w:sz w:val="24"/>
        </w:rPr>
      </w:pPr>
      <w:r>
        <w:rPr>
          <w:sz w:val="24"/>
        </w:rPr>
        <w:tab/>
        <w:t>(a)</w:t>
        <w:tab/>
        <w:t>The rights and obligations of each of the Finance Parties under the Finance Documents are several. Failure of any Finance Party to observe and perform its obligations under any Finance Document shall neither:</w:t>
      </w:r>
    </w:p>
    <w:p>
      <w:pPr>
        <w:pStyle w:val="Normal"/>
        <w:bidi w:val="0"/>
        <w:spacing w:before="0" w:after="240"/>
        <w:ind w:hanging="0" w:start="720"/>
        <w:jc w:val="both"/>
        <w:rPr>
          <w:sz w:val="24"/>
        </w:rPr>
      </w:pPr>
      <w:r>
        <w:rPr>
          <w:sz w:val="24"/>
        </w:rPr>
        <w:tab/>
        <w:t>(i)</w:t>
        <w:tab/>
        <w:t>result in any other non</w:t>
        <w:noBreakHyphen/>
        <w:t>defaulting Finance Party incurring any liability whatsoever; nor</w:t>
      </w:r>
    </w:p>
    <w:p>
      <w:pPr>
        <w:pStyle w:val="Normal"/>
        <w:bidi w:val="0"/>
        <w:spacing w:before="0" w:after="240"/>
        <w:ind w:hanging="0" w:start="720"/>
        <w:jc w:val="both"/>
        <w:rPr>
          <w:sz w:val="24"/>
        </w:rPr>
      </w:pPr>
      <w:r>
        <w:rPr>
          <w:sz w:val="24"/>
        </w:rPr>
        <w:tab/>
        <w:t>(ii)</w:t>
        <w:tab/>
        <w:t>relieve the Trust or any other Finance Party from their respective obligations under the Finance Documents.</w:t>
      </w:r>
    </w:p>
    <w:p>
      <w:pPr>
        <w:pStyle w:val="Normal"/>
        <w:keepNext w:val="true"/>
        <w:bidi w:val="0"/>
        <w:spacing w:before="0" w:after="240"/>
        <w:jc w:val="both"/>
        <w:rPr>
          <w:sz w:val="24"/>
        </w:rPr>
      </w:pPr>
      <w:r>
        <w:rPr>
          <w:sz w:val="24"/>
        </w:rPr>
        <w:tab/>
        <w:t>(b)</w:t>
        <w:tab/>
        <w:t>Notwithstanding any other provision of any Finance Document, the interests of each Finance Party are several and the total amounts outstanding at any time under the Finance Documents and due to each Finance Party constitute separate and independent debts.</w:t>
      </w:r>
    </w:p>
    <w:p>
      <w:pPr>
        <w:pStyle w:val="Normal"/>
        <w:keepNext w:val="true"/>
        <w:keepLines/>
        <w:bidi w:val="0"/>
        <w:jc w:val="both"/>
        <w:rPr>
          <w:sz w:val="24"/>
        </w:rPr>
      </w:pPr>
      <w:r>
        <w:rPr>
          <w:sz w:val="24"/>
        </w:rPr>
        <w:tab/>
      </w:r>
      <w:r>
        <w:fldChar w:fldCharType="begin"/>
      </w:r>
      <w:r>
        <w:rPr>
          <w:sz w:val="24"/>
        </w:rPr>
        <w:instrText xml:space="preserve"> TC "Section  3.3   Second Closing Date; Addition of Lenders and Increase in Commitments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 xml:space="preserve">On the Second Closing Date, each financial institution which shall have executed and delivered to the Trust and the Agent a certificate (the </w:t>
      </w:r>
      <w:r>
        <w:rPr>
          <w:b/>
          <w:sz w:val="24"/>
        </w:rPr>
        <w:t>“</w:t>
      </w:r>
      <w:r>
        <w:rPr>
          <w:b/>
          <w:sz w:val="24"/>
          <w:u w:val="single"/>
        </w:rPr>
        <w:t>Additional Lender Certificate</w:t>
      </w:r>
      <w:r>
        <w:rPr>
          <w:b/>
          <w:sz w:val="24"/>
        </w:rPr>
        <w:t>”</w:t>
      </w:r>
      <w:r>
        <w:rPr>
          <w:sz w:val="24"/>
        </w:rPr>
        <w:t xml:space="preserve">) substantially in the form of </w:t>
      </w:r>
      <w:r>
        <w:rPr>
          <w:sz w:val="24"/>
          <w:u w:val="single"/>
        </w:rPr>
        <w:t>Exhibit </w:t>
      </w:r>
      <w:ins w:id="444" w:author="">
        <w:r>
          <w:rPr>
            <w:strike/>
            <w:sz w:val="24"/>
            <w:u w:val="single"/>
          </w:rPr>
          <w:t>L</w:t>
        </w:r>
      </w:ins>
      <w:r>
        <w:rPr>
          <w:sz w:val="24"/>
          <w:u w:val="single"/>
        </w:rPr>
        <w:t xml:space="preserve"> </w:t>
      </w:r>
      <w:ins w:id="445" w:author="">
        <w:r>
          <w:rPr>
            <w:b/>
            <w:sz w:val="24"/>
            <w:u w:val="double"/>
          </w:rPr>
          <w:t>L1</w:t>
        </w:r>
      </w:ins>
      <w:r>
        <w:rPr>
          <w:sz w:val="24"/>
        </w:rPr>
        <w:t xml:space="preserve"> hereto (with appropriate insertions) not less than 15 days (or such shorter period as the Agent may approve) prior to the Second Closing Date shall become a Lender under this Agreement with all the rights and obligations of a Lender hereunder, subject to approval by Enron and the Agent (to be evidenced by Enron and the Agent countersigning the Additional Lender Certificate).</w:t>
      </w:r>
    </w:p>
    <w:p>
      <w:pPr>
        <w:pStyle w:val="Normal"/>
        <w:bidi w:val="0"/>
        <w:jc w:val="both"/>
        <w:rPr>
          <w:sz w:val="24"/>
        </w:rPr>
      </w:pPr>
      <w:r>
        <w:rPr>
          <w:sz w:val="24"/>
        </w:rPr>
        <w:tab/>
        <w:t>(b)</w:t>
        <w:tab/>
        <w:t xml:space="preserve">On the Second Closing Date (i) the </w:t>
      </w:r>
      <w:ins w:id="446" w:author="">
        <w:r>
          <w:rPr>
            <w:b/>
            <w:sz w:val="24"/>
            <w:u w:val="double"/>
          </w:rPr>
          <w:t>Commitments of each existing Lender (each, an “Increased Commitment Lender”) which has executed and delivered to the Trust and to the Agent a certificate (the “Increased Commitment Certificate”) substantially in the form of Exhibit L2 hereto (with appropriate insertions) not less than 15 days (or such period as the Agent may approve) prior to the Second Closing Date shall be increased to the amount specified in the Increased Commitment Certificate (subject to approval by Enron and the Agent,    to be evidenced by Enron and the Agent countersigning the Increased Commitment Certificate); (ii) the</w:t>
        </w:r>
      </w:ins>
      <w:r>
        <w:rPr>
          <w:sz w:val="24"/>
        </w:rPr>
        <w:t xml:space="preserve"> aggregate of the Commitments of the Lenders (including any Persons that become Lenders pursuant to Section 3.3(a)) automatically without further action by the Trust, the Agent or any Lender shall be increased by </w:t>
      </w:r>
      <w:ins w:id="447" w:author="">
        <w:r>
          <w:rPr>
            <w:b/>
            <w:sz w:val="24"/>
            <w:u w:val="double"/>
          </w:rPr>
          <w:t>(A)</w:t>
        </w:r>
      </w:ins>
      <w:r>
        <w:rPr>
          <w:sz w:val="24"/>
        </w:rPr>
        <w:t xml:space="preserve"> the aggregate amounts specified in such Additional Lender Certificates </w:t>
      </w:r>
      <w:ins w:id="448" w:author="">
        <w:r>
          <w:rPr>
            <w:b/>
            <w:sz w:val="24"/>
            <w:u w:val="double"/>
          </w:rPr>
          <w:t>and (B) by the aggregate of the increases in the Commitments of Lender which have delivered an Increased Commitment Certificate</w:t>
        </w:r>
      </w:ins>
      <w:r>
        <w:rPr>
          <w:sz w:val="24"/>
        </w:rPr>
        <w:t xml:space="preserve"> (but in no event shall the aggregate Commitment for all Lenders exceed </w:t>
      </w:r>
      <w:ins w:id="449" w:author="">
        <w:r>
          <w:rPr>
            <w:b/>
            <w:strike/>
            <w:sz w:val="24"/>
          </w:rPr>
          <w:t>$485,000,000</w:t>
        </w:r>
      </w:ins>
      <w:r>
        <w:rPr>
          <w:b/>
          <w:sz w:val="24"/>
        </w:rPr>
        <w:t xml:space="preserve"> </w:t>
      </w:r>
      <w:ins w:id="450" w:author="">
        <w:r>
          <w:rPr>
            <w:b/>
            <w:sz w:val="24"/>
            <w:u w:val="double"/>
          </w:rPr>
          <w:t>$[198,000,000]</w:t>
        </w:r>
      </w:ins>
      <w:r>
        <w:rPr>
          <w:sz w:val="24"/>
        </w:rPr>
        <w:t xml:space="preserve"> unless otherwise agreed by the Agent), and the definition of </w:t>
      </w:r>
      <w:r>
        <w:rPr>
          <w:b/>
          <w:sz w:val="24"/>
        </w:rPr>
        <w:t>“</w:t>
      </w:r>
      <w:r>
        <w:rPr>
          <w:b/>
          <w:sz w:val="24"/>
          <w:u w:val="single"/>
        </w:rPr>
        <w:t>Commitment Amount</w:t>
      </w:r>
      <w:r>
        <w:rPr>
          <w:b/>
          <w:sz w:val="24"/>
        </w:rPr>
        <w:t xml:space="preserve">” </w:t>
      </w:r>
      <w:r>
        <w:rPr>
          <w:sz w:val="24"/>
        </w:rPr>
        <w:t xml:space="preserve">shall be deemed increased by such increase in the Commitments; </w:t>
      </w:r>
      <w:ins w:id="451" w:author="">
        <w:r>
          <w:rPr>
            <w:strike/>
            <w:sz w:val="24"/>
          </w:rPr>
          <w:t>(ii)</w:t>
        </w:r>
      </w:ins>
      <w:ins w:id="452" w:author="">
        <w:r>
          <w:rPr>
            <w:b/>
            <w:sz w:val="24"/>
            <w:u w:val="double"/>
          </w:rPr>
          <w:t>(iii)</w:t>
        </w:r>
      </w:ins>
      <w:r>
        <w:rPr>
          <w:sz w:val="24"/>
        </w:rPr>
        <w:t xml:space="preserve"> </w:t>
      </w:r>
      <w:r>
        <w:rPr>
          <w:sz w:val="24"/>
          <w:u w:val="single"/>
        </w:rPr>
        <w:t>Schedule I</w:t>
      </w:r>
      <w:r>
        <w:rPr>
          <w:sz w:val="24"/>
        </w:rPr>
        <w:t xml:space="preserve"> shall be deemed amended to add the Commitment of such added Lender </w:t>
      </w:r>
      <w:ins w:id="453" w:author="">
        <w:r>
          <w:rPr>
            <w:strike/>
            <w:sz w:val="24"/>
          </w:rPr>
          <w:t>; and (iii)</w:t>
        </w:r>
      </w:ins>
      <w:r>
        <w:rPr>
          <w:sz w:val="24"/>
        </w:rPr>
        <w:t xml:space="preserve"> </w:t>
      </w:r>
      <w:ins w:id="454" w:author="">
        <w:r>
          <w:rPr>
            <w:b/>
            <w:sz w:val="24"/>
            <w:u w:val="double"/>
          </w:rPr>
          <w:t>and the increased Commitments (if any) of the existing Lenders; and (iv)</w:t>
        </w:r>
      </w:ins>
      <w:r>
        <w:rPr>
          <w:sz w:val="24"/>
        </w:rPr>
        <w:t xml:space="preserve">  the Trust shall duly execute and deliver a Note to each additional Lender.    </w:t>
      </w:r>
      <w:ins w:id="455" w:author="">
        <w:r>
          <w:rPr>
            <w:b/>
            <w:sz w:val="24"/>
            <w:u w:val="double"/>
          </w:rPr>
          <w:t>No Lender shall have any obligation to increase its Commitment hereunder.</w:t>
        </w:r>
      </w:ins>
    </w:p>
    <w:p>
      <w:pPr>
        <w:pStyle w:val="Normal"/>
        <w:bidi w:val="0"/>
        <w:jc w:val="both"/>
        <w:rPr>
          <w:sz w:val="24"/>
        </w:rPr>
      </w:pPr>
      <w:r>
        <w:rPr>
          <w:sz w:val="24"/>
        </w:rPr>
      </w:r>
    </w:p>
    <w:p>
      <w:pPr>
        <w:pStyle w:val="Normal"/>
        <w:bidi w:val="0"/>
        <w:jc w:val="both"/>
        <w:rPr>
          <w:sz w:val="24"/>
        </w:rPr>
      </w:pPr>
      <w:r>
        <w:rPr>
          <w:sz w:val="24"/>
        </w:rPr>
        <w:tab/>
        <w:t>(c)</w:t>
        <w:tab/>
        <w:t xml:space="preserve">For the purposes of this Section 3.3(c), </w:t>
      </w:r>
      <w:r>
        <w:rPr>
          <w:b/>
          <w:sz w:val="24"/>
        </w:rPr>
        <w:t>“</w:t>
      </w:r>
      <w:r>
        <w:rPr>
          <w:b/>
          <w:sz w:val="24"/>
          <w:u w:val="single"/>
        </w:rPr>
        <w:t>Existing Advances</w:t>
      </w:r>
      <w:r>
        <w:rPr>
          <w:b/>
          <w:sz w:val="24"/>
        </w:rPr>
        <w:t>”</w:t>
      </w:r>
      <w:r>
        <w:rPr>
          <w:sz w:val="24"/>
        </w:rPr>
        <w:t xml:space="preserve"> shall mean the principal amount of all Advances made prior to the Second Drawdown Date and which remain outstanding on the Second Drawdown Date.    Subject to the issuance of additional Notes under Section </w:t>
      </w:r>
      <w:ins w:id="456" w:author="">
        <w:r>
          <w:rPr>
            <w:strike/>
            <w:sz w:val="24"/>
          </w:rPr>
          <w:t>3.3(b)(iii)</w:t>
        </w:r>
      </w:ins>
      <w:r>
        <w:rPr>
          <w:sz w:val="24"/>
        </w:rPr>
        <w:t xml:space="preserve"> </w:t>
      </w:r>
      <w:ins w:id="457" w:author="">
        <w:r>
          <w:rPr>
            <w:b/>
            <w:sz w:val="24"/>
            <w:u w:val="double"/>
          </w:rPr>
          <w:t>3.3(b)(iv)</w:t>
        </w:r>
      </w:ins>
      <w:r>
        <w:rPr>
          <w:sz w:val="24"/>
        </w:rPr>
        <w:t xml:space="preserve">, on the Second Drawdown Date each such additional Lender </w:t>
      </w:r>
      <w:ins w:id="458" w:author="">
        <w:r>
          <w:rPr>
            <w:b/>
            <w:sz w:val="24"/>
            <w:u w:val="double"/>
          </w:rPr>
          <w:t>and each Increased Commitment Lender</w:t>
        </w:r>
      </w:ins>
      <w:r>
        <w:rPr>
          <w:sz w:val="24"/>
        </w:rPr>
        <w:t xml:space="preserve"> shall fund to the Agent the amount of principal of Advances (collectively, the </w:t>
      </w:r>
      <w:r>
        <w:rPr>
          <w:b/>
          <w:sz w:val="24"/>
        </w:rPr>
        <w:t>“</w:t>
      </w:r>
      <w:r>
        <w:rPr>
          <w:b/>
          <w:sz w:val="24"/>
          <w:u w:val="single"/>
        </w:rPr>
        <w:t>Replacement Funds</w:t>
      </w:r>
      <w:r>
        <w:rPr>
          <w:b/>
          <w:sz w:val="24"/>
        </w:rPr>
        <w:t>”</w:t>
      </w:r>
      <w:r>
        <w:rPr>
          <w:sz w:val="24"/>
        </w:rPr>
        <w:t xml:space="preserve">) that such additional Lender </w:t>
      </w:r>
      <w:ins w:id="459" w:author="">
        <w:r>
          <w:rPr>
            <w:b/>
            <w:sz w:val="24"/>
            <w:u w:val="double"/>
          </w:rPr>
          <w:t>and each Increased Commitment Lender</w:t>
        </w:r>
      </w:ins>
      <w:r>
        <w:rPr>
          <w:sz w:val="24"/>
        </w:rPr>
        <w:t xml:space="preserve"> would have been required to fund under this Agreement with respect to the Existing Advances </w:t>
      </w:r>
      <w:ins w:id="460" w:author="">
        <w:r>
          <w:rPr>
            <w:strike/>
            <w:sz w:val="24"/>
          </w:rPr>
          <w:t>had</w:t>
        </w:r>
      </w:ins>
      <w:r>
        <w:rPr>
          <w:sz w:val="24"/>
        </w:rPr>
        <w:t xml:space="preserve"> </w:t>
      </w:r>
      <w:ins w:id="461" w:author="">
        <w:r>
          <w:rPr>
            <w:b/>
            <w:sz w:val="24"/>
            <w:u w:val="double"/>
          </w:rPr>
          <w:t>if (i)</w:t>
        </w:r>
      </w:ins>
      <w:r>
        <w:rPr>
          <w:sz w:val="24"/>
        </w:rPr>
        <w:t xml:space="preserve"> all such additional Lenders </w:t>
      </w:r>
      <w:ins w:id="462" w:author="">
        <w:r>
          <w:rPr>
            <w:b/>
            <w:sz w:val="24"/>
            <w:u w:val="double"/>
          </w:rPr>
          <w:t>had</w:t>
        </w:r>
      </w:ins>
      <w:r>
        <w:rPr>
          <w:sz w:val="24"/>
        </w:rPr>
        <w:t xml:space="preserve"> been parties to this Agreement on the Initial Closing Date </w:t>
      </w:r>
      <w:ins w:id="463" w:author="">
        <w:r>
          <w:rPr>
            <w:b/>
            <w:sz w:val="24"/>
            <w:u w:val="double"/>
          </w:rPr>
          <w:t>and (ii) the increases in Commitments effected by the Increased Commitment Certificates had effect as of the Closing Date</w:t>
        </w:r>
      </w:ins>
      <w:r>
        <w:rPr>
          <w:sz w:val="24"/>
        </w:rPr>
        <w:t xml:space="preserve">.    Upon receipt of such funds, the Agent shall promptly pay the Replacement Funds to those Lenders who were initially parties to this Agreement on a pro rata basis based upon their respective Percentage Commitments before giving effect to the addition of the additional Lenders.    The initial Lenders shall thereupon be deemed to have assigned and transferred for all purposes of this Agreement to the additional Lenders on a pro rata basis, without recourse, an interest in Existing Advances </w:t>
      </w:r>
      <w:ins w:id="464" w:author="">
        <w:r>
          <w:rPr>
            <w:strike/>
            <w:sz w:val="24"/>
          </w:rPr>
          <w:t>equal to the Replacement Funds</w:t>
        </w:r>
      </w:ins>
      <w:r>
        <w:rPr>
          <w:sz w:val="24"/>
        </w:rPr>
        <w:t xml:space="preserve">(the </w:t>
      </w:r>
      <w:r>
        <w:rPr>
          <w:b/>
          <w:sz w:val="24"/>
        </w:rPr>
        <w:t>“</w:t>
      </w:r>
      <w:r>
        <w:rPr>
          <w:b/>
          <w:sz w:val="24"/>
          <w:u w:val="single"/>
        </w:rPr>
        <w:t>Assigned Interest</w:t>
      </w:r>
      <w:r>
        <w:rPr>
          <w:b/>
          <w:sz w:val="24"/>
        </w:rPr>
        <w:t>”)</w:t>
      </w:r>
      <w:r>
        <w:rPr>
          <w:sz w:val="24"/>
        </w:rPr>
        <w:t xml:space="preserve"> </w:t>
      </w:r>
      <w:ins w:id="465" w:author="">
        <w:r>
          <w:rPr>
            <w:b/>
            <w:sz w:val="24"/>
            <w:u w:val="double"/>
          </w:rPr>
          <w:t>and the initial Lenders (other than the Increased Commitment Lenders) shall be deemed to have assigned to the Increased Commitment Lenders an interest in Existing Advances</w:t>
        </w:r>
      </w:ins>
      <w:r>
        <w:rPr>
          <w:sz w:val="24"/>
        </w:rPr>
        <w:t xml:space="preserve"> such that after giving effect to such assignment each Lender will hold its Percentage Commitment (after giving effect to the Commitments of the additional Lenders) of the Existing Advances, such assignment and transfer being effective as of the Second Drawdown Date.    From and after the Second Drawdown Date, the additional Lenders shall be entitled to all rights, powers, and privileges of the initial Lenders under this Agreement and the other Finance Documents with respect to and to the extent of the Assigned Interest, including without limitation (i) the right to receive all payments in respect of the Assigned Interest for the period from and after the Second Drawdown Date, whether on account of principal, interest accruing after the Second Drawdown Date, fees, indemnities in respect of claims arising after the Second Drawdown Date, increased costs, additional amounts or otherwise; (ii) the right to vote and to instruct the Agent under the Finance Documents with respect to the Assigned Interest; and (iii) the right to receive notices, requests, demands, and other communications.</w:t>
      </w:r>
    </w:p>
    <w:p>
      <w:pPr>
        <w:pStyle w:val="Normal"/>
        <w:bidi w:val="0"/>
        <w:jc w:val="both"/>
        <w:rPr>
          <w:sz w:val="24"/>
        </w:rPr>
      </w:pPr>
      <w:r>
        <w:rPr>
          <w:sz w:val="24"/>
        </w:rPr>
      </w:r>
    </w:p>
    <w:p>
      <w:pPr>
        <w:pStyle w:val="Normal"/>
        <w:bidi w:val="0"/>
        <w:jc w:val="both"/>
        <w:rPr>
          <w:sz w:val="24"/>
        </w:rPr>
      </w:pPr>
      <w:r>
        <w:rPr>
          <w:sz w:val="24"/>
        </w:rPr>
        <w:tab/>
        <w:t>(d)</w:t>
        <w:tab/>
        <w:t>Each initial Lender (i) shall be deemed to have represented and warranted to the additional Lenders that it is the legal and beneficial owner of that portion of the Assigned Interest being assigned by it and that such Assigned Interest is free and clear of any adverse claim; (ii)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thereto; and (iii) makes no representation or warranty and assumes no responsibility with respect to the financial condition of the Trust, any Asset LLC, any Transferor, any Sponsor, Enron</w:t>
      </w:r>
      <w:ins w:id="466" w:author="">
        <w:r>
          <w:rPr>
            <w:b/>
            <w:sz w:val="24"/>
            <w:u w:val="double"/>
          </w:rPr>
          <w:t>, any Permitted Swap Party</w:t>
        </w:r>
      </w:ins>
      <w:r>
        <w:rPr>
          <w:sz w:val="24"/>
        </w:rPr>
        <w:t xml:space="preserve"> or any other Person or the performance or observance by such Persons of any of their obligations under the Finance Documents, or any other instrument or document furnished pursuant thereto.</w:t>
      </w:r>
    </w:p>
    <w:p>
      <w:pPr>
        <w:pStyle w:val="Normal"/>
        <w:bidi w:val="0"/>
        <w:jc w:val="both"/>
        <w:rPr>
          <w:sz w:val="24"/>
        </w:rPr>
      </w:pPr>
      <w:r>
        <w:rPr>
          <w:sz w:val="24"/>
        </w:rPr>
        <w:tab/>
        <w:t>(e)</w:t>
        <w:tab/>
        <w:t xml:space="preserve">As described in Section 8.2, all Interest Periods in effect prior to the Second Drawdown Date shall automatically terminate on the Second Drawdown Date.    On the Second Drawdown Date, the Trust shall pay to the initial Lenders accrued but unpaid interest (and any breakage costs as provided in Section 25) on the Existing Advances.    New Interest Periods for all Existing Advances (and for all Advances funded on the Second Drawdown Date) shall commence on the Second Drawdown Date.    If any Existing Advance is an Alternate Base Rate Advance on the Second Drawdown Date, the Trust shall make a special interest payment to the Existing Lenders on the Second Drawdown Date equal to the accrued but unpaid interest on such Existing Advance.    </w:t>
      </w:r>
    </w:p>
    <w:p>
      <w:pPr>
        <w:pStyle w:val="Normal"/>
        <w:bidi w:val="0"/>
        <w:jc w:val="both"/>
        <w:rPr>
          <w:sz w:val="24"/>
        </w:rPr>
      </w:pPr>
      <w:r>
        <w:rPr>
          <w:sz w:val="24"/>
        </w:rPr>
      </w:r>
    </w:p>
    <w:p>
      <w:pPr>
        <w:pStyle w:val="Normal"/>
        <w:bidi w:val="0"/>
        <w:jc w:val="both"/>
        <w:rPr>
          <w:sz w:val="24"/>
        </w:rPr>
      </w:pPr>
      <w:r>
        <w:rPr>
          <w:sz w:val="24"/>
        </w:rPr>
        <w:tab/>
        <w:t>(f)</w:t>
        <w:tab/>
        <w:t xml:space="preserve">Upon </w:t>
      </w:r>
      <w:ins w:id="467" w:author="">
        <w:r>
          <w:rPr>
            <w:strike/>
            <w:sz w:val="24"/>
          </w:rPr>
          <w:t>such</w:t>
        </w:r>
      </w:ins>
      <w:r>
        <w:rPr>
          <w:sz w:val="24"/>
        </w:rPr>
        <w:t xml:space="preserve"> completion of the foregoing, the Agent shall notify all Lenders of the aggregate Commitments after giving effect to the addition of the additional Lenders </w:t>
      </w:r>
      <w:ins w:id="468" w:author="">
        <w:r>
          <w:rPr>
            <w:b/>
            <w:sz w:val="24"/>
            <w:u w:val="double"/>
          </w:rPr>
          <w:t>and related increased Lender Commitments</w:t>
        </w:r>
      </w:ins>
      <w:r>
        <w:rPr>
          <w:sz w:val="24"/>
        </w:rPr>
        <w:t>.    From and after the Second Drawdown Date, the Agent shall make all payments under the Finance Documents in respect of the Assigned Interest (including, without limitation, all payments of principal and interest, as applicable) to the respective additional Lenders in accordance with their interests.</w:t>
      </w:r>
    </w:p>
    <w:p>
      <w:pPr>
        <w:pStyle w:val="Normal"/>
        <w:bidi w:val="0"/>
        <w:jc w:val="both"/>
        <w:rPr>
          <w:sz w:val="24"/>
        </w:rPr>
      </w:pPr>
      <w:r>
        <w:rPr>
          <w:sz w:val="24"/>
        </w:rPr>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IVCONDITIONS PRECEDENT"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4.1   Conditions Precedent to Lenders’ Obligations under this Agreement.   " \l 1 </w:instrText>
      </w:r>
      <w:r>
        <w:rPr>
          <w:sz w:val="24"/>
        </w:rPr>
        <w:fldChar w:fldCharType="separate"/>
      </w:r>
      <w:r>
        <w:rPr>
          <w:sz w:val="24"/>
        </w:rPr>
      </w:r>
      <w:r>
        <w:rPr>
          <w:sz w:val="24"/>
        </w:rPr>
        <w:fldChar w:fldCharType="end"/>
      </w:r>
      <w:r>
        <w:rPr>
          <w:sz w:val="24"/>
        </w:rPr>
        <w:t>The obligations of the Lenders under this Agreement are conditioned upon the Agent having received the following items in all respects (except where otherwise specified) in form and substance reasonably satisfactory to the Agent:</w:t>
      </w:r>
    </w:p>
    <w:p>
      <w:pPr>
        <w:pStyle w:val="Normal"/>
        <w:bidi w:val="0"/>
        <w:jc w:val="both"/>
        <w:rPr>
          <w:sz w:val="24"/>
        </w:rPr>
      </w:pPr>
      <w:r>
        <w:rPr>
          <w:sz w:val="24"/>
        </w:rPr>
      </w:r>
    </w:p>
    <w:p>
      <w:pPr>
        <w:pStyle w:val="Normal"/>
        <w:bidi w:val="0"/>
        <w:spacing w:before="0" w:after="240"/>
        <w:ind w:hanging="0" w:start="720"/>
        <w:jc w:val="both"/>
        <w:rPr>
          <w:sz w:val="24"/>
        </w:rPr>
      </w:pPr>
      <w:r>
        <w:rPr>
          <w:sz w:val="24"/>
        </w:rPr>
        <w:tab/>
        <w:t>(i)</w:t>
        <w:tab/>
        <w:t xml:space="preserve">a copy, certified as of the </w:t>
      </w:r>
      <w:ins w:id="469" w:author="">
        <w:r>
          <w:rPr>
            <w:b/>
            <w:sz w:val="24"/>
            <w:u w:val="double"/>
          </w:rPr>
          <w:t>applicable</w:t>
        </w:r>
      </w:ins>
      <w:r>
        <w:rPr>
          <w:sz w:val="24"/>
        </w:rPr>
        <w:t xml:space="preserve"> Drawdown Date, or such other date as agreed by the Agent, as true and complete by a duly authorized representative of the Trust and Enron as the case may be of:</w:t>
      </w:r>
    </w:p>
    <w:p>
      <w:pPr>
        <w:pStyle w:val="Normal"/>
        <w:bidi w:val="0"/>
        <w:spacing w:before="0" w:after="240"/>
        <w:ind w:hanging="0" w:start="1440"/>
        <w:jc w:val="both"/>
        <w:rPr>
          <w:sz w:val="24"/>
        </w:rPr>
      </w:pPr>
      <w:r>
        <w:rPr>
          <w:sz w:val="24"/>
        </w:rPr>
        <w:tab/>
        <w:t>(A)</w:t>
        <w:tab/>
        <w:t>the organizational documents of Enron and the Trust including evidence of due formation and “good standing” of Enron and the Trust.</w:t>
      </w:r>
    </w:p>
    <w:p>
      <w:pPr>
        <w:pStyle w:val="Normal"/>
        <w:bidi w:val="0"/>
        <w:spacing w:before="0" w:after="240"/>
        <w:ind w:hanging="0" w:start="1440"/>
        <w:jc w:val="both"/>
        <w:rPr>
          <w:sz w:val="24"/>
        </w:rPr>
      </w:pPr>
      <w:r>
        <w:rPr>
          <w:sz w:val="24"/>
        </w:rPr>
        <w:tab/>
        <w:t>(B)</w:t>
        <w:tab/>
        <w:t>all other trust or other applicable authorizations and actions of the Trust required (including without limitation any resolutions of its members or approvals of beneficiaries) to enable it to enter into, execute and perform those of the Operative Documents to which it is, or is to be, a party; and</w:t>
      </w:r>
    </w:p>
    <w:p>
      <w:pPr>
        <w:pStyle w:val="Normal"/>
        <w:bidi w:val="0"/>
        <w:spacing w:before="0" w:after="240"/>
        <w:ind w:hanging="0" w:start="1440"/>
        <w:jc w:val="both"/>
        <w:rPr>
          <w:sz w:val="24"/>
        </w:rPr>
      </w:pPr>
      <w:r>
        <w:rPr>
          <w:sz w:val="24"/>
        </w:rPr>
        <w:tab/>
        <w:t>(C)</w:t>
        <w:tab/>
        <w:t>all other resolutions, powers, declarations, approvals, consents and licenses (official or otherwise) necessary or appropriate for the entry into and performance by the Trust of the Operative Documents to which it is or is to be a party, and for the enforceability and validity thereof;</w:t>
      </w:r>
    </w:p>
    <w:p>
      <w:pPr>
        <w:pStyle w:val="Normal"/>
        <w:bidi w:val="0"/>
        <w:spacing w:before="0" w:after="240"/>
        <w:ind w:hanging="0" w:start="720"/>
        <w:jc w:val="both"/>
        <w:rPr>
          <w:sz w:val="24"/>
        </w:rPr>
      </w:pPr>
      <w:r>
        <w:rPr>
          <w:sz w:val="24"/>
        </w:rPr>
        <w:tab/>
        <w:t>(ii)</w:t>
        <w:tab/>
      </w:r>
      <w:ins w:id="470" w:author="">
        <w:r>
          <w:rPr>
            <w:b/>
            <w:sz w:val="24"/>
            <w:u w:val="double"/>
          </w:rPr>
          <w:t>on the Closing Date, and in the case of clause (E), on the Second Closing Date,</w:t>
        </w:r>
      </w:ins>
      <w:r>
        <w:rPr>
          <w:sz w:val="24"/>
        </w:rPr>
        <w:t xml:space="preserve"> duly executed counterparts of:</w:t>
      </w:r>
    </w:p>
    <w:p>
      <w:pPr>
        <w:pStyle w:val="Normal"/>
        <w:bidi w:val="0"/>
        <w:spacing w:before="0" w:after="240"/>
        <w:ind w:hanging="0" w:start="1440"/>
        <w:jc w:val="both"/>
        <w:rPr>
          <w:sz w:val="24"/>
        </w:rPr>
      </w:pPr>
      <w:r>
        <w:rPr>
          <w:sz w:val="24"/>
        </w:rPr>
        <w:tab/>
        <w:t>(A)</w:t>
        <w:tab/>
        <w:t>this Agreement;</w:t>
      </w:r>
    </w:p>
    <w:p>
      <w:pPr>
        <w:pStyle w:val="Normal"/>
        <w:bidi w:val="0"/>
        <w:spacing w:before="0" w:after="240"/>
        <w:ind w:hanging="0" w:start="1440"/>
        <w:jc w:val="both"/>
        <w:rPr>
          <w:sz w:val="24"/>
        </w:rPr>
      </w:pPr>
      <w:r>
        <w:rPr>
          <w:sz w:val="24"/>
        </w:rPr>
        <w:tab/>
        <w:t>(B)</w:t>
        <w:tab/>
        <w:t>the Trust Agreement;</w:t>
      </w:r>
    </w:p>
    <w:p>
      <w:pPr>
        <w:pStyle w:val="Normal"/>
        <w:bidi w:val="0"/>
        <w:spacing w:before="0" w:after="240"/>
        <w:ind w:hanging="0" w:start="1440"/>
        <w:jc w:val="both"/>
        <w:rPr>
          <w:sz w:val="24"/>
        </w:rPr>
      </w:pPr>
      <w:r>
        <w:rPr>
          <w:sz w:val="24"/>
        </w:rPr>
        <w:tab/>
        <w:t>(C)</w:t>
        <w:tab/>
        <w:t xml:space="preserve">the Total Return Swap Agreement </w:t>
      </w:r>
      <w:ins w:id="471" w:author="">
        <w:r>
          <w:rPr>
            <w:b/>
            <w:sz w:val="24"/>
            <w:u w:val="double"/>
          </w:rPr>
          <w:t>described in clause (i) of the definition of Total Return Swap Agreement</w:t>
        </w:r>
      </w:ins>
      <w:r>
        <w:rPr>
          <w:sz w:val="24"/>
        </w:rPr>
        <w:t xml:space="preserve"> (not including the Swap Confirmations);</w:t>
      </w:r>
    </w:p>
    <w:p>
      <w:pPr>
        <w:pStyle w:val="Normal"/>
        <w:bidi w:val="0"/>
        <w:spacing w:before="0" w:after="240"/>
        <w:ind w:hanging="0" w:start="1440"/>
        <w:jc w:val="both"/>
        <w:rPr>
          <w:sz w:val="24"/>
        </w:rPr>
      </w:pPr>
      <w:r>
        <w:rPr>
          <w:sz w:val="24"/>
        </w:rPr>
        <w:tab/>
        <w:t>(D)</w:t>
        <w:tab/>
        <w:t>the Reimbursement and Disclosure Agreement;</w:t>
      </w:r>
    </w:p>
    <w:p>
      <w:pPr>
        <w:pStyle w:val="Normal"/>
        <w:bidi w:val="0"/>
        <w:spacing w:before="0" w:after="240"/>
        <w:ind w:hanging="0" w:start="1440"/>
        <w:jc w:val="both"/>
        <w:rPr>
          <w:sz w:val="24"/>
        </w:rPr>
      </w:pPr>
      <w:r>
        <w:rPr>
          <w:sz w:val="24"/>
        </w:rPr>
        <w:tab/>
        <w:t>(E)</w:t>
        <w:tab/>
        <w:t xml:space="preserve">the </w:t>
      </w:r>
      <w:ins w:id="472" w:author="">
        <w:r>
          <w:rPr>
            <w:b/>
            <w:sz w:val="24"/>
            <w:u w:val="double"/>
          </w:rPr>
          <w:t>replacement</w:t>
        </w:r>
      </w:ins>
      <w:r>
        <w:rPr>
          <w:sz w:val="24"/>
        </w:rPr>
        <w:t xml:space="preserve"> Beneficial Interest Certificate and the Notes    </w:t>
      </w:r>
      <w:ins w:id="473" w:author="">
        <w:r>
          <w:rPr>
            <w:strike/>
            <w:sz w:val="24"/>
          </w:rPr>
          <w:t>(</w:t>
        </w:r>
      </w:ins>
      <w:r>
        <w:rPr>
          <w:sz w:val="24"/>
        </w:rPr>
        <w:t>including on the Second Closing Date any Notes required to be issued to additional Lenders under Section 3.3</w:t>
      </w:r>
      <w:ins w:id="474" w:author="">
        <w:r>
          <w:rPr>
            <w:strike/>
            <w:sz w:val="24"/>
          </w:rPr>
          <w:t>(b)(iii));</w:t>
        </w:r>
      </w:ins>
      <w:ins w:id="475" w:author="">
        <w:r>
          <w:rPr>
            <w:b/>
            <w:sz w:val="24"/>
            <w:u w:val="double"/>
          </w:rPr>
          <w:t>;</w:t>
        </w:r>
      </w:ins>
      <w:r>
        <w:rPr>
          <w:sz w:val="24"/>
        </w:rPr>
        <w:t xml:space="preserve"> and</w:t>
      </w:r>
    </w:p>
    <w:p>
      <w:pPr>
        <w:pStyle w:val="Normal"/>
        <w:bidi w:val="0"/>
        <w:spacing w:before="0" w:after="240"/>
        <w:ind w:hanging="0" w:start="1440"/>
        <w:jc w:val="both"/>
        <w:rPr>
          <w:strike/>
          <w:sz w:val="24"/>
          <w:ins w:id="477" w:author=""/>
        </w:rPr>
      </w:pPr>
      <w:r>
        <w:rPr>
          <w:sz w:val="24"/>
        </w:rPr>
        <w:tab/>
        <w:t>(F)</w:t>
        <w:tab/>
        <w:t xml:space="preserve">the fee letter referred to in clause (i) of the definition of </w:t>
      </w:r>
      <w:ins w:id="476" w:author="">
        <w:r>
          <w:rPr>
            <w:strike/>
            <w:sz w:val="24"/>
          </w:rPr>
          <w:t>“Fee Letters”.</w:t>
        </w:r>
      </w:ins>
    </w:p>
    <w:p>
      <w:pPr>
        <w:pStyle w:val="Normal"/>
        <w:bidi w:val="0"/>
        <w:spacing w:before="0" w:after="240"/>
        <w:jc w:val="both"/>
        <w:rPr>
          <w:b/>
          <w:sz w:val="24"/>
          <w:u w:val="double"/>
          <w:ins w:id="479" w:author=""/>
        </w:rPr>
      </w:pPr>
      <w:ins w:id="478" w:author="">
        <w:r>
          <w:rPr>
            <w:b/>
            <w:sz w:val="24"/>
            <w:u w:val="double"/>
          </w:rPr>
          <w:t>Fee Letters;</w:t>
        </w:r>
      </w:ins>
    </w:p>
    <w:p>
      <w:pPr>
        <w:pStyle w:val="Normal"/>
        <w:bidi w:val="0"/>
        <w:spacing w:before="0" w:after="240"/>
        <w:ind w:hanging="0" w:start="1440"/>
        <w:jc w:val="both"/>
        <w:rPr>
          <w:b/>
          <w:sz w:val="24"/>
          <w:u w:val="double"/>
          <w:ins w:id="481" w:author=""/>
        </w:rPr>
      </w:pPr>
      <w:ins w:id="480" w:author="">
        <w:r>
          <w:rPr>
            <w:b/>
            <w:sz w:val="24"/>
            <w:u w:val="double"/>
          </w:rPr>
          <w:tab/>
          <w:t>(G)</w:t>
          <w:tab/>
          <w:t>the Enron Guaranty; and</w:t>
        </w:r>
      </w:ins>
    </w:p>
    <w:p>
      <w:pPr>
        <w:pStyle w:val="Normal"/>
        <w:keepNext w:val="true"/>
        <w:bidi w:val="0"/>
        <w:spacing w:before="0" w:after="240"/>
        <w:ind w:hanging="0" w:start="1440"/>
        <w:jc w:val="both"/>
        <w:rPr>
          <w:sz w:val="24"/>
        </w:rPr>
      </w:pPr>
      <w:ins w:id="482" w:author="">
        <w:r>
          <w:rPr>
            <w:b/>
            <w:sz w:val="24"/>
            <w:u w:val="double"/>
          </w:rPr>
          <w:tab/>
          <w:t>(H)</w:t>
          <w:tab/>
          <w:t>the Funding Indemnity Agreement.</w:t>
        </w:r>
      </w:ins>
    </w:p>
    <w:p>
      <w:pPr>
        <w:pStyle w:val="Normal"/>
        <w:keepLines/>
        <w:bidi w:val="0"/>
        <w:jc w:val="both"/>
        <w:rPr>
          <w:sz w:val="24"/>
        </w:rPr>
      </w:pPr>
      <w:r>
        <w:rPr>
          <w:sz w:val="24"/>
        </w:rPr>
        <w:tab/>
      </w:r>
      <w:r>
        <w:fldChar w:fldCharType="begin"/>
      </w:r>
      <w:r>
        <w:rPr>
          <w:sz w:val="24"/>
        </w:rPr>
        <w:instrText xml:space="preserve"> TC "Section  4.2   Conditions Precedent to Lenders’ Obligations to Make Advances.   " \l 1 </w:instrText>
      </w:r>
      <w:r>
        <w:rPr>
          <w:sz w:val="24"/>
        </w:rPr>
        <w:fldChar w:fldCharType="separate"/>
      </w:r>
      <w:r>
        <w:rPr>
          <w:sz w:val="24"/>
        </w:rPr>
      </w:r>
      <w:r>
        <w:rPr>
          <w:sz w:val="24"/>
        </w:rPr>
        <w:fldChar w:fldCharType="end"/>
      </w:r>
      <w:r>
        <w:rPr>
          <w:sz w:val="24"/>
        </w:rPr>
        <w:t xml:space="preserve">The obligations of the Lenders to make the Advances </w:t>
      </w:r>
      <w:ins w:id="483" w:author="">
        <w:r>
          <w:rPr>
            <w:strike/>
            <w:sz w:val="24"/>
          </w:rPr>
          <w:t>comprising each Tranche</w:t>
        </w:r>
      </w:ins>
      <w:r>
        <w:rPr>
          <w:sz w:val="24"/>
        </w:rPr>
        <w:t xml:space="preserve"> available to the Trust under this Agreement </w:t>
      </w:r>
      <w:ins w:id="484" w:author="">
        <w:r>
          <w:rPr>
            <w:b/>
            <w:sz w:val="24"/>
            <w:u w:val="double"/>
          </w:rPr>
          <w:t>comprising each Tranche, other than the Hawaii Tranche and the Hawaii II Tranches,</w:t>
        </w:r>
      </w:ins>
      <w:r>
        <w:rPr>
          <w:sz w:val="24"/>
        </w:rPr>
        <w:t xml:space="preserve"> are conditioned upon the satisfaction of the following conditions precedent:</w:t>
      </w:r>
    </w:p>
    <w:p>
      <w:pPr>
        <w:pStyle w:val="Normal"/>
        <w:bidi w:val="0"/>
        <w:jc w:val="both"/>
        <w:rPr>
          <w:sz w:val="24"/>
        </w:rPr>
      </w:pPr>
      <w:r>
        <w:rPr>
          <w:sz w:val="24"/>
        </w:rPr>
      </w:r>
    </w:p>
    <w:p>
      <w:pPr>
        <w:pStyle w:val="Normal"/>
        <w:bidi w:val="0"/>
        <w:spacing w:before="0" w:after="240"/>
        <w:jc w:val="both"/>
        <w:rPr>
          <w:sz w:val="24"/>
        </w:rPr>
      </w:pPr>
      <w:r>
        <w:rPr>
          <w:sz w:val="24"/>
        </w:rPr>
        <w:tab/>
        <w:t>(a)</w:t>
        <w:tab/>
        <w:t>The Agent shall have received the following items in all respects (except where otherwise specified) in form and substance reasonably satisfactory to the Agent by 12:00 noon on the Business Day prior to the applicable Drawdown Date or such other time as is agreed by the Agent:</w:t>
      </w:r>
    </w:p>
    <w:p>
      <w:pPr>
        <w:pStyle w:val="Normal"/>
        <w:bidi w:val="0"/>
        <w:spacing w:before="0" w:after="240"/>
        <w:ind w:hanging="0" w:start="720"/>
        <w:jc w:val="both"/>
        <w:rPr>
          <w:sz w:val="24"/>
        </w:rPr>
      </w:pPr>
      <w:r>
        <w:rPr>
          <w:sz w:val="24"/>
        </w:rPr>
        <w:tab/>
        <w:t>(i)</w:t>
        <w:tab/>
        <w:t>duly executed counterparts (or, in the case of (D) only, a copy certified by an officer of the Transferor as being true and correct) of:</w:t>
      </w:r>
    </w:p>
    <w:p>
      <w:pPr>
        <w:pStyle w:val="Normal"/>
        <w:bidi w:val="0"/>
        <w:spacing w:before="0" w:after="240"/>
        <w:ind w:hanging="0" w:start="1440"/>
        <w:jc w:val="both"/>
        <w:rPr>
          <w:sz w:val="24"/>
        </w:rPr>
      </w:pPr>
      <w:r>
        <w:rPr>
          <w:sz w:val="24"/>
        </w:rPr>
        <w:tab/>
        <w:t>(A)</w:t>
        <w:tab/>
        <w:t>the applicable Series Supplement;</w:t>
      </w:r>
    </w:p>
    <w:p>
      <w:pPr>
        <w:pStyle w:val="Normal"/>
        <w:bidi w:val="0"/>
        <w:spacing w:before="0" w:after="240"/>
        <w:ind w:hanging="0" w:start="1440"/>
        <w:jc w:val="both"/>
        <w:rPr>
          <w:sz w:val="24"/>
        </w:rPr>
      </w:pPr>
      <w:r>
        <w:rPr>
          <w:sz w:val="24"/>
        </w:rPr>
        <w:tab/>
        <w:t>(B)</w:t>
        <w:tab/>
        <w:t>the applicable Drawdown Request;</w:t>
      </w:r>
    </w:p>
    <w:p>
      <w:pPr>
        <w:pStyle w:val="Normal"/>
        <w:bidi w:val="0"/>
        <w:spacing w:before="0" w:after="240"/>
        <w:ind w:hanging="0" w:start="1440"/>
        <w:jc w:val="both"/>
        <w:rPr>
          <w:sz w:val="24"/>
        </w:rPr>
      </w:pPr>
      <w:r>
        <w:rPr>
          <w:sz w:val="24"/>
        </w:rPr>
        <w:tab/>
        <w:t>(C)</w:t>
        <w:tab/>
        <w:t>the applicable Asset LLC Agreement;</w:t>
      </w:r>
    </w:p>
    <w:p>
      <w:pPr>
        <w:pStyle w:val="Normal"/>
        <w:bidi w:val="0"/>
        <w:spacing w:before="0" w:after="240"/>
        <w:ind w:hanging="0" w:start="1440"/>
        <w:jc w:val="both"/>
        <w:rPr>
          <w:sz w:val="24"/>
        </w:rPr>
      </w:pPr>
      <w:r>
        <w:rPr>
          <w:sz w:val="24"/>
        </w:rPr>
        <w:tab/>
        <w:t>(D)</w:t>
        <w:tab/>
        <w:t>the applicable Transferor Constitutional Document;</w:t>
      </w:r>
    </w:p>
    <w:p>
      <w:pPr>
        <w:pStyle w:val="Normal"/>
        <w:bidi w:val="0"/>
        <w:spacing w:before="0" w:after="240"/>
        <w:ind w:hanging="0" w:start="1440"/>
        <w:jc w:val="both"/>
        <w:rPr>
          <w:sz w:val="24"/>
        </w:rPr>
      </w:pPr>
      <w:r>
        <w:rPr>
          <w:sz w:val="24"/>
        </w:rPr>
        <w:tab/>
        <w:t>(E)</w:t>
        <w:tab/>
        <w:t xml:space="preserve">the applicable Swap Confirmation </w:t>
      </w:r>
      <w:ins w:id="485" w:author="">
        <w:r>
          <w:rPr>
            <w:b/>
            <w:sz w:val="24"/>
            <w:u w:val="double"/>
          </w:rPr>
          <w:t>and, if applicable, the related Total Return Swap Agreement described in clause (ii) of the definition of Total Return Swap Agreement</w:t>
        </w:r>
      </w:ins>
      <w:r>
        <w:rPr>
          <w:sz w:val="24"/>
        </w:rPr>
        <w:t>;</w:t>
      </w:r>
    </w:p>
    <w:p>
      <w:pPr>
        <w:pStyle w:val="Normal"/>
        <w:bidi w:val="0"/>
        <w:spacing w:before="0" w:after="240"/>
        <w:ind w:hanging="0" w:start="1440"/>
        <w:jc w:val="both"/>
        <w:rPr>
          <w:sz w:val="24"/>
        </w:rPr>
      </w:pPr>
      <w:r>
        <w:rPr>
          <w:sz w:val="24"/>
        </w:rPr>
        <w:tab/>
        <w:t>(F)</w:t>
        <w:tab/>
        <w:t>the applicable Series Certificate (the initial holder of which shall be CIBC Inc. or its assignee);</w:t>
      </w:r>
    </w:p>
    <w:p>
      <w:pPr>
        <w:pStyle w:val="Normal"/>
        <w:bidi w:val="0"/>
        <w:spacing w:before="0" w:after="240"/>
        <w:ind w:hanging="0" w:start="1440"/>
        <w:jc w:val="both"/>
        <w:rPr>
          <w:sz w:val="24"/>
        </w:rPr>
      </w:pPr>
      <w:r>
        <w:rPr>
          <w:sz w:val="24"/>
        </w:rPr>
        <w:tab/>
        <w:t>(G)</w:t>
        <w:tab/>
        <w:t>the applicable Independent Auctioneer Letter;</w:t>
      </w:r>
    </w:p>
    <w:p>
      <w:pPr>
        <w:pStyle w:val="Normal"/>
        <w:bidi w:val="0"/>
        <w:spacing w:before="0" w:after="240"/>
        <w:ind w:hanging="0" w:start="1440"/>
        <w:jc w:val="both"/>
        <w:rPr>
          <w:sz w:val="24"/>
        </w:rPr>
      </w:pPr>
      <w:r>
        <w:rPr>
          <w:sz w:val="24"/>
        </w:rPr>
        <w:tab/>
        <w:t>(H)</w:t>
        <w:tab/>
        <w:t xml:space="preserve">the applicable </w:t>
      </w:r>
      <w:ins w:id="486" w:author="">
        <w:r>
          <w:rPr>
            <w:strike/>
            <w:sz w:val="24"/>
          </w:rPr>
          <w:t>Sale</w:t>
        </w:r>
      </w:ins>
      <w:r>
        <w:rPr>
          <w:sz w:val="24"/>
        </w:rPr>
        <w:t xml:space="preserve"> </w:t>
      </w:r>
      <w:ins w:id="487" w:author="">
        <w:r>
          <w:rPr>
            <w:b/>
            <w:sz w:val="24"/>
            <w:u w:val="double"/>
          </w:rPr>
          <w:t>Transfer</w:t>
        </w:r>
      </w:ins>
      <w:r>
        <w:rPr>
          <w:sz w:val="24"/>
        </w:rPr>
        <w:t xml:space="preserve"> and Auction Agreement;</w:t>
      </w:r>
    </w:p>
    <w:p>
      <w:pPr>
        <w:pStyle w:val="Normal"/>
        <w:bidi w:val="0"/>
        <w:spacing w:before="0" w:after="240"/>
        <w:ind w:hanging="0" w:start="1440"/>
        <w:jc w:val="both"/>
        <w:rPr>
          <w:sz w:val="24"/>
        </w:rPr>
      </w:pPr>
      <w:r>
        <w:rPr>
          <w:sz w:val="24"/>
        </w:rPr>
        <w:tab/>
        <w:t>(I)</w:t>
        <w:tab/>
        <w:t>as applicable, either (i) the applicable Put Option Agreement and the applicable Put Option Assignment and/or (ii) the applicable Demand Note and the applicable Demand Note Assignment;</w:t>
      </w:r>
    </w:p>
    <w:p>
      <w:pPr>
        <w:pStyle w:val="Normal"/>
        <w:bidi w:val="0"/>
        <w:spacing w:before="0" w:after="240"/>
        <w:ind w:hanging="0" w:start="1440"/>
        <w:jc w:val="both"/>
        <w:rPr>
          <w:sz w:val="24"/>
        </w:rPr>
      </w:pPr>
      <w:r>
        <w:rPr>
          <w:sz w:val="24"/>
        </w:rPr>
        <w:tab/>
        <w:t>(J)</w:t>
        <w:tab/>
        <w:t>the applicable Asset Notice;</w:t>
      </w:r>
    </w:p>
    <w:p>
      <w:pPr>
        <w:pStyle w:val="Normal"/>
        <w:bidi w:val="0"/>
        <w:spacing w:before="0" w:after="240"/>
        <w:ind w:hanging="0" w:start="1440"/>
        <w:jc w:val="both"/>
        <w:rPr>
          <w:sz w:val="24"/>
        </w:rPr>
      </w:pPr>
      <w:r>
        <w:rPr>
          <w:sz w:val="24"/>
        </w:rPr>
        <w:tab/>
        <w:t>(K)</w:t>
        <w:tab/>
        <w:t xml:space="preserve">receipts from the applicable Asset LLC and the applicable Transferor acknowledging receipt of the capital contributions made on the Drawdown Date and from the applicable Asset LLC acknowledging payment in full of the Asset LLC Note (as defined in the Asset LLC Agreement), if applicable, in accordance with Section 3.02(b) of the </w:t>
      </w:r>
      <w:ins w:id="488" w:author="">
        <w:r>
          <w:rPr>
            <w:strike/>
            <w:sz w:val="24"/>
          </w:rPr>
          <w:t>Sale</w:t>
        </w:r>
      </w:ins>
      <w:r>
        <w:rPr>
          <w:sz w:val="24"/>
        </w:rPr>
        <w:t xml:space="preserve"> </w:t>
      </w:r>
      <w:ins w:id="489" w:author="">
        <w:r>
          <w:rPr>
            <w:b/>
            <w:sz w:val="24"/>
            <w:u w:val="double"/>
          </w:rPr>
          <w:t>Transfer</w:t>
        </w:r>
      </w:ins>
      <w:r>
        <w:rPr>
          <w:sz w:val="24"/>
        </w:rPr>
        <w:t xml:space="preserve"> and Auction Agreement and from the Trust acknowledging receipt of an amount equal to the Certificate Base Amount as specified in the applicable Series Certificate and from the Trust acknowledging receipt of the applicable Class B Interest; </w:t>
      </w:r>
      <w:ins w:id="490" w:author="">
        <w:r>
          <w:rPr>
            <w:b/>
            <w:sz w:val="24"/>
            <w:u w:val="double"/>
          </w:rPr>
          <w:t>and</w:t>
        </w:r>
      </w:ins>
      <w:ins w:id="491" w:author="">
        <w:r>
          <w:rPr>
            <w:strike/>
            <w:sz w:val="24"/>
          </w:rPr>
          <w:t>(L) the Notes, including any Notes required to be issued to additional Lenders under Section 3.3(b)(iii); and</w:t>
        </w:r>
      </w:ins>
    </w:p>
    <w:p>
      <w:pPr>
        <w:pStyle w:val="Normal"/>
        <w:bidi w:val="0"/>
        <w:spacing w:before="0" w:after="240"/>
        <w:ind w:hanging="0" w:start="1440"/>
        <w:jc w:val="both"/>
        <w:rPr>
          <w:sz w:val="24"/>
        </w:rPr>
      </w:pPr>
      <w:r>
        <w:rPr>
          <w:sz w:val="24"/>
        </w:rPr>
        <w:tab/>
      </w:r>
      <w:ins w:id="492" w:author="">
        <w:r>
          <w:rPr>
            <w:strike/>
            <w:sz w:val="24"/>
          </w:rPr>
          <w:t>(M)</w:t>
        </w:r>
      </w:ins>
      <w:ins w:id="493" w:author="">
        <w:r>
          <w:rPr>
            <w:b/>
            <w:sz w:val="24"/>
            <w:u w:val="double"/>
          </w:rPr>
          <w:t>(L)</w:t>
        </w:r>
      </w:ins>
      <w:r>
        <w:rPr>
          <w:sz w:val="24"/>
        </w:rPr>
        <w:tab/>
        <w:t>if the Transferor has incurred any obligations prior to the Drawdown Date, a certificate executed by Enron in form and substance satisfactory to the Agent, representing and warranting    that such obligations have been discharged in full or that the Transferor will have sufficient funds to discharge such obligations as they fall due.</w:t>
      </w:r>
    </w:p>
    <w:p>
      <w:pPr>
        <w:pStyle w:val="Normal"/>
        <w:bidi w:val="0"/>
        <w:spacing w:before="0" w:after="240"/>
        <w:ind w:hanging="0" w:start="720"/>
        <w:jc w:val="both"/>
        <w:rPr>
          <w:sz w:val="24"/>
        </w:rPr>
      </w:pPr>
      <w:r>
        <w:rPr>
          <w:sz w:val="24"/>
        </w:rPr>
        <w:tab/>
        <w:t>(ii)</w:t>
        <w:tab/>
        <w:t>legal opinions in substantially the form of Exhibit J hereto and dated the Drawdown Date from:</w:t>
      </w:r>
    </w:p>
    <w:p>
      <w:pPr>
        <w:pStyle w:val="Normal"/>
        <w:bidi w:val="0"/>
        <w:spacing w:before="0" w:after="240"/>
        <w:ind w:hanging="0" w:start="1440"/>
        <w:jc w:val="both"/>
        <w:rPr>
          <w:sz w:val="24"/>
        </w:rPr>
      </w:pPr>
      <w:r>
        <w:rPr>
          <w:sz w:val="24"/>
        </w:rPr>
        <w:tab/>
        <w:t>(A)</w:t>
        <w:tab/>
        <w:t xml:space="preserve">Andrews &amp; Kurth L.L.P., special counsel to the applicable Asset LLC, the Sponsor </w:t>
      </w:r>
      <w:ins w:id="494" w:author="">
        <w:r>
          <w:rPr>
            <w:strike/>
            <w:sz w:val="24"/>
          </w:rPr>
          <w:t>and Enron;</w:t>
        </w:r>
      </w:ins>
      <w:ins w:id="495" w:author="">
        <w:r>
          <w:rPr>
            <w:b/>
            <w:sz w:val="24"/>
            <w:u w:val="double"/>
          </w:rPr>
          <w:t>, Enron and the applicable Permitted Swap Party (if any);</w:t>
        </w:r>
      </w:ins>
    </w:p>
    <w:p>
      <w:pPr>
        <w:pStyle w:val="Normal"/>
        <w:bidi w:val="0"/>
        <w:spacing w:before="0" w:after="240"/>
        <w:ind w:hanging="0" w:start="1440"/>
        <w:jc w:val="both"/>
        <w:rPr>
          <w:sz w:val="24"/>
        </w:rPr>
      </w:pPr>
      <w:r>
        <w:rPr>
          <w:sz w:val="24"/>
        </w:rPr>
        <w:tab/>
        <w:t>(B)</w:t>
        <w:tab/>
        <w:t>Prickett, Jones &amp; Elliott, special Delaware counsel to the applicable Asset LLC;</w:t>
      </w:r>
    </w:p>
    <w:p>
      <w:pPr>
        <w:pStyle w:val="Normal"/>
        <w:bidi w:val="0"/>
        <w:spacing w:before="0" w:after="240"/>
        <w:ind w:hanging="0" w:start="1440"/>
        <w:jc w:val="both"/>
        <w:rPr>
          <w:sz w:val="24"/>
        </w:rPr>
      </w:pPr>
      <w:r>
        <w:rPr>
          <w:sz w:val="24"/>
        </w:rPr>
        <w:tab/>
        <w:t>(C)</w:t>
        <w:tab/>
        <w:t xml:space="preserve">General counsel to Enron </w:t>
      </w:r>
      <w:ins w:id="496" w:author="">
        <w:r>
          <w:rPr>
            <w:strike/>
            <w:sz w:val="24"/>
          </w:rPr>
          <w:t>and</w:t>
        </w:r>
      </w:ins>
      <w:ins w:id="497" w:author="">
        <w:r>
          <w:rPr>
            <w:b/>
            <w:sz w:val="24"/>
            <w:u w:val="double"/>
          </w:rPr>
          <w:t>,</w:t>
        </w:r>
      </w:ins>
      <w:r>
        <w:rPr>
          <w:sz w:val="24"/>
        </w:rPr>
        <w:t xml:space="preserve"> the Sponsor </w:t>
      </w:r>
      <w:ins w:id="498" w:author="">
        <w:r>
          <w:rPr>
            <w:b/>
            <w:sz w:val="24"/>
            <w:u w:val="double"/>
          </w:rPr>
          <w:t>and the applicable Permitted Swap Party (if any)</w:t>
        </w:r>
      </w:ins>
      <w:r>
        <w:rPr>
          <w:sz w:val="24"/>
        </w:rPr>
        <w:t>, respectively;</w:t>
      </w:r>
    </w:p>
    <w:p>
      <w:pPr>
        <w:pStyle w:val="Normal"/>
        <w:bidi w:val="0"/>
        <w:spacing w:before="0" w:after="240"/>
        <w:ind w:hanging="0" w:start="1440"/>
        <w:jc w:val="both"/>
        <w:rPr>
          <w:sz w:val="24"/>
        </w:rPr>
      </w:pPr>
      <w:r>
        <w:rPr>
          <w:sz w:val="24"/>
        </w:rPr>
        <w:tab/>
        <w:t>(D)</w:t>
        <w:tab/>
        <w:t>Richards, Layton &amp; Finger, counsel to the Trust;</w:t>
      </w:r>
    </w:p>
    <w:p>
      <w:pPr>
        <w:pStyle w:val="Normal"/>
        <w:bidi w:val="0"/>
        <w:spacing w:before="0" w:after="240"/>
        <w:ind w:hanging="0" w:start="1440"/>
        <w:jc w:val="both"/>
        <w:rPr>
          <w:sz w:val="24"/>
        </w:rPr>
      </w:pPr>
      <w:r>
        <w:rPr>
          <w:sz w:val="24"/>
        </w:rPr>
        <w:tab/>
        <w:t>(E)</w:t>
        <w:tab/>
        <w:t xml:space="preserve">only </w:t>
      </w:r>
      <w:ins w:id="499" w:author="">
        <w:r>
          <w:rPr>
            <w:strike/>
            <w:sz w:val="24"/>
          </w:rPr>
          <w:t>on the first Drawdown Date and</w:t>
        </w:r>
      </w:ins>
      <w:r>
        <w:rPr>
          <w:sz w:val="24"/>
        </w:rPr>
        <w:t xml:space="preserve"> on the Second Drawdown Date, an opinion of Mayer Brown &amp; Platt, counsel to the Agent; and</w:t>
      </w:r>
    </w:p>
    <w:p>
      <w:pPr>
        <w:pStyle w:val="Normal"/>
        <w:bidi w:val="0"/>
        <w:spacing w:before="0" w:after="240"/>
        <w:ind w:hanging="0" w:start="1440"/>
        <w:jc w:val="both"/>
        <w:rPr>
          <w:sz w:val="24"/>
        </w:rPr>
      </w:pPr>
      <w:r>
        <w:rPr>
          <w:sz w:val="24"/>
        </w:rPr>
        <w:tab/>
        <w:t>(F)</w:t>
        <w:tab/>
        <w:t>Andrews &amp; Kurth L.L.P., Prickett, Jones &amp; Elliott, Richards, Layton &amp; Finger or such other counsel as may be reasonably acceptable to the Agent, as special counsel to the applicable Transferor.</w:t>
      </w:r>
    </w:p>
    <w:p>
      <w:pPr>
        <w:pStyle w:val="Normal"/>
        <w:bidi w:val="0"/>
        <w:ind w:hanging="0" w:start="1440"/>
        <w:jc w:val="both"/>
        <w:rPr>
          <w:sz w:val="24"/>
        </w:rPr>
      </w:pPr>
      <w:r>
        <w:rPr>
          <w:sz w:val="24"/>
        </w:rPr>
        <w:t>(iii)</w:t>
        <w:tab/>
        <w:t>(A)</w:t>
        <w:tab/>
        <w:t xml:space="preserve">the organizational documents of the applicable Asset LLC, the applicable Transferor </w:t>
      </w:r>
      <w:ins w:id="500" w:author="">
        <w:r>
          <w:rPr>
            <w:strike/>
            <w:sz w:val="24"/>
          </w:rPr>
          <w:t>and</w:t>
        </w:r>
      </w:ins>
      <w:ins w:id="501" w:author="">
        <w:r>
          <w:rPr>
            <w:b/>
            <w:sz w:val="24"/>
            <w:u w:val="double"/>
          </w:rPr>
          <w:t>,</w:t>
        </w:r>
      </w:ins>
      <w:r>
        <w:rPr>
          <w:sz w:val="24"/>
        </w:rPr>
        <w:t xml:space="preserve"> the applicable Sponsor </w:t>
      </w:r>
      <w:ins w:id="502" w:author="">
        <w:r>
          <w:rPr>
            <w:b/>
            <w:sz w:val="24"/>
            <w:u w:val="double"/>
          </w:rPr>
          <w:t>and the applicable Permitted Swap Party (if any)</w:t>
        </w:r>
      </w:ins>
      <w:r>
        <w:rPr>
          <w:sz w:val="24"/>
        </w:rPr>
        <w:t xml:space="preserve"> including evidence of due formation and “good standing”; </w:t>
      </w:r>
    </w:p>
    <w:p>
      <w:pPr>
        <w:pStyle w:val="Normal"/>
        <w:bidi w:val="0"/>
        <w:jc w:val="both"/>
        <w:rPr>
          <w:sz w:val="24"/>
        </w:rPr>
      </w:pPr>
      <w:r>
        <w:rPr>
          <w:sz w:val="24"/>
        </w:rPr>
      </w:r>
    </w:p>
    <w:p>
      <w:pPr>
        <w:pStyle w:val="Normal"/>
        <w:bidi w:val="0"/>
        <w:ind w:hanging="0" w:start="1440"/>
        <w:jc w:val="both"/>
        <w:rPr>
          <w:sz w:val="24"/>
        </w:rPr>
      </w:pPr>
      <w:r>
        <w:rPr>
          <w:sz w:val="24"/>
        </w:rPr>
        <w:tab/>
        <w:t>(B)</w:t>
        <w:tab/>
        <w:t xml:space="preserve">board (or other appropriate governing body) resolutions of each party to the Operative Documents other than Enron, the Trust and the Finance Parties(a)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w:t>
      </w:r>
    </w:p>
    <w:p>
      <w:pPr>
        <w:pStyle w:val="Normal"/>
        <w:bidi w:val="0"/>
        <w:jc w:val="both"/>
        <w:rPr>
          <w:sz w:val="24"/>
        </w:rPr>
      </w:pPr>
      <w:r>
        <w:rPr>
          <w:sz w:val="24"/>
        </w:rPr>
      </w:r>
    </w:p>
    <w:p>
      <w:pPr>
        <w:pStyle w:val="Normal"/>
        <w:bidi w:val="0"/>
        <w:ind w:hanging="0" w:start="1440"/>
        <w:jc w:val="both"/>
        <w:rPr>
          <w:sz w:val="24"/>
        </w:rPr>
      </w:pPr>
      <w:r>
        <w:rPr>
          <w:sz w:val="24"/>
        </w:rPr>
        <w:tab/>
        <w:t>(C)</w:t>
        <w:tab/>
        <w:t>all other limited liability company, trust or other applicable authorizations and actions of the Trust, the applicable Asset LLC, the applicable Transferor</w:t>
      </w:r>
      <w:ins w:id="503" w:author="">
        <w:r>
          <w:rPr>
            <w:b/>
            <w:sz w:val="24"/>
            <w:u w:val="double"/>
          </w:rPr>
          <w:t>, the applicable Permitted Swap Party (if any)</w:t>
        </w:r>
      </w:ins>
      <w:r>
        <w:rPr>
          <w:sz w:val="24"/>
        </w:rPr>
        <w:t xml:space="preserve"> and the Sponsor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w:t>
        <w:tab/>
        <w:t xml:space="preserve">capacity and as the sole member or managing member (as applicable) of the applicable Asset LLC and (if applicable) the applicable Transferor </w:t>
      </w:r>
      <w:ins w:id="504" w:author="">
        <w:r>
          <w:rPr>
            <w:b/>
            <w:sz w:val="24"/>
            <w:u w:val="double"/>
          </w:rPr>
          <w:t>and the applicable Permitted Swap Party (if any)</w:t>
        </w:r>
      </w:ins>
      <w:r>
        <w:rPr>
          <w:sz w:val="24"/>
        </w:rPr>
        <w:t xml:space="preserve"> in the board (or other appropriate governing body) resolutions described in Section 4.2</w:t>
      </w:r>
      <w:ins w:id="505" w:author="">
        <w:r>
          <w:rPr>
            <w:strike/>
            <w:sz w:val="24"/>
          </w:rPr>
          <w:t>(a) (iii)</w:t>
        </w:r>
      </w:ins>
      <w:ins w:id="506" w:author="">
        <w:r>
          <w:rPr>
            <w:b/>
            <w:sz w:val="24"/>
            <w:u w:val="double"/>
          </w:rPr>
          <w:t>(a)(iii)</w:t>
        </w:r>
      </w:ins>
      <w:r>
        <w:rPr>
          <w:sz w:val="24"/>
        </w:rPr>
        <w:t>(B) to sign Operative Documents to which it is or is to be a party; and</w:t>
      </w:r>
    </w:p>
    <w:p>
      <w:pPr>
        <w:pStyle w:val="Normal"/>
        <w:bidi w:val="0"/>
        <w:jc w:val="both"/>
        <w:rPr>
          <w:sz w:val="24"/>
        </w:rPr>
      </w:pPr>
      <w:r>
        <w:rPr>
          <w:sz w:val="24"/>
        </w:rPr>
      </w:r>
    </w:p>
    <w:p>
      <w:pPr>
        <w:pStyle w:val="Normal"/>
        <w:bidi w:val="0"/>
        <w:spacing w:before="0" w:after="240"/>
        <w:jc w:val="both"/>
        <w:rPr>
          <w:sz w:val="24"/>
        </w:rPr>
      </w:pPr>
      <w:r>
        <w:rPr>
          <w:sz w:val="24"/>
        </w:rPr>
        <w:tab/>
        <w:t>(b)</w:t>
        <w:tab/>
        <w:t>Since the date of this Agreement:</w:t>
      </w:r>
    </w:p>
    <w:p>
      <w:pPr>
        <w:pStyle w:val="Normal"/>
        <w:bidi w:val="0"/>
        <w:spacing w:before="0" w:after="240"/>
        <w:ind w:hanging="0" w:start="720"/>
        <w:jc w:val="both"/>
        <w:rPr>
          <w:sz w:val="24"/>
        </w:rPr>
      </w:pPr>
      <w:r>
        <w:rPr>
          <w:sz w:val="24"/>
        </w:rPr>
        <w:tab/>
        <w:t>(i)</w:t>
        <w:tab/>
        <w:t>no Material Adverse Effect, Event of Default or Default</w:t>
      </w:r>
      <w:ins w:id="507" w:author="">
        <w:r>
          <w:rPr>
            <w:b/>
            <w:sz w:val="24"/>
            <w:u w:val="double"/>
          </w:rPr>
          <w:t>, and no “Material Adverse Effect”, “Event of Default” or “Default” (as such terms are defined in the Hawaii II Facility Agreement),</w:t>
        </w:r>
      </w:ins>
      <w:r>
        <w:rPr>
          <w:sz w:val="24"/>
        </w:rPr>
        <w:t xml:space="preserve"> shall have occurred and be continuing unremedied or will occur as    a result of the making of the Advances; and</w:t>
      </w:r>
    </w:p>
    <w:p>
      <w:pPr>
        <w:pStyle w:val="Normal"/>
        <w:keepNext w:val="true"/>
        <w:bidi w:val="0"/>
        <w:spacing w:before="0" w:after="240"/>
        <w:ind w:hanging="0" w:start="720"/>
        <w:jc w:val="both"/>
        <w:rPr>
          <w:sz w:val="24"/>
        </w:rPr>
      </w:pPr>
      <w:r>
        <w:rPr>
          <w:sz w:val="24"/>
        </w:rPr>
        <w:tab/>
        <w:t>(ii)</w:t>
        <w:tab/>
        <w:t>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p>
    <w:p>
      <w:pPr>
        <w:pStyle w:val="Normal"/>
        <w:keepLines/>
        <w:bidi w:val="0"/>
        <w:jc w:val="both"/>
        <w:rPr>
          <w:sz w:val="24"/>
        </w:rPr>
      </w:pPr>
      <w:r>
        <w:rPr>
          <w:sz w:val="24"/>
        </w:rPr>
        <w:tab/>
      </w:r>
      <w:r>
        <w:fldChar w:fldCharType="begin"/>
      </w:r>
      <w:r>
        <w:rPr>
          <w:sz w:val="24"/>
        </w:rPr>
        <w:instrText xml:space="preserve"> TC "Section  4.3   Commitments Not Drawn. Any Commitments not drawn on or before one month prior to the Maturity Conditions Precedent to Lenders’ Obligations to Make Advances with Respect to the Hawaii Tranche.   " \l 1 </w:instrText>
      </w:r>
      <w:r>
        <w:rPr>
          <w:sz w:val="24"/>
        </w:rPr>
        <w:fldChar w:fldCharType="separate"/>
      </w:r>
      <w:r>
        <w:rPr>
          <w:sz w:val="24"/>
        </w:rPr>
      </w:r>
      <w:r>
        <w:rPr>
          <w:sz w:val="24"/>
        </w:rPr>
        <w:fldChar w:fldCharType="end"/>
      </w:r>
      <w:r>
        <w:rPr>
          <w:sz w:val="24"/>
        </w:rPr>
        <w:t xml:space="preserve">The obligations of the Lenders to make the Advances with respect to the Hawaii Tranche available to the Trust on the Closing Date under this Agreement are conditioned upon the satisfaction of the following conditions precedent:    </w:t>
      </w:r>
    </w:p>
    <w:p>
      <w:pPr>
        <w:pStyle w:val="Normal"/>
        <w:bidi w:val="0"/>
        <w:jc w:val="both"/>
        <w:rPr>
          <w:b/>
          <w:sz w:val="24"/>
          <w:u w:val="double"/>
          <w:ins w:id="509" w:author=""/>
        </w:rPr>
      </w:pPr>
      <w:ins w:id="508" w:author="">
        <w:r>
          <w:rPr>
            <w:b/>
            <w:sz w:val="24"/>
            <w:u w:val="double"/>
          </w:rPr>
        </w:r>
      </w:ins>
    </w:p>
    <w:p>
      <w:pPr>
        <w:pStyle w:val="Normal"/>
        <w:bidi w:val="0"/>
        <w:jc w:val="both"/>
        <w:rPr>
          <w:b/>
          <w:sz w:val="24"/>
          <w:u w:val="double"/>
          <w:ins w:id="511" w:author=""/>
        </w:rPr>
      </w:pPr>
      <w:ins w:id="510" w:author="">
        <w:r>
          <w:rPr>
            <w:b/>
            <w:sz w:val="24"/>
            <w:u w:val="double"/>
          </w:rPr>
          <w:tab/>
          <w:t>(a)</w:t>
          <w:tab/>
          <w:t>the Agent shall have received the following items, with respect to the Hawaii Tranche, in all respects (except where otherwise specified) in form and substance reasonably satisfactory to the Agent:</w:t>
        </w:r>
      </w:ins>
    </w:p>
    <w:p>
      <w:pPr>
        <w:pStyle w:val="Normal"/>
        <w:bidi w:val="0"/>
        <w:jc w:val="both"/>
        <w:rPr>
          <w:b/>
          <w:sz w:val="24"/>
          <w:u w:val="double"/>
          <w:ins w:id="513" w:author=""/>
        </w:rPr>
      </w:pPr>
      <w:ins w:id="512" w:author="">
        <w:r>
          <w:rPr>
            <w:b/>
            <w:sz w:val="24"/>
            <w:u w:val="double"/>
          </w:rPr>
        </w:r>
      </w:ins>
    </w:p>
    <w:p>
      <w:pPr>
        <w:pStyle w:val="Normal"/>
        <w:tabs>
          <w:tab w:val="left" w:pos="720" w:leader="none"/>
          <w:tab w:val="left" w:pos="1440" w:leader="none"/>
          <w:tab w:val="left" w:pos="2160" w:leader="none"/>
        </w:tabs>
        <w:bidi w:val="0"/>
        <w:ind w:hanging="720" w:start="2160"/>
        <w:jc w:val="both"/>
        <w:rPr>
          <w:b/>
          <w:sz w:val="24"/>
          <w:u w:val="double"/>
          <w:ins w:id="515" w:author=""/>
        </w:rPr>
      </w:pPr>
      <w:ins w:id="514" w:author="">
        <w:r>
          <w:rPr>
            <w:b/>
            <w:sz w:val="24"/>
            <w:u w:val="double"/>
          </w:rPr>
          <w:t>(i)</w:t>
          <w:tab/>
          <w:t>duly executed counterparts of:</w:t>
        </w:r>
      </w:ins>
    </w:p>
    <w:p>
      <w:pPr>
        <w:pStyle w:val="Normal"/>
        <w:bidi w:val="0"/>
        <w:jc w:val="both"/>
        <w:rPr>
          <w:b/>
          <w:sz w:val="24"/>
          <w:u w:val="double"/>
          <w:ins w:id="517" w:author=""/>
        </w:rPr>
      </w:pPr>
      <w:ins w:id="516" w:author="">
        <w:r>
          <w:rPr>
            <w:b/>
            <w:sz w:val="24"/>
            <w:u w:val="double"/>
          </w:rPr>
        </w:r>
      </w:ins>
    </w:p>
    <w:p>
      <w:pPr>
        <w:pStyle w:val="Normal"/>
        <w:tabs>
          <w:tab w:val="left" w:pos="720" w:leader="none"/>
          <w:tab w:val="left" w:pos="1440" w:leader="none"/>
          <w:tab w:val="left" w:pos="2160" w:leader="none"/>
          <w:tab w:val="left" w:pos="2880" w:leader="none"/>
        </w:tabs>
        <w:bidi w:val="0"/>
        <w:ind w:hanging="1440" w:start="2880"/>
        <w:jc w:val="both"/>
        <w:rPr>
          <w:b/>
          <w:sz w:val="24"/>
          <w:u w:val="double"/>
          <w:ins w:id="519" w:author=""/>
        </w:rPr>
      </w:pPr>
      <w:ins w:id="518" w:author="">
        <w:r>
          <w:rPr>
            <w:b/>
            <w:sz w:val="24"/>
            <w:u w:val="double"/>
          </w:rPr>
          <w:tab/>
          <w:t>(A)</w:t>
          <w:tab/>
          <w:t>the applicable Series Supplement;</w:t>
        </w:r>
      </w:ins>
    </w:p>
    <w:p>
      <w:pPr>
        <w:pStyle w:val="Normal"/>
        <w:bidi w:val="0"/>
        <w:jc w:val="both"/>
        <w:rPr>
          <w:b/>
          <w:sz w:val="24"/>
          <w:u w:val="double"/>
          <w:ins w:id="521" w:author=""/>
        </w:rPr>
      </w:pPr>
      <w:ins w:id="520" w:author="">
        <w:r>
          <w:rPr>
            <w:b/>
            <w:sz w:val="24"/>
            <w:u w:val="double"/>
          </w:rPr>
        </w:r>
      </w:ins>
    </w:p>
    <w:p>
      <w:pPr>
        <w:pStyle w:val="Normal"/>
        <w:bidi w:val="0"/>
        <w:ind w:hanging="0" w:start="1440"/>
        <w:jc w:val="both"/>
        <w:rPr>
          <w:b/>
          <w:sz w:val="24"/>
          <w:u w:val="double"/>
          <w:ins w:id="523" w:author=""/>
        </w:rPr>
      </w:pPr>
      <w:ins w:id="522" w:author="">
        <w:r>
          <w:rPr>
            <w:b/>
            <w:sz w:val="24"/>
            <w:u w:val="double"/>
          </w:rPr>
          <w:tab/>
          <w:t>(B)</w:t>
          <w:tab/>
          <w:t>the applicable Drawdown Request with a copy of the Asset Notice executed and delivered in connection with the drawdown of the Hawaii Tranche under the Hawaii Facility Agreement;</w:t>
        </w:r>
      </w:ins>
    </w:p>
    <w:p>
      <w:pPr>
        <w:pStyle w:val="Normal"/>
        <w:bidi w:val="0"/>
        <w:jc w:val="both"/>
        <w:rPr>
          <w:b/>
          <w:sz w:val="24"/>
          <w:u w:val="double"/>
          <w:ins w:id="525" w:author=""/>
        </w:rPr>
      </w:pPr>
      <w:ins w:id="524" w:author="">
        <w:r>
          <w:rPr>
            <w:b/>
            <w:sz w:val="24"/>
            <w:u w:val="double"/>
          </w:rPr>
        </w:r>
      </w:ins>
    </w:p>
    <w:p>
      <w:pPr>
        <w:pStyle w:val="Normal"/>
        <w:bidi w:val="0"/>
        <w:ind w:hanging="0" w:start="1440"/>
        <w:jc w:val="both"/>
        <w:rPr>
          <w:b/>
          <w:sz w:val="24"/>
          <w:u w:val="double"/>
          <w:ins w:id="527" w:author=""/>
        </w:rPr>
      </w:pPr>
      <w:ins w:id="526" w:author="">
        <w:r>
          <w:rPr>
            <w:b/>
            <w:sz w:val="24"/>
            <w:u w:val="double"/>
          </w:rPr>
          <w:tab/>
          <w:t>(C)</w:t>
          <w:tab/>
          <w:t>the applicable Series Certificate (the initial holder of which shall be CIBC Inc. or its assignee);</w:t>
        </w:r>
      </w:ins>
    </w:p>
    <w:p>
      <w:pPr>
        <w:pStyle w:val="Normal"/>
        <w:bidi w:val="0"/>
        <w:jc w:val="both"/>
        <w:rPr>
          <w:b/>
          <w:sz w:val="24"/>
          <w:u w:val="double"/>
          <w:ins w:id="529" w:author=""/>
        </w:rPr>
      </w:pPr>
      <w:ins w:id="528" w:author="">
        <w:r>
          <w:rPr>
            <w:b/>
            <w:sz w:val="24"/>
            <w:u w:val="double"/>
          </w:rPr>
        </w:r>
      </w:ins>
    </w:p>
    <w:p>
      <w:pPr>
        <w:pStyle w:val="Normal"/>
        <w:tabs>
          <w:tab w:val="left" w:pos="720" w:leader="none"/>
          <w:tab w:val="left" w:pos="1440" w:leader="none"/>
          <w:tab w:val="left" w:pos="2160" w:leader="none"/>
          <w:tab w:val="left" w:pos="2880" w:leader="none"/>
        </w:tabs>
        <w:bidi w:val="0"/>
        <w:ind w:hanging="1440" w:start="2880"/>
        <w:jc w:val="both"/>
        <w:rPr>
          <w:b/>
          <w:sz w:val="24"/>
          <w:u w:val="double"/>
          <w:ins w:id="531" w:author=""/>
        </w:rPr>
      </w:pPr>
      <w:ins w:id="530" w:author="">
        <w:r>
          <w:rPr>
            <w:b/>
            <w:sz w:val="24"/>
            <w:u w:val="double"/>
          </w:rPr>
          <w:tab/>
          <w:t>(D)</w:t>
          <w:tab/>
          <w:t>the applicable Omnibus Amendment;</w:t>
        </w:r>
      </w:ins>
    </w:p>
    <w:p>
      <w:pPr>
        <w:pStyle w:val="Normal"/>
        <w:bidi w:val="0"/>
        <w:jc w:val="both"/>
        <w:rPr>
          <w:b/>
          <w:sz w:val="24"/>
          <w:u w:val="double"/>
          <w:ins w:id="533" w:author=""/>
        </w:rPr>
      </w:pPr>
      <w:ins w:id="532" w:author="">
        <w:r>
          <w:rPr>
            <w:b/>
            <w:sz w:val="24"/>
            <w:u w:val="double"/>
          </w:rPr>
        </w:r>
      </w:ins>
    </w:p>
    <w:p>
      <w:pPr>
        <w:pStyle w:val="Normal"/>
        <w:tabs>
          <w:tab w:val="left" w:pos="720" w:leader="none"/>
          <w:tab w:val="left" w:pos="1440" w:leader="none"/>
          <w:tab w:val="left" w:pos="2160" w:leader="none"/>
          <w:tab w:val="left" w:pos="2880" w:leader="none"/>
        </w:tabs>
        <w:bidi w:val="0"/>
        <w:ind w:hanging="1440" w:start="2880"/>
        <w:jc w:val="both"/>
        <w:rPr>
          <w:b/>
          <w:sz w:val="24"/>
          <w:u w:val="double"/>
          <w:ins w:id="535" w:author=""/>
        </w:rPr>
      </w:pPr>
      <w:ins w:id="534" w:author="">
        <w:r>
          <w:rPr>
            <w:b/>
            <w:sz w:val="24"/>
            <w:u w:val="double"/>
          </w:rPr>
          <w:tab/>
          <w:t>(E)</w:t>
          <w:tab/>
          <w:t>the applicable Transfer and Auction Agreement;</w:t>
        </w:r>
      </w:ins>
    </w:p>
    <w:p>
      <w:pPr>
        <w:pStyle w:val="Normal"/>
        <w:bidi w:val="0"/>
        <w:jc w:val="both"/>
        <w:rPr>
          <w:b/>
          <w:sz w:val="24"/>
          <w:u w:val="double"/>
          <w:ins w:id="537" w:author=""/>
        </w:rPr>
      </w:pPr>
      <w:ins w:id="536" w:author="">
        <w:r>
          <w:rPr>
            <w:b/>
            <w:sz w:val="24"/>
            <w:u w:val="double"/>
          </w:rPr>
        </w:r>
      </w:ins>
    </w:p>
    <w:p>
      <w:pPr>
        <w:pStyle w:val="Normal"/>
        <w:tabs>
          <w:tab w:val="left" w:pos="720" w:leader="none"/>
          <w:tab w:val="left" w:pos="1440" w:leader="none"/>
          <w:tab w:val="left" w:pos="2160" w:leader="none"/>
          <w:tab w:val="left" w:pos="2880" w:leader="none"/>
        </w:tabs>
        <w:bidi w:val="0"/>
        <w:ind w:hanging="1440" w:start="2880"/>
        <w:jc w:val="both"/>
        <w:rPr>
          <w:b/>
          <w:sz w:val="24"/>
          <w:u w:val="double"/>
          <w:ins w:id="539" w:author=""/>
        </w:rPr>
      </w:pPr>
      <w:ins w:id="538" w:author="">
        <w:r>
          <w:rPr>
            <w:b/>
            <w:sz w:val="24"/>
            <w:u w:val="double"/>
          </w:rPr>
          <w:tab/>
          <w:t>(F)</w:t>
          <w:tab/>
          <w:t>the applicable Put Option Assignment; and</w:t>
        </w:r>
      </w:ins>
    </w:p>
    <w:p>
      <w:pPr>
        <w:pStyle w:val="Normal"/>
        <w:bidi w:val="0"/>
        <w:jc w:val="both"/>
        <w:rPr>
          <w:b/>
          <w:sz w:val="24"/>
          <w:u w:val="double"/>
          <w:ins w:id="541" w:author=""/>
        </w:rPr>
      </w:pPr>
      <w:ins w:id="540" w:author="">
        <w:r>
          <w:rPr>
            <w:b/>
            <w:sz w:val="24"/>
            <w:u w:val="double"/>
          </w:rPr>
        </w:r>
      </w:ins>
    </w:p>
    <w:p>
      <w:pPr>
        <w:pStyle w:val="Normal"/>
        <w:bidi w:val="0"/>
        <w:ind w:hanging="0" w:start="1440"/>
        <w:jc w:val="both"/>
        <w:rPr>
          <w:b/>
          <w:sz w:val="24"/>
          <w:u w:val="double"/>
          <w:ins w:id="543" w:author=""/>
        </w:rPr>
      </w:pPr>
      <w:ins w:id="542" w:author="">
        <w:r>
          <w:rPr>
            <w:b/>
            <w:sz w:val="24"/>
            <w:u w:val="double"/>
          </w:rPr>
          <w:tab/>
          <w:t>(G)</w:t>
          <w:tab/>
          <w:t>written confirmation from Enron that the Operative Documents (as defined in the Hawaii Facility Agreement) have not been amended, modified or rescinded since the date such documents were executed and delivered, except as specifically identified, and if such documents have been amended, modified or rescinded, written confirmation from the Agent that it has consented to such amendments, modifications or rescissions.</w:t>
        </w:r>
      </w:ins>
    </w:p>
    <w:p>
      <w:pPr>
        <w:pStyle w:val="Normal"/>
        <w:bidi w:val="0"/>
        <w:jc w:val="both"/>
        <w:rPr>
          <w:b/>
          <w:sz w:val="24"/>
          <w:u w:val="double"/>
          <w:ins w:id="545" w:author=""/>
        </w:rPr>
      </w:pPr>
      <w:ins w:id="544" w:author="">
        <w:r>
          <w:rPr>
            <w:b/>
            <w:sz w:val="24"/>
            <w:u w:val="double"/>
          </w:rPr>
        </w:r>
      </w:ins>
    </w:p>
    <w:p>
      <w:pPr>
        <w:pStyle w:val="Normal"/>
        <w:bidi w:val="0"/>
        <w:ind w:hanging="0" w:start="1440"/>
        <w:jc w:val="both"/>
        <w:rPr>
          <w:b/>
          <w:sz w:val="24"/>
          <w:u w:val="double"/>
          <w:ins w:id="547" w:author=""/>
        </w:rPr>
      </w:pPr>
      <w:ins w:id="546" w:author="">
        <w:r>
          <w:rPr>
            <w:b/>
            <w:sz w:val="24"/>
            <w:u w:val="double"/>
          </w:rPr>
          <w:t>(ii)</w:t>
          <w:tab/>
          <w:t>legal opinions in substantially the form of Exhibit J hereto and dated the Drawdown Date from:</w:t>
        </w:r>
      </w:ins>
    </w:p>
    <w:p>
      <w:pPr>
        <w:pStyle w:val="Normal"/>
        <w:bidi w:val="0"/>
        <w:jc w:val="both"/>
        <w:rPr>
          <w:b/>
          <w:sz w:val="24"/>
          <w:u w:val="double"/>
          <w:ins w:id="549" w:author=""/>
        </w:rPr>
      </w:pPr>
      <w:ins w:id="548" w:author="">
        <w:r>
          <w:rPr>
            <w:b/>
            <w:sz w:val="24"/>
            <w:u w:val="double"/>
          </w:rPr>
        </w:r>
      </w:ins>
    </w:p>
    <w:p>
      <w:pPr>
        <w:pStyle w:val="Normal"/>
        <w:bidi w:val="0"/>
        <w:spacing w:before="0" w:after="240"/>
        <w:ind w:hanging="0" w:start="1440"/>
        <w:jc w:val="both"/>
        <w:rPr>
          <w:b/>
          <w:sz w:val="24"/>
          <w:u w:val="double"/>
          <w:ins w:id="551" w:author=""/>
        </w:rPr>
      </w:pPr>
      <w:ins w:id="550" w:author="">
        <w:r>
          <w:rPr>
            <w:b/>
            <w:sz w:val="24"/>
            <w:u w:val="double"/>
          </w:rPr>
          <w:tab/>
          <w:t>(A)</w:t>
          <w:tab/>
          <w:t>Andrews &amp; Kurth L.L.P., special counsel to the applicable Asset LLC, the Sponsor, the Permitted Swap Party (if any) and Enron;</w:t>
        </w:r>
      </w:ins>
    </w:p>
    <w:p>
      <w:pPr>
        <w:pStyle w:val="Normal"/>
        <w:bidi w:val="0"/>
        <w:spacing w:before="0" w:after="240"/>
        <w:ind w:hanging="0" w:start="1440"/>
        <w:jc w:val="both"/>
        <w:rPr>
          <w:b/>
          <w:sz w:val="24"/>
          <w:u w:val="double"/>
          <w:ins w:id="553" w:author=""/>
        </w:rPr>
      </w:pPr>
      <w:ins w:id="552" w:author="">
        <w:r>
          <w:rPr>
            <w:b/>
            <w:sz w:val="24"/>
            <w:u w:val="double"/>
          </w:rPr>
          <w:tab/>
          <w:t>(B)</w:t>
          <w:tab/>
          <w:t>Prickett, Jones &amp; Elliott, special counsel to the applicable Asset LLC;</w:t>
        </w:r>
      </w:ins>
    </w:p>
    <w:p>
      <w:pPr>
        <w:pStyle w:val="Normal"/>
        <w:bidi w:val="0"/>
        <w:spacing w:before="0" w:after="240"/>
        <w:ind w:hanging="0" w:start="1440"/>
        <w:jc w:val="both"/>
        <w:rPr>
          <w:b/>
          <w:sz w:val="24"/>
          <w:u w:val="double"/>
          <w:ins w:id="555" w:author=""/>
        </w:rPr>
      </w:pPr>
      <w:ins w:id="554" w:author="">
        <w:r>
          <w:rPr>
            <w:b/>
            <w:sz w:val="24"/>
            <w:u w:val="double"/>
          </w:rPr>
          <w:tab/>
          <w:t>(C)</w:t>
          <w:tab/>
          <w:t xml:space="preserve">General counsel to Enron the Sponsor and the applicable Permitted Swap Party (if any), respectively; </w:t>
        </w:r>
      </w:ins>
    </w:p>
    <w:p>
      <w:pPr>
        <w:pStyle w:val="Normal"/>
        <w:bidi w:val="0"/>
        <w:spacing w:before="0" w:after="240"/>
        <w:ind w:hanging="0" w:start="1440"/>
        <w:jc w:val="both"/>
        <w:rPr>
          <w:b/>
          <w:sz w:val="24"/>
          <w:u w:val="double"/>
          <w:ins w:id="557" w:author=""/>
        </w:rPr>
      </w:pPr>
      <w:ins w:id="556" w:author="">
        <w:r>
          <w:rPr>
            <w:b/>
            <w:sz w:val="24"/>
            <w:u w:val="double"/>
          </w:rPr>
          <w:tab/>
          <w:t>(D)</w:t>
          <w:tab/>
          <w:t>Richards, Layton &amp; Finger, counsel to the Trust;</w:t>
        </w:r>
      </w:ins>
    </w:p>
    <w:p>
      <w:pPr>
        <w:pStyle w:val="Normal"/>
        <w:bidi w:val="0"/>
        <w:spacing w:before="0" w:after="240"/>
        <w:ind w:hanging="0" w:start="1440"/>
        <w:jc w:val="both"/>
        <w:rPr>
          <w:b/>
          <w:sz w:val="24"/>
          <w:u w:val="double"/>
          <w:ins w:id="559" w:author=""/>
        </w:rPr>
      </w:pPr>
      <w:ins w:id="558" w:author="">
        <w:r>
          <w:rPr>
            <w:b/>
            <w:sz w:val="24"/>
            <w:u w:val="double"/>
          </w:rPr>
          <w:tab/>
          <w:t>(E)</w:t>
          <w:tab/>
          <w:t>only on the First Drawdown Date, an opinion of Mayer Brown &amp; Platt, counsel to the Agent; and</w:t>
        </w:r>
      </w:ins>
    </w:p>
    <w:p>
      <w:pPr>
        <w:pStyle w:val="Normal"/>
        <w:bidi w:val="0"/>
        <w:spacing w:before="0" w:after="240"/>
        <w:ind w:hanging="0" w:start="1440"/>
        <w:jc w:val="both"/>
        <w:rPr>
          <w:b/>
          <w:sz w:val="24"/>
          <w:u w:val="double"/>
          <w:ins w:id="561" w:author=""/>
        </w:rPr>
      </w:pPr>
      <w:ins w:id="560" w:author="">
        <w:r>
          <w:rPr>
            <w:b/>
            <w:sz w:val="24"/>
            <w:u w:val="double"/>
          </w:rPr>
          <w:tab/>
          <w:t>(F)</w:t>
          <w:tab/>
          <w:t>Andrews &amp; Kurth L.L.P., Prickett, Jones &amp; Elliott, Richards, Layton &amp; Finger or such other counsel as may be reasonably acceptable to the Agent, as special counsel to the applicable Transferor.</w:t>
        </w:r>
      </w:ins>
    </w:p>
    <w:p>
      <w:pPr>
        <w:pStyle w:val="Normal"/>
        <w:tabs>
          <w:tab w:val="left" w:pos="720" w:leader="none"/>
          <w:tab w:val="left" w:pos="1440" w:leader="none"/>
        </w:tabs>
        <w:bidi w:val="0"/>
        <w:ind w:hanging="1440" w:start="1440"/>
        <w:jc w:val="both"/>
        <w:rPr>
          <w:b/>
          <w:sz w:val="24"/>
          <w:u w:val="double"/>
          <w:ins w:id="563" w:author=""/>
        </w:rPr>
      </w:pPr>
      <w:ins w:id="562" w:author="">
        <w:r>
          <w:rPr>
            <w:b/>
            <w:sz w:val="24"/>
            <w:u w:val="double"/>
          </w:rPr>
          <w:tab/>
          <w:tab/>
          <w:t>(iii)</w:t>
          <w:tab/>
          <w:t>(A)</w:t>
          <w:tab/>
          <w:t>board (or other appropriate governing body) resolutions of each party to the Operative Documents other than Enron, the Trust and the Finance Parties(a)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and</w:t>
        </w:r>
      </w:ins>
    </w:p>
    <w:p>
      <w:pPr>
        <w:pStyle w:val="Normal"/>
        <w:bidi w:val="0"/>
        <w:jc w:val="both"/>
        <w:rPr>
          <w:b/>
          <w:sz w:val="24"/>
          <w:u w:val="double"/>
          <w:ins w:id="565" w:author=""/>
        </w:rPr>
      </w:pPr>
      <w:ins w:id="564" w:author="">
        <w:r>
          <w:rPr>
            <w:b/>
            <w:sz w:val="24"/>
            <w:u w:val="double"/>
          </w:rPr>
        </w:r>
      </w:ins>
    </w:p>
    <w:p>
      <w:pPr>
        <w:pStyle w:val="Normal"/>
        <w:bidi w:val="0"/>
        <w:ind w:hanging="0" w:start="1440"/>
        <w:jc w:val="both"/>
        <w:rPr>
          <w:b/>
          <w:sz w:val="24"/>
          <w:u w:val="double"/>
          <w:ins w:id="567" w:author=""/>
        </w:rPr>
      </w:pPr>
      <w:ins w:id="566" w:author="">
        <w:r>
          <w:rPr>
            <w:b/>
            <w:sz w:val="24"/>
            <w:u w:val="double"/>
          </w:rPr>
          <w:tab/>
          <w:t>(B)</w:t>
          <w:tab/>
          <w:t>all other limited liability company, trust or other applicable authorizations and actions of the Trust, the applicable Asset LLC, the applicable Transferor, the Sponsor and the Permitted Swap Party (if any)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and (if applicable) the applicable Transferor and    the applicable Permitted Swap Party (if any) in the board (or other appropriate governing body) resolutions described in Section 4.4(a)(iii)(A) to sign Operative Documents to which it is or is to be a party.</w:t>
        </w:r>
      </w:ins>
    </w:p>
    <w:p>
      <w:pPr>
        <w:pStyle w:val="Normal"/>
        <w:bidi w:val="0"/>
        <w:jc w:val="both"/>
        <w:rPr>
          <w:b/>
          <w:sz w:val="24"/>
          <w:u w:val="double"/>
          <w:ins w:id="569" w:author=""/>
        </w:rPr>
      </w:pPr>
      <w:ins w:id="568" w:author="">
        <w:r>
          <w:rPr>
            <w:b/>
            <w:sz w:val="24"/>
            <w:u w:val="double"/>
          </w:rPr>
        </w:r>
      </w:ins>
    </w:p>
    <w:p>
      <w:pPr>
        <w:pStyle w:val="Normal"/>
        <w:tabs>
          <w:tab w:val="left" w:pos="720" w:leader="none"/>
          <w:tab w:val="left" w:pos="1440" w:leader="none"/>
        </w:tabs>
        <w:bidi w:val="0"/>
        <w:ind w:hanging="1440" w:start="1440"/>
        <w:jc w:val="both"/>
        <w:rPr>
          <w:b/>
          <w:sz w:val="24"/>
          <w:u w:val="double"/>
          <w:ins w:id="571" w:author=""/>
        </w:rPr>
      </w:pPr>
      <w:ins w:id="570" w:author="">
        <w:r>
          <w:rPr>
            <w:b/>
            <w:sz w:val="24"/>
            <w:u w:val="double"/>
          </w:rPr>
          <w:tab/>
          <w:t>(b)</w:t>
          <w:tab/>
          <w:t>Since the date of this Agreement:</w:t>
        </w:r>
      </w:ins>
    </w:p>
    <w:p>
      <w:pPr>
        <w:pStyle w:val="Normal"/>
        <w:bidi w:val="0"/>
        <w:jc w:val="both"/>
        <w:rPr>
          <w:b/>
          <w:sz w:val="24"/>
          <w:u w:val="double"/>
          <w:ins w:id="573" w:author=""/>
        </w:rPr>
      </w:pPr>
      <w:ins w:id="572" w:author="">
        <w:r>
          <w:rPr>
            <w:b/>
            <w:sz w:val="24"/>
            <w:u w:val="double"/>
          </w:rPr>
        </w:r>
      </w:ins>
    </w:p>
    <w:p>
      <w:pPr>
        <w:pStyle w:val="Normal"/>
        <w:bidi w:val="0"/>
        <w:ind w:hanging="0" w:start="720"/>
        <w:jc w:val="both"/>
        <w:rPr>
          <w:b/>
          <w:sz w:val="24"/>
          <w:u w:val="double"/>
          <w:ins w:id="575" w:author=""/>
        </w:rPr>
      </w:pPr>
      <w:ins w:id="574" w:author="">
        <w:r>
          <w:rPr>
            <w:b/>
            <w:sz w:val="24"/>
            <w:u w:val="double"/>
          </w:rPr>
          <w:tab/>
          <w:t>(i)</w:t>
          <w:tab/>
          <w:t>no Material Adverse Effect, Event of Default or Default, and no “Material Adverse Effect”, “Event of Default” or “Default” (as such terms are defined in the Hawaii II Facility Agreement), shall have occurred and be continuing unremedied or will occur as a result of the making of the Advances; and</w:t>
        </w:r>
      </w:ins>
    </w:p>
    <w:p>
      <w:pPr>
        <w:pStyle w:val="Normal"/>
        <w:bidi w:val="0"/>
        <w:jc w:val="both"/>
        <w:rPr>
          <w:b/>
          <w:sz w:val="24"/>
          <w:u w:val="double"/>
          <w:ins w:id="577" w:author=""/>
        </w:rPr>
      </w:pPr>
      <w:ins w:id="576" w:author="">
        <w:r>
          <w:rPr>
            <w:b/>
            <w:sz w:val="24"/>
            <w:u w:val="double"/>
          </w:rPr>
        </w:r>
      </w:ins>
    </w:p>
    <w:p>
      <w:pPr>
        <w:pStyle w:val="Normal"/>
        <w:bidi w:val="0"/>
        <w:ind w:hanging="0" w:start="720"/>
        <w:jc w:val="both"/>
        <w:rPr>
          <w:b/>
          <w:sz w:val="24"/>
          <w:u w:val="double"/>
          <w:ins w:id="579" w:author=""/>
        </w:rPr>
      </w:pPr>
      <w:ins w:id="578" w:author="">
        <w:r>
          <w:rPr>
            <w:b/>
            <w:sz w:val="24"/>
            <w:u w:val="double"/>
          </w:rPr>
          <w:tab/>
          <w:t>(ii)</w:t>
          <w:tab/>
          <w:t>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ins>
    </w:p>
    <w:p>
      <w:pPr>
        <w:pStyle w:val="Normal"/>
        <w:keepNext w:val="true"/>
        <w:bidi w:val="0"/>
        <w:jc w:val="both"/>
        <w:rPr>
          <w:b/>
          <w:sz w:val="24"/>
          <w:u w:val="double"/>
          <w:ins w:id="581" w:author=""/>
        </w:rPr>
      </w:pPr>
      <w:ins w:id="580" w:author="">
        <w:r>
          <w:rPr>
            <w:b/>
            <w:sz w:val="24"/>
            <w:u w:val="double"/>
          </w:rPr>
        </w:r>
      </w:ins>
    </w:p>
    <w:p>
      <w:pPr>
        <w:pStyle w:val="Normal"/>
        <w:keepLines/>
        <w:bidi w:val="0"/>
        <w:jc w:val="both"/>
        <w:rPr>
          <w:b/>
          <w:sz w:val="24"/>
          <w:u w:val="double"/>
          <w:ins w:id="586" w:author=""/>
        </w:rPr>
      </w:pPr>
      <w:ins w:id="582" w:author="">
        <w:r>
          <w:rPr>
            <w:b/>
            <w:sz w:val="24"/>
            <w:u w:val="double"/>
          </w:rPr>
          <w:tab/>
        </w:r>
      </w:ins>
      <w:ins w:id="583" w:author="">
        <w:r>
          <w:fldChar w:fldCharType="begin"/>
        </w:r>
        <w:r>
          <w:rPr>
            <w:sz w:val="24"/>
            <w:u w:val="double"/>
            <w:b/>
          </w:rPr>
          <w:instrText xml:space="preserve"> TC "Section  4.4   Conditions Precedent to Lenders’ Obligations to Make Advances with Respect to the Hawaii II Tranches.   " \l 1 </w:instrText>
        </w:r>
      </w:ins>
      <w:r>
        <w:rPr>
          <w:sz w:val="24"/>
          <w:u w:val="double"/>
          <w:b/>
        </w:rPr>
        <w:fldChar w:fldCharType="separate"/>
      </w:r>
      <w:ins w:id="584" w:author="">
        <w:r>
          <w:rPr>
            <w:b/>
            <w:sz w:val="24"/>
            <w:u w:val="double"/>
          </w:rPr>
        </w:r>
      </w:ins>
      <w:r>
        <w:rPr>
          <w:sz w:val="24"/>
          <w:u w:val="double"/>
          <w:b/>
        </w:rPr>
        <w:fldChar w:fldCharType="end"/>
      </w:r>
      <w:ins w:id="585" w:author="">
        <w:r>
          <w:rPr>
            <w:b/>
            <w:sz w:val="24"/>
            <w:u w:val="double"/>
          </w:rPr>
          <w:t>The obligations of the Lenders to make the Advances available to the Trust under this Agreement comprising each Hawaii II Tranche are conditioned upon the satisfaction of the following conditions precedent:</w:t>
        </w:r>
      </w:ins>
    </w:p>
    <w:p>
      <w:pPr>
        <w:pStyle w:val="Normal"/>
        <w:bidi w:val="0"/>
        <w:jc w:val="both"/>
        <w:rPr>
          <w:b/>
          <w:sz w:val="24"/>
          <w:u w:val="double"/>
          <w:ins w:id="588" w:author=""/>
        </w:rPr>
      </w:pPr>
      <w:ins w:id="587" w:author="">
        <w:r>
          <w:rPr>
            <w:b/>
            <w:sz w:val="24"/>
            <w:u w:val="double"/>
          </w:rPr>
        </w:r>
      </w:ins>
    </w:p>
    <w:p>
      <w:pPr>
        <w:pStyle w:val="Normal"/>
        <w:bidi w:val="0"/>
        <w:spacing w:before="0" w:after="240"/>
        <w:jc w:val="both"/>
        <w:rPr>
          <w:b/>
          <w:sz w:val="24"/>
          <w:u w:val="double"/>
          <w:ins w:id="590" w:author=""/>
        </w:rPr>
      </w:pPr>
      <w:ins w:id="589" w:author="">
        <w:r>
          <w:rPr>
            <w:b/>
            <w:sz w:val="24"/>
            <w:u w:val="double"/>
          </w:rPr>
          <w:tab/>
          <w:t>(a)</w:t>
          <w:tab/>
          <w:t>The Agent shall have received the following items in all respects (except where otherwise specified) in form and substance reasonably satisfactory to the Agent by 12:00 noon on the Business Day prior to the applicable Drawdown Date or such other time as is agreed by the Agent:</w:t>
        </w:r>
      </w:ins>
    </w:p>
    <w:p>
      <w:pPr>
        <w:pStyle w:val="Normal"/>
        <w:bidi w:val="0"/>
        <w:spacing w:before="0" w:after="240"/>
        <w:ind w:hanging="0" w:start="720"/>
        <w:jc w:val="both"/>
        <w:rPr>
          <w:b/>
          <w:sz w:val="24"/>
          <w:u w:val="double"/>
          <w:ins w:id="592" w:author=""/>
        </w:rPr>
      </w:pPr>
      <w:ins w:id="591" w:author="">
        <w:r>
          <w:rPr>
            <w:b/>
            <w:sz w:val="24"/>
            <w:u w:val="double"/>
          </w:rPr>
          <w:tab/>
          <w:t>(i)</w:t>
          <w:tab/>
          <w:t>duly executed counterparts of:</w:t>
        </w:r>
      </w:ins>
    </w:p>
    <w:p>
      <w:pPr>
        <w:pStyle w:val="Normal"/>
        <w:bidi w:val="0"/>
        <w:spacing w:before="0" w:after="240"/>
        <w:ind w:hanging="0" w:start="1440"/>
        <w:jc w:val="both"/>
        <w:rPr>
          <w:b/>
          <w:sz w:val="24"/>
          <w:u w:val="double"/>
          <w:ins w:id="594" w:author=""/>
        </w:rPr>
      </w:pPr>
      <w:ins w:id="593" w:author="">
        <w:r>
          <w:rPr>
            <w:b/>
            <w:sz w:val="24"/>
            <w:u w:val="double"/>
          </w:rPr>
          <w:tab/>
          <w:t>(A)</w:t>
          <w:tab/>
          <w:t>the applicable Series Supplement;</w:t>
        </w:r>
      </w:ins>
    </w:p>
    <w:p>
      <w:pPr>
        <w:pStyle w:val="Normal"/>
        <w:bidi w:val="0"/>
        <w:spacing w:before="0" w:after="240"/>
        <w:ind w:hanging="0" w:start="1440"/>
        <w:jc w:val="both"/>
        <w:rPr>
          <w:b/>
          <w:sz w:val="24"/>
          <w:u w:val="double"/>
          <w:ins w:id="596" w:author=""/>
        </w:rPr>
      </w:pPr>
      <w:ins w:id="595" w:author="">
        <w:r>
          <w:rPr>
            <w:b/>
            <w:sz w:val="24"/>
            <w:u w:val="double"/>
          </w:rPr>
          <w:tab/>
          <w:t>(B)</w:t>
          <w:tab/>
          <w:t>the applicable Drawdown Request with a copy of the Asset Notice executed and delivered in connection with the drawdown of the applicable Hawaii II Tranche under the Hawaii II Facility Agreement;</w:t>
        </w:r>
      </w:ins>
    </w:p>
    <w:p>
      <w:pPr>
        <w:pStyle w:val="Normal"/>
        <w:bidi w:val="0"/>
        <w:spacing w:before="0" w:after="240"/>
        <w:ind w:hanging="0" w:start="1440"/>
        <w:jc w:val="both"/>
        <w:rPr>
          <w:b/>
          <w:sz w:val="24"/>
          <w:u w:val="double"/>
          <w:ins w:id="598" w:author=""/>
        </w:rPr>
      </w:pPr>
      <w:ins w:id="597" w:author="">
        <w:r>
          <w:rPr>
            <w:b/>
            <w:sz w:val="24"/>
            <w:u w:val="double"/>
          </w:rPr>
          <w:tab/>
          <w:t>(C)</w:t>
          <w:tab/>
          <w:t>the applicable Swap Confirmation and, if applicable, the related Total Return Swap Agreement described in clause (ii) of the definition of Total Return Swap Agreement;</w:t>
        </w:r>
      </w:ins>
    </w:p>
    <w:p>
      <w:pPr>
        <w:pStyle w:val="Normal"/>
        <w:bidi w:val="0"/>
        <w:spacing w:before="0" w:after="240"/>
        <w:ind w:hanging="0" w:start="1440"/>
        <w:jc w:val="both"/>
        <w:rPr>
          <w:b/>
          <w:sz w:val="24"/>
          <w:u w:val="double"/>
          <w:ins w:id="600" w:author=""/>
        </w:rPr>
      </w:pPr>
      <w:ins w:id="599" w:author="">
        <w:r>
          <w:rPr>
            <w:b/>
            <w:sz w:val="24"/>
            <w:u w:val="double"/>
          </w:rPr>
          <w:tab/>
          <w:t>(D)</w:t>
          <w:tab/>
          <w:t>if Enron is not a party to the Total Return Swap Agreement, the Enron Guaranty;</w:t>
        </w:r>
      </w:ins>
    </w:p>
    <w:p>
      <w:pPr>
        <w:pStyle w:val="Normal"/>
        <w:bidi w:val="0"/>
        <w:spacing w:before="0" w:after="240"/>
        <w:ind w:hanging="0" w:start="1440"/>
        <w:jc w:val="both"/>
        <w:rPr>
          <w:b/>
          <w:sz w:val="24"/>
          <w:u w:val="double"/>
          <w:ins w:id="602" w:author=""/>
        </w:rPr>
      </w:pPr>
      <w:ins w:id="601" w:author="">
        <w:r>
          <w:rPr>
            <w:b/>
            <w:sz w:val="24"/>
            <w:u w:val="double"/>
          </w:rPr>
          <w:tab/>
          <w:t>(E)</w:t>
          <w:tab/>
          <w:t>the applicable Series Certificate (the initial holder of which shall be CIBC Inc. or its assignee);</w:t>
        </w:r>
      </w:ins>
    </w:p>
    <w:p>
      <w:pPr>
        <w:pStyle w:val="Normal"/>
        <w:bidi w:val="0"/>
        <w:spacing w:before="0" w:after="240"/>
        <w:ind w:hanging="0" w:start="1440"/>
        <w:jc w:val="both"/>
        <w:rPr>
          <w:b/>
          <w:sz w:val="24"/>
          <w:u w:val="double"/>
          <w:ins w:id="604" w:author=""/>
        </w:rPr>
      </w:pPr>
      <w:ins w:id="603" w:author="">
        <w:r>
          <w:rPr>
            <w:b/>
            <w:sz w:val="24"/>
            <w:u w:val="double"/>
          </w:rPr>
          <w:tab/>
          <w:t>(F)</w:t>
          <w:tab/>
          <w:t>the applicable Transfer and Auction Agreement;</w:t>
        </w:r>
      </w:ins>
    </w:p>
    <w:p>
      <w:pPr>
        <w:pStyle w:val="Normal"/>
        <w:bidi w:val="0"/>
        <w:spacing w:before="0" w:after="240"/>
        <w:ind w:hanging="0" w:start="1440"/>
        <w:jc w:val="both"/>
        <w:rPr>
          <w:b/>
          <w:sz w:val="24"/>
          <w:u w:val="double"/>
          <w:ins w:id="606" w:author=""/>
        </w:rPr>
      </w:pPr>
      <w:ins w:id="605" w:author="">
        <w:r>
          <w:rPr>
            <w:b/>
            <w:sz w:val="24"/>
            <w:u w:val="double"/>
          </w:rPr>
          <w:tab/>
          <w:t>(G)</w:t>
          <w:tab/>
          <w:t>as applicable, either (i) the applicable Put Option Assignment and/or (ii) the applicable Demand Note Assignment;</w:t>
        </w:r>
      </w:ins>
    </w:p>
    <w:p>
      <w:pPr>
        <w:pStyle w:val="Normal"/>
        <w:bidi w:val="0"/>
        <w:spacing w:before="0" w:after="240"/>
        <w:ind w:hanging="0" w:start="1440"/>
        <w:jc w:val="both"/>
        <w:rPr>
          <w:b/>
          <w:sz w:val="24"/>
          <w:u w:val="double"/>
          <w:ins w:id="608" w:author=""/>
        </w:rPr>
      </w:pPr>
      <w:ins w:id="607" w:author="">
        <w:r>
          <w:rPr>
            <w:b/>
            <w:sz w:val="24"/>
            <w:u w:val="double"/>
          </w:rPr>
          <w:tab/>
          <w:t>(H)</w:t>
          <w:tab/>
          <w:t>the applicable Independent Auctioneer Letter;</w:t>
        </w:r>
      </w:ins>
    </w:p>
    <w:p>
      <w:pPr>
        <w:pStyle w:val="Normal"/>
        <w:bidi w:val="0"/>
        <w:spacing w:before="0" w:after="240"/>
        <w:ind w:hanging="0" w:start="1440"/>
        <w:jc w:val="both"/>
        <w:rPr>
          <w:b/>
          <w:sz w:val="24"/>
          <w:u w:val="double"/>
          <w:ins w:id="610" w:author=""/>
        </w:rPr>
      </w:pPr>
      <w:ins w:id="609" w:author="">
        <w:r>
          <w:rPr>
            <w:b/>
            <w:sz w:val="24"/>
            <w:u w:val="double"/>
          </w:rPr>
          <w:tab/>
          <w:t>(I)</w:t>
          <w:tab/>
          <w:t>written confirmation (i) from the Agent under the Hawaii II Facility Agreement that all amounts of principal and interest and all other amounts due in respect of the applicable tranche under the Hawaii II Facility Agreement has been paid in full, (ii) from the holder of the applicable beneficial interest certificate issued with respect to such Hawaii II Tranche that all amounts of certificate base amount and certificate yield thereon have been paid in full and (iii) from Enron that such Hawaii II Tranche conforms to the criteria set forth in paragraph 9 of the Model Structure;</w:t>
        </w:r>
      </w:ins>
    </w:p>
    <w:p>
      <w:pPr>
        <w:pStyle w:val="Normal"/>
        <w:bidi w:val="0"/>
        <w:spacing w:before="0" w:after="240"/>
        <w:ind w:hanging="0" w:start="1440"/>
        <w:jc w:val="both"/>
        <w:rPr>
          <w:b/>
          <w:sz w:val="24"/>
          <w:u w:val="double"/>
          <w:ins w:id="612" w:author=""/>
        </w:rPr>
      </w:pPr>
      <w:ins w:id="611" w:author="">
        <w:r>
          <w:rPr>
            <w:b/>
            <w:sz w:val="24"/>
            <w:u w:val="double"/>
          </w:rPr>
          <w:tab/>
          <w:t>(J)</w:t>
          <w:tab/>
          <w:t>written confirmation from Enron that the Operative Documents (as defined in the Hawaii II Facility Agreement) have not been amended, modified or rescinded since the date such documents were executed and delivered, except as specifically identified, and, if such documents have been amended, modified or rescinded, written confirmation from the Agent that it has consented to such amendments, modifications or rescissions.</w:t>
        </w:r>
      </w:ins>
    </w:p>
    <w:p>
      <w:pPr>
        <w:pStyle w:val="Normal"/>
        <w:bidi w:val="0"/>
        <w:spacing w:before="0" w:after="240"/>
        <w:ind w:hanging="0" w:start="720"/>
        <w:jc w:val="both"/>
        <w:rPr>
          <w:b/>
          <w:sz w:val="24"/>
          <w:u w:val="double"/>
          <w:ins w:id="614" w:author=""/>
        </w:rPr>
      </w:pPr>
      <w:ins w:id="613" w:author="">
        <w:r>
          <w:rPr>
            <w:b/>
            <w:sz w:val="24"/>
            <w:u w:val="double"/>
          </w:rPr>
          <w:tab/>
          <w:t>(ii)</w:t>
          <w:tab/>
          <w:t>legal opinions in substantially the form of Exhibit J hereto and dated the Drawdown Date from:</w:t>
        </w:r>
      </w:ins>
    </w:p>
    <w:p>
      <w:pPr>
        <w:pStyle w:val="Normal"/>
        <w:bidi w:val="0"/>
        <w:spacing w:before="0" w:after="240"/>
        <w:ind w:hanging="0" w:start="1440"/>
        <w:jc w:val="both"/>
        <w:rPr>
          <w:b/>
          <w:sz w:val="24"/>
          <w:u w:val="double"/>
          <w:ins w:id="616" w:author=""/>
        </w:rPr>
      </w:pPr>
      <w:ins w:id="615" w:author="">
        <w:r>
          <w:rPr>
            <w:b/>
            <w:sz w:val="24"/>
            <w:u w:val="double"/>
          </w:rPr>
          <w:tab/>
          <w:t>(A)</w:t>
          <w:tab/>
          <w:t>Andrews &amp; Kurth L.L.P., special counsel to the applicable Asset LLC, the Sponsor, the Permitted Swap Party (if any) and Enron;</w:t>
        </w:r>
      </w:ins>
    </w:p>
    <w:p>
      <w:pPr>
        <w:pStyle w:val="Normal"/>
        <w:bidi w:val="0"/>
        <w:spacing w:before="0" w:after="240"/>
        <w:ind w:hanging="0" w:start="1440"/>
        <w:jc w:val="both"/>
        <w:rPr>
          <w:b/>
          <w:sz w:val="24"/>
          <w:u w:val="double"/>
          <w:ins w:id="618" w:author=""/>
        </w:rPr>
      </w:pPr>
      <w:ins w:id="617" w:author="">
        <w:r>
          <w:rPr>
            <w:b/>
            <w:sz w:val="24"/>
            <w:u w:val="double"/>
          </w:rPr>
          <w:tab/>
          <w:t>(B)</w:t>
          <w:tab/>
          <w:t>Prickett, Jones &amp; Elliott, special counsel to the applicable Asset LLC;</w:t>
        </w:r>
      </w:ins>
    </w:p>
    <w:p>
      <w:pPr>
        <w:pStyle w:val="Normal"/>
        <w:bidi w:val="0"/>
        <w:spacing w:before="0" w:after="240"/>
        <w:ind w:hanging="0" w:start="1440"/>
        <w:jc w:val="both"/>
        <w:rPr>
          <w:b/>
          <w:sz w:val="24"/>
          <w:u w:val="double"/>
          <w:ins w:id="620" w:author=""/>
        </w:rPr>
      </w:pPr>
      <w:ins w:id="619" w:author="">
        <w:r>
          <w:rPr>
            <w:b/>
            <w:sz w:val="24"/>
            <w:u w:val="double"/>
          </w:rPr>
          <w:tab/>
          <w:t>(C)</w:t>
          <w:tab/>
          <w:t>general counsel to Enron, the Sponsor and the applicable Permitted Swap (if any), respectively;</w:t>
        </w:r>
      </w:ins>
    </w:p>
    <w:p>
      <w:pPr>
        <w:pStyle w:val="Normal"/>
        <w:bidi w:val="0"/>
        <w:spacing w:before="0" w:after="240"/>
        <w:ind w:hanging="0" w:start="1440"/>
        <w:jc w:val="both"/>
        <w:rPr>
          <w:b/>
          <w:sz w:val="24"/>
          <w:u w:val="double"/>
          <w:ins w:id="622" w:author=""/>
        </w:rPr>
      </w:pPr>
      <w:ins w:id="621" w:author="">
        <w:r>
          <w:rPr>
            <w:b/>
            <w:sz w:val="24"/>
            <w:u w:val="double"/>
          </w:rPr>
          <w:tab/>
          <w:t>(D)</w:t>
          <w:tab/>
          <w:t>Richards, Layton &amp; Finger, counsel to the Trust; and</w:t>
        </w:r>
      </w:ins>
    </w:p>
    <w:p>
      <w:pPr>
        <w:pStyle w:val="Normal"/>
        <w:bidi w:val="0"/>
        <w:spacing w:before="0" w:after="240"/>
        <w:ind w:hanging="0" w:start="1440"/>
        <w:jc w:val="both"/>
        <w:rPr>
          <w:b/>
          <w:sz w:val="24"/>
          <w:u w:val="double"/>
          <w:ins w:id="624" w:author=""/>
        </w:rPr>
      </w:pPr>
      <w:ins w:id="623" w:author="">
        <w:r>
          <w:rPr>
            <w:b/>
            <w:sz w:val="24"/>
            <w:u w:val="double"/>
          </w:rPr>
          <w:tab/>
          <w:t>(E)</w:t>
          <w:tab/>
          <w:t>Andrews &amp; Kurth L.L.P., Prickett, Jones &amp; Elliott, Richards, Layton &amp; Finger or such other counsel as may be reasonably acceptable to the Agent, as special counsel to the applicable Transferor.</w:t>
        </w:r>
      </w:ins>
    </w:p>
    <w:p>
      <w:pPr>
        <w:pStyle w:val="Normal"/>
        <w:tabs>
          <w:tab w:val="left" w:pos="720" w:leader="none"/>
          <w:tab w:val="left" w:pos="1440" w:leader="none"/>
        </w:tabs>
        <w:bidi w:val="0"/>
        <w:ind w:hanging="1440" w:start="1440"/>
        <w:jc w:val="both"/>
        <w:rPr>
          <w:b/>
          <w:sz w:val="24"/>
          <w:u w:val="double"/>
          <w:ins w:id="626" w:author=""/>
        </w:rPr>
      </w:pPr>
      <w:ins w:id="625" w:author="">
        <w:r>
          <w:rPr>
            <w:b/>
            <w:sz w:val="24"/>
            <w:u w:val="double"/>
          </w:rPr>
          <w:tab/>
          <w:tab/>
          <w:t>(iii)</w:t>
          <w:tab/>
          <w:t>(A)</w:t>
          <w:tab/>
          <w:t>board (or other appropriate governing body) resolutions of each party to the Operative Documents other than Enron, the Trust and the Finance Parties(a)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and</w:t>
        </w:r>
      </w:ins>
    </w:p>
    <w:p>
      <w:pPr>
        <w:pStyle w:val="Normal"/>
        <w:bidi w:val="0"/>
        <w:jc w:val="both"/>
        <w:rPr>
          <w:b/>
          <w:sz w:val="24"/>
          <w:u w:val="double"/>
          <w:ins w:id="628" w:author=""/>
        </w:rPr>
      </w:pPr>
      <w:ins w:id="627" w:author="">
        <w:r>
          <w:rPr>
            <w:b/>
            <w:sz w:val="24"/>
            <w:u w:val="double"/>
          </w:rPr>
        </w:r>
      </w:ins>
    </w:p>
    <w:p>
      <w:pPr>
        <w:pStyle w:val="Normal"/>
        <w:bidi w:val="0"/>
        <w:ind w:hanging="0" w:start="1440"/>
        <w:jc w:val="both"/>
        <w:rPr>
          <w:b/>
          <w:sz w:val="24"/>
          <w:u w:val="double"/>
          <w:ins w:id="630" w:author=""/>
        </w:rPr>
      </w:pPr>
      <w:ins w:id="629" w:author="">
        <w:r>
          <w:rPr>
            <w:b/>
            <w:sz w:val="24"/>
            <w:u w:val="double"/>
          </w:rPr>
          <w:tab/>
          <w:t>(B)</w:t>
          <w:tab/>
          <w:t>all other limited liability company, trust or other applicable authorizations and actions of the Trust, the applicable Asset LLC, the applicable Transferor, the Sponsor and the Permitted Swap Party (if any)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and (if applicable) the applicable Transferor and the applicable Permitted Swap Party (if any) in the board (or other appropriate governing body) resolutions described in Section 4.4(a)(iii)(A) to sign Operative Documents to which it is or is to be a party.</w:t>
        </w:r>
      </w:ins>
    </w:p>
    <w:p>
      <w:pPr>
        <w:pStyle w:val="Normal"/>
        <w:bidi w:val="0"/>
        <w:jc w:val="both"/>
        <w:rPr>
          <w:b/>
          <w:sz w:val="24"/>
          <w:u w:val="double"/>
          <w:ins w:id="632" w:author=""/>
        </w:rPr>
      </w:pPr>
      <w:ins w:id="631" w:author="">
        <w:r>
          <w:rPr>
            <w:b/>
            <w:sz w:val="24"/>
            <w:u w:val="double"/>
          </w:rPr>
        </w:r>
      </w:ins>
    </w:p>
    <w:p>
      <w:pPr>
        <w:pStyle w:val="Normal"/>
        <w:bidi w:val="0"/>
        <w:spacing w:before="0" w:after="240"/>
        <w:jc w:val="both"/>
        <w:rPr>
          <w:b/>
          <w:sz w:val="24"/>
          <w:u w:val="double"/>
          <w:ins w:id="634" w:author=""/>
        </w:rPr>
      </w:pPr>
      <w:ins w:id="633" w:author="">
        <w:r>
          <w:rPr>
            <w:b/>
            <w:sz w:val="24"/>
            <w:u w:val="double"/>
          </w:rPr>
          <w:tab/>
          <w:t>(b)</w:t>
          <w:tab/>
          <w:t>Since the date of this Agreement:</w:t>
        </w:r>
      </w:ins>
    </w:p>
    <w:p>
      <w:pPr>
        <w:pStyle w:val="Normal"/>
        <w:bidi w:val="0"/>
        <w:spacing w:before="0" w:after="240"/>
        <w:ind w:hanging="0" w:start="720"/>
        <w:jc w:val="both"/>
        <w:rPr>
          <w:b/>
          <w:sz w:val="24"/>
          <w:u w:val="double"/>
          <w:ins w:id="636" w:author=""/>
        </w:rPr>
      </w:pPr>
      <w:ins w:id="635" w:author="">
        <w:r>
          <w:rPr>
            <w:b/>
            <w:sz w:val="24"/>
            <w:u w:val="double"/>
          </w:rPr>
          <w:tab/>
          <w:t>(i)</w:t>
          <w:tab/>
          <w:t>no Material Adverse Effect, Event of Default or Default, and no “Material Adverse Effect”, “Event of Default” or “Default” (as such terms are defined in the Hawaii II Facility Agreement), shall have occurred and be continuing unremedied or will occur as a result of the making of the Advances; and</w:t>
        </w:r>
      </w:ins>
    </w:p>
    <w:p>
      <w:pPr>
        <w:pStyle w:val="Normal"/>
        <w:keepNext w:val="true"/>
        <w:bidi w:val="0"/>
        <w:spacing w:before="0" w:after="240"/>
        <w:ind w:hanging="0" w:start="720"/>
        <w:jc w:val="both"/>
        <w:rPr>
          <w:b/>
          <w:sz w:val="24"/>
          <w:u w:val="double"/>
          <w:ins w:id="638" w:author=""/>
        </w:rPr>
      </w:pPr>
      <w:ins w:id="637" w:author="">
        <w:r>
          <w:rPr>
            <w:b/>
            <w:sz w:val="24"/>
            <w:u w:val="double"/>
          </w:rPr>
          <w:tab/>
          <w:t>(ii)</w:t>
          <w:tab/>
          <w:t>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ins>
    </w:p>
    <w:p>
      <w:pPr>
        <w:pStyle w:val="Normal"/>
        <w:keepNext w:val="true"/>
        <w:keepLines/>
        <w:bidi w:val="0"/>
        <w:jc w:val="both"/>
        <w:rPr>
          <w:sz w:val="24"/>
        </w:rPr>
      </w:pPr>
      <w:ins w:id="639" w:author="">
        <w:r>
          <w:rPr>
            <w:b/>
            <w:sz w:val="24"/>
            <w:u w:val="double"/>
          </w:rPr>
          <w:tab/>
        </w:r>
      </w:ins>
      <w:ins w:id="640" w:author="">
        <w:r>
          <w:fldChar w:fldCharType="begin"/>
        </w:r>
        <w:r>
          <w:rPr>
            <w:sz w:val="24"/>
            <w:u w:val="double"/>
            <w:b/>
          </w:rPr>
          <w:instrText xml:space="preserve"> TC "Section  4.5   Commitments Not Drawn.   " \l 1 </w:instrText>
        </w:r>
      </w:ins>
      <w:r>
        <w:rPr>
          <w:sz w:val="24"/>
          <w:u w:val="double"/>
          <w:b/>
        </w:rPr>
        <w:fldChar w:fldCharType="separate"/>
      </w:r>
      <w:ins w:id="641" w:author="">
        <w:r>
          <w:rPr>
            <w:b/>
            <w:sz w:val="24"/>
            <w:u w:val="double"/>
          </w:rPr>
        </w:r>
      </w:ins>
      <w:r>
        <w:rPr>
          <w:sz w:val="24"/>
          <w:u w:val="double"/>
          <w:b/>
        </w:rPr>
        <w:fldChar w:fldCharType="end"/>
      </w:r>
      <w:ins w:id="642" w:author="">
        <w:r>
          <w:rPr>
            <w:b/>
            <w:sz w:val="24"/>
            <w:u w:val="double"/>
          </w:rPr>
          <w:t>Any Commitments not drawn on or before the Final Advance</w:t>
        </w:r>
      </w:ins>
      <w:r>
        <w:rPr>
          <w:sz w:val="24"/>
        </w:rPr>
        <w:t xml:space="preserve"> Date shall be canceled.</w:t>
      </w:r>
    </w:p>
    <w:p>
      <w:pPr>
        <w:pStyle w:val="Normal"/>
        <w:keepNext w:val="true"/>
        <w:keepLines/>
        <w:bidi w:val="0"/>
        <w:jc w:val="both"/>
        <w:rPr>
          <w:sz w:val="24"/>
        </w:rPr>
      </w:pPr>
      <w:r>
        <w:rPr>
          <w:sz w:val="24"/>
        </w:rPr>
      </w:r>
    </w:p>
    <w:p>
      <w:pPr>
        <w:pStyle w:val="Normal"/>
        <w:keepNext w:val="true"/>
        <w:keepLines/>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VDRAWDOWN CERTIFICATION AND DRAWDOWN PROCEDURES"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5.1   Certification Procedure. " \l 1 </w:instrText>
      </w:r>
      <w:r>
        <w:rPr>
          <w:sz w:val="24"/>
        </w:rPr>
        <w:fldChar w:fldCharType="separate"/>
      </w:r>
      <w:r>
        <w:rPr>
          <w:sz w:val="24"/>
        </w:rPr>
      </w:r>
      <w:r>
        <w:rPr>
          <w:sz w:val="24"/>
        </w:rPr>
        <w:fldChar w:fldCharType="end"/>
      </w:r>
      <w:r>
        <w:rPr>
          <w:sz w:val="24"/>
        </w:rPr>
        <w:t xml:space="preserve">    (a) </w:t>
      </w:r>
      <w:ins w:id="643" w:author="">
        <w:r>
          <w:rPr>
            <w:b/>
            <w:sz w:val="24"/>
            <w:u w:val="double"/>
          </w:rPr>
          <w:t>With respect to each Tranche other than the Hawaii Tranche and the Hawaii II Tranches,</w:t>
        </w:r>
      </w:ins>
      <w:r>
        <w:rPr>
          <w:sz w:val="24"/>
        </w:rPr>
        <w:t xml:space="preserve"> Enron shall deliver to the Agent an Asset Notice and an Asset Summary </w:t>
      </w:r>
      <w:ins w:id="644" w:author="">
        <w:r>
          <w:rPr>
            <w:strike/>
            <w:sz w:val="24"/>
          </w:rPr>
          <w:t>with respect to each</w:t>
        </w:r>
      </w:ins>
      <w:r>
        <w:rPr>
          <w:sz w:val="24"/>
        </w:rPr>
        <w:t xml:space="preserve"> </w:t>
      </w:r>
      <w:ins w:id="645" w:author="">
        <w:r>
          <w:rPr>
            <w:b/>
            <w:sz w:val="24"/>
            <w:u w:val="double"/>
          </w:rPr>
          <w:t>describing the</w:t>
        </w:r>
      </w:ins>
      <w:r>
        <w:rPr>
          <w:sz w:val="24"/>
        </w:rPr>
        <w:t xml:space="preserve"> proposed Asset Structure in accordance with Section 5.1(b).    The Agent and the Subscriber (pursuant to the Subscription Agreement) both acting reasonably, shall elect whether to make the confirmation specified in paragraph (A), (B) or (C) of the form of acknowledgment attached to such Asset Notice and:</w:t>
      </w:r>
    </w:p>
    <w:p>
      <w:pPr>
        <w:pStyle w:val="Normal"/>
        <w:bidi w:val="0"/>
        <w:jc w:val="both"/>
        <w:rPr>
          <w:sz w:val="24"/>
        </w:rPr>
      </w:pPr>
      <w:r>
        <w:rPr>
          <w:sz w:val="24"/>
        </w:rPr>
      </w:r>
    </w:p>
    <w:p>
      <w:pPr>
        <w:pStyle w:val="Normal"/>
        <w:bidi w:val="0"/>
        <w:jc w:val="both"/>
        <w:rPr>
          <w:sz w:val="24"/>
        </w:rPr>
      </w:pPr>
      <w:r>
        <w:rPr>
          <w:sz w:val="24"/>
        </w:rPr>
        <w:tab/>
        <w:t>(i)</w:t>
        <w:tab/>
        <w:t>if the Agent and the Subscriber elect to make the confirmation specified in paragraph (A) of the acknowledgment attached to the Asset Notice, the Agent shall duly complete and execute such acknowledgment and deliver it to Enron within 5 Business Days of receipt by the Agent of the Asset Notice and Asset Summary, and a copy of the Asset Notice (but not the Asset Summary) to the Trust and each Lender.    If a Lender requests a copy of the Asset Summary, the Agent shall not deliver it to the Lender until the Lender obtains, and delivers to the Agent, Enron’s prior written consent to such delivery, which consent shall not be unreasonably withheld by Enron (subject to the applicable Lender making confidentiality undertakings to Enron or the respective Sponsor with respect to the Asset Summary as Enron or the respective Sponsor may reasonably require; provided that Enron or the respective Sponsor, as the case may be, is bound to substantially similar confidentiality undertakings relating to the Underlying Assets);</w:t>
      </w:r>
    </w:p>
    <w:p>
      <w:pPr>
        <w:pStyle w:val="Normal"/>
        <w:bidi w:val="0"/>
        <w:jc w:val="both"/>
        <w:rPr>
          <w:sz w:val="24"/>
        </w:rPr>
      </w:pPr>
      <w:r>
        <w:rPr>
          <w:sz w:val="24"/>
        </w:rPr>
      </w:r>
    </w:p>
    <w:p>
      <w:pPr>
        <w:pStyle w:val="Normal"/>
        <w:bidi w:val="0"/>
        <w:jc w:val="both"/>
        <w:rPr>
          <w:sz w:val="24"/>
        </w:rPr>
      </w:pPr>
      <w:r>
        <w:rPr>
          <w:sz w:val="24"/>
        </w:rPr>
        <w:tab/>
        <w:t>(ii)</w:t>
        <w:tab/>
        <w:t>if the Agent or the Subscriber elects to make the confirmation specified in paragraph (B) of the acknowledgment attached to the Asset Notice, and neither the Agent nor the Subscriber elects to make the confirmation specified in paragraph (C) of the acknowledgment attached to the Asset Notice, it shall duly complete and execute such acknowledgment and the Agent shall forward a copy thereof, together with a copy of the related Asset Summary, to each Lender (which may be by facsimile) within 5 Business Days of receipt by the Agent of the Asset Notice and Asset Summary.      In the event that, within ten (10) Business Days from the date of receipt of the Asset Notice and Asset Summary by the Agent, the Agent receives written notice of objection to the drawdown of the proposed Tranche from Lenders whose aggregate Commitments exceed 50 (fifty) % of the aggregate amounts of all the Commitments, the Agent shall give written notice of such objections to the Sponsor, together with copies thereof; and</w:t>
      </w:r>
    </w:p>
    <w:p>
      <w:pPr>
        <w:pStyle w:val="Normal"/>
        <w:bidi w:val="0"/>
        <w:jc w:val="both"/>
        <w:rPr>
          <w:sz w:val="24"/>
        </w:rPr>
      </w:pPr>
      <w:r>
        <w:rPr>
          <w:sz w:val="24"/>
        </w:rPr>
      </w:r>
    </w:p>
    <w:p>
      <w:pPr>
        <w:pStyle w:val="Normal"/>
        <w:bidi w:val="0"/>
        <w:jc w:val="both"/>
        <w:rPr>
          <w:sz w:val="24"/>
        </w:rPr>
      </w:pPr>
      <w:r>
        <w:rPr>
          <w:sz w:val="24"/>
        </w:rPr>
        <w:tab/>
        <w:t>(iii)</w:t>
        <w:tab/>
        <w:t xml:space="preserve"> if the Agent or the Subscriber elects to make the confirmation specified in paragraph (C) of the acknowledgment attached to the Asset Notice, it shall give written notice of such objection and the reasons therefor to the Sponsor within 5 Business Days of receipt by the Agent of the Asset Notice and Asset Summary.</w:t>
      </w:r>
    </w:p>
    <w:p>
      <w:pPr>
        <w:pStyle w:val="Normal"/>
        <w:bidi w:val="0"/>
        <w:jc w:val="both"/>
        <w:rPr>
          <w:sz w:val="24"/>
        </w:rPr>
      </w:pPr>
      <w:r>
        <w:rPr>
          <w:sz w:val="24"/>
        </w:rPr>
      </w:r>
    </w:p>
    <w:p>
      <w:pPr>
        <w:pStyle w:val="Normal"/>
        <w:bidi w:val="0"/>
        <w:jc w:val="both"/>
        <w:rPr>
          <w:sz w:val="24"/>
        </w:rPr>
      </w:pPr>
      <w:r>
        <w:rPr>
          <w:sz w:val="24"/>
        </w:rPr>
        <w:tab/>
        <w:t>(b)</w:t>
        <w:tab/>
        <w:t>Any delivery of an Asset Notice and Asset Summary shall be effective if (i) they are delivered as follows (or to such other address as the Agent may specify to Enron on not less than 5 Business Days’ notice) by hand, overnight courier, facsimile or certified mail, return receipt requested:</w:t>
      </w:r>
    </w:p>
    <w:p>
      <w:pPr>
        <w:pStyle w:val="Normal"/>
        <w:keepNext w:val="true"/>
        <w:bidi w:val="0"/>
        <w:jc w:val="both"/>
        <w:rPr>
          <w:sz w:val="24"/>
        </w:rPr>
      </w:pPr>
      <w:r>
        <w:rPr>
          <w:sz w:val="24"/>
        </w:rPr>
      </w:r>
    </w:p>
    <w:p>
      <w:pPr>
        <w:pStyle w:val="Normal"/>
        <w:keepNext w:val="true"/>
        <w:bidi w:val="0"/>
        <w:jc w:val="both"/>
        <w:rPr>
          <w:sz w:val="24"/>
        </w:rPr>
      </w:pPr>
      <w:r>
        <w:rPr>
          <w:sz w:val="24"/>
        </w:rPr>
        <w:tab/>
        <w:t>(1)</w:t>
        <w:tab/>
        <w:t>Canadian Imperial Bank of Commerce, as Agent</w:t>
      </w:r>
    </w:p>
    <w:p>
      <w:pPr>
        <w:pStyle w:val="Normal"/>
        <w:keepNext w:val="true"/>
        <w:keepLines/>
        <w:tabs>
          <w:tab w:val="left" w:pos="720" w:leader="none"/>
          <w:tab w:val="left" w:pos="1440" w:leader="none"/>
        </w:tabs>
        <w:bidi w:val="0"/>
        <w:ind w:hanging="1440" w:start="1440"/>
        <w:jc w:val="both"/>
        <w:rPr>
          <w:sz w:val="24"/>
        </w:rPr>
      </w:pPr>
      <w:r>
        <w:rPr>
          <w:sz w:val="24"/>
        </w:rPr>
        <w:tab/>
        <w:tab/>
        <w:t>c/o CIBC World Markets</w:t>
      </w:r>
    </w:p>
    <w:p>
      <w:pPr>
        <w:pStyle w:val="Normal"/>
        <w:keepNext w:val="true"/>
        <w:keepLines/>
        <w:bidi w:val="0"/>
        <w:jc w:val="both"/>
        <w:rPr>
          <w:sz w:val="24"/>
        </w:rPr>
      </w:pPr>
      <w:r>
        <w:rPr>
          <w:sz w:val="24"/>
        </w:rPr>
        <w:tab/>
        <w:tab/>
        <w:t>425 Lexington Avenue,</w:t>
      </w:r>
    </w:p>
    <w:p>
      <w:pPr>
        <w:pStyle w:val="Normal"/>
        <w:keepNext w:val="true"/>
        <w:keepLines/>
        <w:bidi w:val="0"/>
        <w:jc w:val="both"/>
        <w:rPr>
          <w:sz w:val="24"/>
        </w:rPr>
      </w:pPr>
      <w:r>
        <w:rPr>
          <w:sz w:val="24"/>
        </w:rPr>
        <w:tab/>
        <w:tab/>
        <w:t>New York, New York 10017</w:t>
      </w:r>
    </w:p>
    <w:p>
      <w:pPr>
        <w:pStyle w:val="Normal"/>
        <w:keepNext w:val="true"/>
        <w:keepLines/>
        <w:bidi w:val="0"/>
        <w:jc w:val="both"/>
        <w:rPr>
          <w:sz w:val="24"/>
        </w:rPr>
      </w:pPr>
      <w:r>
        <w:rPr>
          <w:sz w:val="24"/>
        </w:rPr>
        <w:tab/>
        <w:tab/>
        <w:t>Attention: Ian Schottlaender and Mercedes Arango</w:t>
      </w:r>
    </w:p>
    <w:p>
      <w:pPr>
        <w:pStyle w:val="Normal"/>
        <w:keepNext w:val="true"/>
        <w:keepLines/>
        <w:bidi w:val="0"/>
        <w:jc w:val="both"/>
        <w:rPr>
          <w:sz w:val="24"/>
        </w:rPr>
      </w:pPr>
      <w:r>
        <w:rPr>
          <w:sz w:val="24"/>
        </w:rPr>
        <w:tab/>
        <w:tab/>
        <w:t>Fax No.: (212) 885</w:t>
        <w:noBreakHyphen/>
        <w:t>4909; and</w:t>
      </w:r>
    </w:p>
    <w:p>
      <w:pPr>
        <w:pStyle w:val="Normal"/>
        <w:keepNext w:val="true"/>
        <w:keepLines/>
        <w:bidi w:val="0"/>
        <w:jc w:val="both"/>
        <w:rPr>
          <w:sz w:val="24"/>
        </w:rPr>
      </w:pPr>
      <w:r>
        <w:rPr>
          <w:sz w:val="24"/>
        </w:rPr>
      </w:r>
    </w:p>
    <w:p>
      <w:pPr>
        <w:pStyle w:val="Normal"/>
        <w:keepNext w:val="true"/>
        <w:keepLines/>
        <w:tabs>
          <w:tab w:val="left" w:pos="720" w:leader="none"/>
          <w:tab w:val="left" w:pos="1440" w:leader="none"/>
        </w:tabs>
        <w:bidi w:val="0"/>
        <w:ind w:hanging="1440" w:start="1440"/>
        <w:jc w:val="both"/>
        <w:rPr>
          <w:sz w:val="24"/>
        </w:rPr>
      </w:pPr>
      <w:r>
        <w:rPr>
          <w:sz w:val="24"/>
        </w:rPr>
        <w:tab/>
        <w:t>(2)</w:t>
        <w:tab/>
        <w:t>Canadian Imperial Bank of Commerce, as Agent</w:t>
      </w:r>
    </w:p>
    <w:p>
      <w:pPr>
        <w:pStyle w:val="Normal"/>
        <w:keepNext w:val="true"/>
        <w:keepLines/>
        <w:bidi w:val="0"/>
        <w:ind w:hanging="0" w:start="1440"/>
        <w:jc w:val="both"/>
        <w:rPr>
          <w:sz w:val="24"/>
        </w:rPr>
      </w:pPr>
      <w:r>
        <w:rPr>
          <w:sz w:val="24"/>
        </w:rPr>
        <w:t>425 Lexington Avenue</w:t>
      </w:r>
    </w:p>
    <w:p>
      <w:pPr>
        <w:pStyle w:val="Normal"/>
        <w:keepNext w:val="true"/>
        <w:keepLines/>
        <w:bidi w:val="0"/>
        <w:jc w:val="both"/>
        <w:rPr>
          <w:sz w:val="24"/>
        </w:rPr>
      </w:pPr>
      <w:r>
        <w:rPr>
          <w:sz w:val="24"/>
        </w:rPr>
        <w:tab/>
        <w:tab/>
        <w:t>New York, New York 10017</w:t>
      </w:r>
    </w:p>
    <w:p>
      <w:pPr>
        <w:pStyle w:val="Normal"/>
        <w:keepNext w:val="true"/>
        <w:keepLines/>
        <w:bidi w:val="0"/>
        <w:jc w:val="both"/>
        <w:rPr>
          <w:sz w:val="24"/>
        </w:rPr>
      </w:pPr>
      <w:r>
        <w:rPr>
          <w:sz w:val="24"/>
        </w:rPr>
        <w:tab/>
        <w:tab/>
        <w:t>Attention: MaryBeth Ross</w:t>
      </w:r>
    </w:p>
    <w:p>
      <w:pPr>
        <w:pStyle w:val="Normal"/>
        <w:keepNext w:val="true"/>
        <w:keepLines/>
        <w:bidi w:val="0"/>
        <w:jc w:val="both"/>
        <w:rPr>
          <w:sz w:val="24"/>
        </w:rPr>
      </w:pPr>
      <w:r>
        <w:rPr>
          <w:sz w:val="24"/>
        </w:rPr>
        <w:tab/>
        <w:tab/>
        <w:t>Fax No.: (212) 856</w:t>
        <w:noBreakHyphen/>
        <w:t>3763</w:t>
      </w:r>
    </w:p>
    <w:p>
      <w:pPr>
        <w:pStyle w:val="Normal"/>
        <w:keepLines/>
        <w:bidi w:val="0"/>
        <w:jc w:val="both"/>
        <w:rPr>
          <w:sz w:val="24"/>
        </w:rPr>
      </w:pPr>
      <w:r>
        <w:rPr>
          <w:sz w:val="24"/>
        </w:rPr>
      </w:r>
    </w:p>
    <w:p>
      <w:pPr>
        <w:pStyle w:val="Normal"/>
        <w:bidi w:val="0"/>
        <w:jc w:val="both"/>
        <w:rPr>
          <w:sz w:val="24"/>
        </w:rPr>
      </w:pPr>
      <w:r>
        <w:rPr>
          <w:sz w:val="24"/>
        </w:rPr>
        <w:tab/>
        <w:t>(3)</w:t>
        <w:tab/>
        <w:t>Canadian Imperial Bank of Commerce, as Agent</w:t>
      </w:r>
    </w:p>
    <w:p>
      <w:pPr>
        <w:pStyle w:val="Normal"/>
        <w:tabs>
          <w:tab w:val="left" w:pos="720" w:leader="none"/>
          <w:tab w:val="left" w:pos="1440" w:leader="none"/>
        </w:tabs>
        <w:bidi w:val="0"/>
        <w:ind w:hanging="1440" w:start="1440"/>
        <w:jc w:val="both"/>
        <w:rPr>
          <w:sz w:val="24"/>
        </w:rPr>
      </w:pPr>
      <w:r>
        <w:rPr>
          <w:sz w:val="24"/>
        </w:rPr>
        <w:tab/>
        <w:tab/>
        <w:t>c/o CIBC World Markets</w:t>
      </w:r>
    </w:p>
    <w:p>
      <w:pPr>
        <w:pStyle w:val="Normal"/>
        <w:bidi w:val="0"/>
        <w:jc w:val="both"/>
        <w:rPr>
          <w:sz w:val="24"/>
        </w:rPr>
      </w:pPr>
      <w:r>
        <w:rPr>
          <w:sz w:val="24"/>
        </w:rPr>
        <w:tab/>
        <w:tab/>
        <w:t>1600 Smith</w:t>
      </w:r>
    </w:p>
    <w:p>
      <w:pPr>
        <w:pStyle w:val="Normal"/>
        <w:bidi w:val="0"/>
        <w:jc w:val="both"/>
        <w:rPr>
          <w:sz w:val="24"/>
        </w:rPr>
      </w:pPr>
      <w:r>
        <w:rPr>
          <w:sz w:val="24"/>
        </w:rPr>
        <w:tab/>
        <w:tab/>
        <w:t>Suite 3100</w:t>
      </w:r>
    </w:p>
    <w:p>
      <w:pPr>
        <w:pStyle w:val="Normal"/>
        <w:bidi w:val="0"/>
        <w:jc w:val="both"/>
        <w:rPr>
          <w:sz w:val="24"/>
        </w:rPr>
      </w:pPr>
      <w:r>
        <w:rPr>
          <w:sz w:val="24"/>
        </w:rPr>
        <w:tab/>
        <w:tab/>
        <w:t>Houston, Texas 77002</w:t>
      </w:r>
    </w:p>
    <w:p>
      <w:pPr>
        <w:pStyle w:val="Normal"/>
        <w:bidi w:val="0"/>
        <w:jc w:val="both"/>
        <w:rPr>
          <w:sz w:val="24"/>
        </w:rPr>
      </w:pPr>
      <w:r>
        <w:rPr>
          <w:sz w:val="24"/>
        </w:rPr>
        <w:tab/>
        <w:tab/>
        <w:t>Attention: Mark Wolf</w:t>
      </w:r>
    </w:p>
    <w:p>
      <w:pPr>
        <w:pStyle w:val="Normal"/>
        <w:bidi w:val="0"/>
        <w:jc w:val="both"/>
        <w:rPr>
          <w:sz w:val="24"/>
        </w:rPr>
      </w:pPr>
      <w:r>
        <w:rPr>
          <w:sz w:val="24"/>
        </w:rPr>
        <w:tab/>
        <w:tab/>
        <w:t>Tel.: (713) 650</w:t>
        <w:noBreakHyphen/>
        <w:t>2588</w:t>
      </w:r>
    </w:p>
    <w:p>
      <w:pPr>
        <w:pStyle w:val="Normal"/>
        <w:bidi w:val="0"/>
        <w:jc w:val="both"/>
        <w:rPr>
          <w:sz w:val="24"/>
        </w:rPr>
      </w:pPr>
      <w:r>
        <w:rPr>
          <w:sz w:val="24"/>
        </w:rPr>
        <w:tab/>
        <w:tab/>
        <w:t>Fax No.: (713) 650</w:t>
        <w:noBreakHyphen/>
        <w:t>7675; and</w:t>
      </w:r>
    </w:p>
    <w:p>
      <w:pPr>
        <w:pStyle w:val="Normal"/>
        <w:bidi w:val="0"/>
        <w:jc w:val="both"/>
        <w:rPr>
          <w:sz w:val="24"/>
        </w:rPr>
      </w:pPr>
      <w:r>
        <w:rPr>
          <w:sz w:val="24"/>
        </w:rPr>
      </w:r>
    </w:p>
    <w:p>
      <w:pPr>
        <w:pStyle w:val="Normal"/>
        <w:bidi w:val="0"/>
        <w:jc w:val="both"/>
        <w:rPr>
          <w:sz w:val="24"/>
        </w:rPr>
      </w:pPr>
      <w:r>
        <w:rPr>
          <w:sz w:val="24"/>
        </w:rPr>
        <w:tab/>
        <w:t>(ii)</w:t>
        <w:tab/>
        <w:t>commencing not later than 11:00 a.m. (Eastern time) on the date of delivery of such Asset Notice and Asset Summary, a representative of Enron Corp. shall telephone (in order until one of them answers the call) Ian Schottlaender at (212) 856</w:t>
        <w:noBreakHyphen/>
        <w:t>3694, MaryBeth Ross at (212) 856</w:t>
        <w:noBreakHyphen/>
        <w:t>3691, Mercy Arango at (212) 856</w:t>
        <w:noBreakHyphen/>
        <w:t>3862 and Mark Wolf at (713) 650</w:t>
        <w:noBreakHyphen/>
        <w:t xml:space="preserve">2588 or, if none of the foregoing answer such telephone calls, any Executive Director (or more senior employee) of CIBC World Markets Corp.’s Houston office (or, if at any time there is no CIBC World Markets Corp. Houston office, CIBC World Markets Corp.’s New York office) (each, a </w:t>
      </w:r>
      <w:r>
        <w:rPr>
          <w:b/>
          <w:sz w:val="24"/>
        </w:rPr>
        <w:t>“</w:t>
      </w:r>
      <w:r>
        <w:rPr>
          <w:b/>
          <w:sz w:val="24"/>
          <w:u w:val="single"/>
        </w:rPr>
        <w:t>Designated Person</w:t>
      </w:r>
      <w:r>
        <w:rPr>
          <w:b/>
          <w:sz w:val="24"/>
        </w:rPr>
        <w:t>”</w:t>
      </w:r>
      <w:r>
        <w:rPr>
          <w:sz w:val="24"/>
        </w:rPr>
        <w:t>) and notify such Designated Person of the delivery of such Asset Notice and Asset Summary and obtain an oral confirmation of receipt from such Designated Person.</w:t>
      </w:r>
    </w:p>
    <w:p>
      <w:pPr>
        <w:pStyle w:val="Normal"/>
        <w:bidi w:val="0"/>
        <w:jc w:val="both"/>
        <w:rPr>
          <w:sz w:val="24"/>
        </w:rPr>
      </w:pPr>
      <w:r>
        <w:rPr>
          <w:sz w:val="24"/>
        </w:rPr>
      </w:r>
    </w:p>
    <w:p>
      <w:pPr>
        <w:pStyle w:val="Normal"/>
        <w:bidi w:val="0"/>
        <w:jc w:val="both"/>
        <w:rPr>
          <w:sz w:val="24"/>
        </w:rPr>
      </w:pPr>
      <w:r>
        <w:rPr>
          <w:sz w:val="24"/>
        </w:rPr>
        <w:tab/>
        <w:t>(c)</w:t>
        <w:tab/>
        <w:t>For the purposes of Section 5.2(a), an Asset Notice and Asset Summary shall be deemed delivered on the Business Day on which they are delivered to the addressees specified in Section 5.1(b)(i) and otherwise in accordance with Section 5.1(b)(ii), provided that if any Asset Notice or Asset Summary is delivered after 11 a.m. (Eastern time), or if oral confirmation of such receipt is not received until after 5:00 p.m. (Eastern time) on such Business Day, then both shall be deemed to have been delivered on the first Business Day next following (so long as physical delivery and oral confirmation are received by 11:00 a.m. and 5:00 p.m., respectively (Eastern time) on such next Business Day).</w:t>
      </w:r>
    </w:p>
    <w:p>
      <w:pPr>
        <w:pStyle w:val="Normal"/>
        <w:bidi w:val="0"/>
        <w:jc w:val="both"/>
        <w:rPr>
          <w:sz w:val="24"/>
        </w:rPr>
      </w:pPr>
      <w:r>
        <w:rPr>
          <w:sz w:val="24"/>
        </w:rPr>
      </w:r>
    </w:p>
    <w:p>
      <w:pPr>
        <w:pStyle w:val="Normal"/>
        <w:bidi w:val="0"/>
        <w:jc w:val="both"/>
        <w:rPr>
          <w:sz w:val="24"/>
        </w:rPr>
      </w:pPr>
      <w:r>
        <w:rPr>
          <w:sz w:val="24"/>
        </w:rPr>
        <w:tab/>
        <w:t>(d)</w:t>
        <w:tab/>
        <w:t>If the Agent proposes to make the certification specified in paragraph (C) of the acknowledgment to any Asset Notice, it shall consult with Enron in a timely manner regarding any revisions to the Asset Notice or Asset Summary which may enable the Agent to make the certification in paragraph (A) or (B) of the acknowledgment to any revised Asset Notice submitted    with respect to the proposed Underlying Asset.    Any such revised Asset Notice shall be delivered to and considered by the Agent in accordance with Section 5.1(a) and (b).</w:t>
      </w:r>
    </w:p>
    <w:p>
      <w:pPr>
        <w:pStyle w:val="Normal"/>
        <w:bidi w:val="0"/>
        <w:jc w:val="both"/>
        <w:rPr>
          <w:sz w:val="24"/>
        </w:rPr>
      </w:pPr>
      <w:r>
        <w:rPr>
          <w:sz w:val="24"/>
        </w:rPr>
      </w:r>
    </w:p>
    <w:p>
      <w:pPr>
        <w:pStyle w:val="Normal"/>
        <w:bidi w:val="0"/>
        <w:jc w:val="both"/>
        <w:rPr>
          <w:sz w:val="24"/>
        </w:rPr>
      </w:pPr>
      <w:r>
        <w:rPr>
          <w:sz w:val="24"/>
        </w:rPr>
        <w:tab/>
        <w:t>(e)</w:t>
        <w:tab/>
        <w:t>Enron may at any time and from time to time deliver a revised Asset Notice and Asset Summary to the Agent in accordance with Section 5.1(b) with respect to any proposed Underlying Asset which has previously been rejected either by the Agent making the certification set out in paragraph (C) of the acknowledgment to an Asset Notice or by the requisite Lenders (as specified in Section 5.1</w:t>
      </w:r>
      <w:ins w:id="646" w:author="">
        <w:r>
          <w:rPr>
            <w:b/>
            <w:sz w:val="24"/>
            <w:u w:val="double"/>
          </w:rPr>
          <w:t>(a)</w:t>
        </w:r>
      </w:ins>
      <w:r>
        <w:rPr>
          <w:sz w:val="24"/>
        </w:rPr>
        <w:t>(ii)) giving written notice of objection within the requisite period.    Any such revised Asset Notice shall be considered by the Agent in accordance with Section 5.1(a).</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5.2   Drawdown of the Advances " \l 1 </w:instrText>
      </w:r>
      <w:r>
        <w:rPr>
          <w:sz w:val="24"/>
        </w:rPr>
        <w:fldChar w:fldCharType="separate"/>
      </w:r>
      <w:r>
        <w:rPr>
          <w:sz w:val="24"/>
        </w:rPr>
      </w:r>
      <w:r>
        <w:rPr>
          <w:sz w:val="24"/>
        </w:rPr>
        <w:fldChar w:fldCharType="end"/>
      </w:r>
      <w:r>
        <w:rPr>
          <w:sz w:val="24"/>
        </w:rPr>
        <w:t>.</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 xml:space="preserve">Subject to the terms and conditions of this Agreement, each Advance shall be made on the applicable Drawdown Date in accordance with the Drawdown Request.    </w:t>
      </w:r>
      <w:ins w:id="647" w:author="">
        <w:r>
          <w:rPr>
            <w:strike/>
            <w:sz w:val="24"/>
          </w:rPr>
          <w:t>When</w:t>
        </w:r>
      </w:ins>
      <w:r>
        <w:rPr>
          <w:sz w:val="24"/>
        </w:rPr>
        <w:t xml:space="preserve"> </w:t>
      </w:r>
      <w:ins w:id="648" w:author="">
        <w:r>
          <w:rPr>
            <w:b/>
            <w:sz w:val="24"/>
            <w:u w:val="double"/>
          </w:rPr>
          <w:t>Except with respect to the Hawaii Tranche, as provided in Section 5.2(e), when</w:t>
        </w:r>
      </w:ins>
      <w:r>
        <w:rPr>
          <w:sz w:val="24"/>
        </w:rPr>
        <w:t xml:space="preserve"> the Trust wishes to borrow a Tranche, the Trust shall deliver to the Agent a duly completed Drawdown Request not later than 11:00 a.m. on the third Business Day prior to the proposed Drawdown Date or such later time as is agreed by the Agent.    </w:t>
      </w:r>
      <w:ins w:id="649" w:author="">
        <w:r>
          <w:rPr>
            <w:strike/>
            <w:sz w:val="24"/>
          </w:rPr>
          <w:t>The</w:t>
        </w:r>
      </w:ins>
      <w:r>
        <w:rPr>
          <w:sz w:val="24"/>
        </w:rPr>
        <w:t xml:space="preserve"> </w:t>
      </w:r>
      <w:ins w:id="650" w:author="">
        <w:r>
          <w:rPr>
            <w:b/>
            <w:sz w:val="24"/>
            <w:u w:val="double"/>
          </w:rPr>
          <w:t>Except with respect to the Hawaii Tranches and the Hawaii II Tranches, as provided in Section 5.2(e), the</w:t>
        </w:r>
      </w:ins>
      <w:r>
        <w:rPr>
          <w:sz w:val="24"/>
        </w:rPr>
        <w:t xml:space="preserve"> Trust may only deliver a Drawdown Request with respect to a proposed Tranche if</w:t>
      </w:r>
      <w:ins w:id="651" w:author="">
        <w:r>
          <w:rPr>
            <w:strike/>
            <w:sz w:val="24"/>
          </w:rPr>
          <w:t>;</w:t>
        </w:r>
      </w:ins>
      <w:ins w:id="652" w:author="">
        <w:r>
          <w:rPr>
            <w:b/>
            <w:sz w:val="24"/>
            <w:u w:val="double"/>
          </w:rPr>
          <w:t>:</w:t>
        </w:r>
      </w:ins>
    </w:p>
    <w:p>
      <w:pPr>
        <w:pStyle w:val="Normal"/>
        <w:bidi w:val="0"/>
        <w:jc w:val="both"/>
        <w:rPr>
          <w:sz w:val="24"/>
        </w:rPr>
      </w:pPr>
      <w:r>
        <w:rPr>
          <w:sz w:val="24"/>
        </w:rPr>
        <w:tab/>
        <w:tab/>
        <w:t>(i) the Agent and the Subscriber have returned the applicable Asset Notice to Enron making the confirmation referred to in Section 5.1</w:t>
      </w:r>
      <w:ins w:id="653" w:author="">
        <w:r>
          <w:rPr>
            <w:strike/>
            <w:sz w:val="24"/>
          </w:rPr>
          <w:t>(a)(i);</w:t>
        </w:r>
      </w:ins>
      <w:ins w:id="654" w:author="">
        <w:r>
          <w:rPr>
            <w:b/>
            <w:sz w:val="24"/>
            <w:u w:val="double"/>
          </w:rPr>
          <w:t>(a)(i);</w:t>
        </w:r>
      </w:ins>
      <w:r>
        <w:rPr>
          <w:sz w:val="24"/>
        </w:rPr>
        <w:t xml:space="preserve"> or</w:t>
      </w:r>
    </w:p>
    <w:p>
      <w:pPr>
        <w:pStyle w:val="Normal"/>
        <w:bidi w:val="0"/>
        <w:jc w:val="both"/>
        <w:rPr>
          <w:sz w:val="24"/>
        </w:rPr>
      </w:pPr>
      <w:r>
        <w:rPr>
          <w:sz w:val="24"/>
        </w:rPr>
      </w:r>
    </w:p>
    <w:p>
      <w:pPr>
        <w:pStyle w:val="Normal"/>
        <w:bidi w:val="0"/>
        <w:jc w:val="both"/>
        <w:rPr>
          <w:sz w:val="24"/>
        </w:rPr>
      </w:pPr>
      <w:r>
        <w:rPr>
          <w:sz w:val="24"/>
        </w:rPr>
        <w:tab/>
        <w:tab/>
        <w:t>(ii) neither the Agent nor the Subscriber gives Enron a written notice in accordance with either Section 5.1(a)(ii) or 5.1(a)(iii) within 10 Business Days after delivery of the applicable Asset Notice to the Agent and Subscriber, respectively.</w:t>
      </w:r>
    </w:p>
    <w:p>
      <w:pPr>
        <w:pStyle w:val="Normal"/>
        <w:bidi w:val="0"/>
        <w:jc w:val="both"/>
        <w:rPr>
          <w:sz w:val="24"/>
        </w:rPr>
      </w:pPr>
      <w:r>
        <w:rPr>
          <w:sz w:val="24"/>
        </w:rPr>
      </w:r>
    </w:p>
    <w:p>
      <w:pPr>
        <w:pStyle w:val="Normal"/>
        <w:bidi w:val="0"/>
        <w:spacing w:before="0" w:after="240"/>
        <w:jc w:val="both"/>
        <w:rPr>
          <w:sz w:val="24"/>
        </w:rPr>
      </w:pPr>
      <w:r>
        <w:rPr>
          <w:sz w:val="24"/>
        </w:rPr>
        <w:tab/>
        <w:t>(b)</w:t>
        <w:tab/>
        <w:t>Each Drawdown Request delivered to the Agent shall be in the form set out in Exhibit A and otherwise duly completed.</w:t>
      </w:r>
    </w:p>
    <w:p>
      <w:pPr>
        <w:pStyle w:val="Normal"/>
        <w:bidi w:val="0"/>
        <w:spacing w:before="0" w:after="240"/>
        <w:jc w:val="both"/>
        <w:rPr>
          <w:sz w:val="24"/>
        </w:rPr>
      </w:pPr>
      <w:r>
        <w:rPr>
          <w:sz w:val="24"/>
        </w:rPr>
        <w:tab/>
        <w:t>(c)</w:t>
        <w:tab/>
        <w:t xml:space="preserve">In no event may (i) the amount specified in any Drawdown Request exceed the valuation of the proposed Underlying Asset specified in the Asset Notice; (ii) the Advances requested by the Drawdown Notice cause all Advances to exceed the aggregate Commitment of all Lenders; or (iii) any Drawdown Date take place after </w:t>
      </w:r>
      <w:ins w:id="655" w:author="">
        <w:r>
          <w:rPr>
            <w:strike/>
            <w:sz w:val="24"/>
          </w:rPr>
          <w:t>one month prior to the Maturity</w:t>
        </w:r>
      </w:ins>
      <w:r>
        <w:rPr>
          <w:sz w:val="24"/>
        </w:rPr>
        <w:t xml:space="preserve"> </w:t>
      </w:r>
      <w:ins w:id="656" w:author="">
        <w:r>
          <w:rPr>
            <w:b/>
            <w:sz w:val="24"/>
            <w:u w:val="double"/>
          </w:rPr>
          <w:t>the Final Advance</w:t>
        </w:r>
      </w:ins>
      <w:r>
        <w:rPr>
          <w:sz w:val="24"/>
        </w:rPr>
        <w:t xml:space="preserve"> Date.</w:t>
      </w:r>
    </w:p>
    <w:p>
      <w:pPr>
        <w:pStyle w:val="Normal"/>
        <w:bidi w:val="0"/>
        <w:spacing w:before="0" w:after="240"/>
        <w:jc w:val="both"/>
        <w:rPr>
          <w:sz w:val="24"/>
        </w:rPr>
      </w:pPr>
      <w:r>
        <w:rPr>
          <w:sz w:val="24"/>
        </w:rPr>
        <w:tab/>
        <w:t>(d)</w:t>
        <w:tab/>
        <w:t>A Drawdown Request once given may not be withdrawn or revoked.</w:t>
      </w:r>
    </w:p>
    <w:p>
      <w:pPr>
        <w:pStyle w:val="Normal"/>
        <w:keepNext w:val="true"/>
        <w:bidi w:val="0"/>
        <w:spacing w:before="0" w:after="240"/>
        <w:jc w:val="both"/>
        <w:rPr>
          <w:sz w:val="24"/>
        </w:rPr>
      </w:pPr>
      <w:r>
        <w:rPr>
          <w:sz w:val="24"/>
        </w:rPr>
        <w:tab/>
      </w:r>
      <w:ins w:id="657" w:author="">
        <w:r>
          <w:rPr>
            <w:b/>
            <w:sz w:val="24"/>
            <w:u w:val="double"/>
          </w:rPr>
          <w:t>(e)</w:t>
          <w:tab/>
          <w:t>Notwithstanding any other provisions of this Agreement, with respect to each of the Hawaii Tranches, the Trust shall deliver to the Agent a duly completed Drawdown Request on the date hereof, and the Drawdown Date for each of the Hawaii Tranches shall be the date hereof.    Further, the Trust shall not be required to deliver an Asset Notice with respect to, and the Asset Notice requirements described in the final sentence of Section 5.2(a) shall not be applicable to, Hawaii Tranches or Hawaii II Tranches.</w:t>
        </w:r>
      </w:ins>
    </w:p>
    <w:p>
      <w:pPr>
        <w:pStyle w:val="Normal"/>
        <w:keepNext w:val="true"/>
        <w:keepLines/>
        <w:bidi w:val="0"/>
        <w:jc w:val="both"/>
        <w:rPr>
          <w:sz w:val="24"/>
        </w:rPr>
      </w:pPr>
      <w:r>
        <w:rPr>
          <w:sz w:val="24"/>
        </w:rPr>
        <w:tab/>
      </w:r>
      <w:r>
        <w:fldChar w:fldCharType="begin"/>
      </w:r>
      <w:r>
        <w:rPr>
          <w:sz w:val="24"/>
        </w:rPr>
        <w:instrText xml:space="preserve"> TC "Section  5.3   Advances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Subject to the provisions of this Agreement, each Lender will make available to the Agent the amount of its Percentage Commitment of each Tranche on the applicable Drawdown Date in accordance with Section 9.1(a).</w:t>
      </w:r>
    </w:p>
    <w:p>
      <w:pPr>
        <w:pStyle w:val="Normal"/>
        <w:keepNext w:val="true"/>
        <w:bidi w:val="0"/>
        <w:spacing w:before="0" w:after="240"/>
        <w:jc w:val="both"/>
        <w:rPr>
          <w:sz w:val="24"/>
        </w:rPr>
      </w:pPr>
      <w:r>
        <w:rPr>
          <w:sz w:val="24"/>
        </w:rPr>
        <w:tab/>
        <w:t>(b)</w:t>
        <w:tab/>
        <w:t>If prior to Advances being made any Lender’s Commitment has been or will be wholly canceled or terminated pursuant to this Agreement, such Lender will not be obliged to make an Advance hereunder.</w:t>
      </w:r>
    </w:p>
    <w:p>
      <w:pPr>
        <w:pStyle w:val="Normal"/>
        <w:keepNext w:val="true"/>
        <w:keepLines/>
        <w:bidi w:val="0"/>
        <w:jc w:val="both"/>
        <w:rPr>
          <w:sz w:val="24"/>
        </w:rPr>
      </w:pPr>
      <w:r>
        <w:rPr>
          <w:sz w:val="24"/>
        </w:rPr>
        <w:tab/>
      </w:r>
      <w:r>
        <w:fldChar w:fldCharType="begin"/>
      </w:r>
      <w:r>
        <w:rPr>
          <w:sz w:val="24"/>
        </w:rPr>
        <w:instrText xml:space="preserve"> TC "Section  5.4   Notice to Lenders of a Proposed Drawdown " \l 1 </w:instrText>
      </w:r>
      <w:r>
        <w:rPr>
          <w:sz w:val="24"/>
        </w:rPr>
        <w:fldChar w:fldCharType="separate"/>
      </w:r>
      <w:r>
        <w:rPr>
          <w:sz w:val="24"/>
        </w:rPr>
      </w:r>
      <w:r>
        <w:rPr>
          <w:sz w:val="24"/>
        </w:rPr>
        <w:fldChar w:fldCharType="end"/>
      </w:r>
      <w:r>
        <w:rPr>
          <w:sz w:val="24"/>
        </w:rPr>
        <w:t>.    Whenever the Agent receives a Drawdown Request which complies with the requirements of Section </w:t>
      </w:r>
      <w:ins w:id="658" w:author="">
        <w:r>
          <w:rPr>
            <w:strike/>
            <w:sz w:val="24"/>
          </w:rPr>
          <w:t>5.3</w:t>
        </w:r>
      </w:ins>
      <w:r>
        <w:rPr>
          <w:sz w:val="24"/>
        </w:rPr>
        <w:t xml:space="preserve"> </w:t>
      </w:r>
      <w:ins w:id="659" w:author="">
        <w:r>
          <w:rPr>
            <w:b/>
            <w:sz w:val="24"/>
            <w:u w:val="double"/>
          </w:rPr>
          <w:t>5.2</w:t>
        </w:r>
      </w:ins>
      <w:r>
        <w:rPr>
          <w:sz w:val="24"/>
        </w:rPr>
        <w:t>, the Agent will promptly deliver notice of such Drawdown Request to each Lender.</w:t>
      </w:r>
    </w:p>
    <w:p>
      <w:pPr>
        <w:pStyle w:val="Normal"/>
        <w:keepNext w:val="true"/>
        <w:keepLines/>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VIREPAYMENT OF ADVANCES"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6.1   Obligation to Repay " \l 1 </w:instrText>
      </w:r>
      <w:r>
        <w:rPr>
          <w:sz w:val="24"/>
        </w:rPr>
        <w:fldChar w:fldCharType="separate"/>
      </w:r>
      <w:r>
        <w:rPr>
          <w:sz w:val="24"/>
        </w:rPr>
      </w:r>
      <w:r>
        <w:rPr>
          <w:sz w:val="24"/>
        </w:rPr>
        <w:fldChar w:fldCharType="end"/>
      </w:r>
      <w:r>
        <w:rPr>
          <w:sz w:val="24"/>
        </w:rPr>
        <w:t>.    The Trust shall repay the Advances comprising each Tranche in full on the applicable Repayment Date.</w:t>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6.2   Date of Repayment " \l 1 </w:instrText>
      </w:r>
      <w:r>
        <w:rPr>
          <w:sz w:val="24"/>
        </w:rPr>
        <w:fldChar w:fldCharType="separate"/>
      </w:r>
      <w:r>
        <w:rPr>
          <w:sz w:val="24"/>
        </w:rPr>
      </w:r>
      <w:r>
        <w:rPr>
          <w:sz w:val="24"/>
        </w:rPr>
        <w:fldChar w:fldCharType="end"/>
      </w:r>
      <w:r>
        <w:rPr>
          <w:sz w:val="24"/>
        </w:rPr>
        <w:t>.    If the Repayment Date is not a Business Day it will be adjusted to fall on the next succeeding Business Day unless the result of such adjustment would be to carry the Repayment Date into another calendar month, in which event the Repayment Date shall be the first preceding day that is a Business Day.</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6.3   Repayment Pursuant to Total Return Swap " \l 1 </w:instrText>
      </w:r>
      <w:r>
        <w:rPr>
          <w:sz w:val="24"/>
        </w:rPr>
        <w:fldChar w:fldCharType="separate"/>
      </w:r>
      <w:r>
        <w:rPr>
          <w:sz w:val="24"/>
        </w:rPr>
      </w:r>
      <w:r>
        <w:rPr>
          <w:sz w:val="24"/>
        </w:rPr>
        <w:fldChar w:fldCharType="end"/>
      </w:r>
      <w:r>
        <w:rPr>
          <w:sz w:val="24"/>
        </w:rPr>
        <w:t xml:space="preserve">.    In the event that Enron </w:t>
      </w:r>
      <w:ins w:id="660" w:author="">
        <w:r>
          <w:rPr>
            <w:b/>
            <w:sz w:val="24"/>
            <w:u w:val="double"/>
          </w:rPr>
          <w:t>or the applicable Permitted Swap Party, as applicable,</w:t>
        </w:r>
      </w:ins>
      <w:r>
        <w:rPr>
          <w:sz w:val="24"/>
        </w:rPr>
        <w:t xml:space="preserve"> makes the required payments pursuant to the Total Return Swap Agreement and all principal, interest and other amounts due under the Notes and this Agreement have been paid in full and the Commitments reduced to zero, each Lender shall deliver its Note to Enron</w:t>
      </w:r>
      <w:ins w:id="661" w:author="">
        <w:r>
          <w:rPr>
            <w:b/>
            <w:sz w:val="24"/>
            <w:u w:val="double"/>
          </w:rPr>
          <w:t>, acting on behalf of itself and all Permitted Swap Parties,</w:t>
        </w:r>
      </w:ins>
      <w:r>
        <w:rPr>
          <w:sz w:val="24"/>
        </w:rPr>
        <w:t xml:space="preserve"> free and clear of any lien, charge, claim or encumbrance and with any necessary endorsement without recourse.    The Trust and the Lenders acknowledge that Enron is a third party beneficiary of the obligations of the Trust under this Section 6.3.</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VIIPREPAYMENT"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7.1   Mandatory Prepayments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 xml:space="preserve">In the event that </w:t>
      </w:r>
      <w:ins w:id="662" w:author="">
        <w:r>
          <w:rPr>
            <w:strike/>
            <w:sz w:val="24"/>
          </w:rPr>
          <w:t>an</w:t>
        </w:r>
      </w:ins>
      <w:r>
        <w:rPr>
          <w:sz w:val="24"/>
        </w:rPr>
        <w:t xml:space="preserve"> </w:t>
      </w:r>
      <w:ins w:id="663" w:author="">
        <w:r>
          <w:rPr>
            <w:b/>
            <w:sz w:val="24"/>
            <w:u w:val="double"/>
          </w:rPr>
          <w:t>any</w:t>
        </w:r>
      </w:ins>
      <w:r>
        <w:rPr>
          <w:sz w:val="24"/>
        </w:rPr>
        <w:t xml:space="preserve"> Early</w:t>
      </w:r>
      <w:r>
        <w:rPr>
          <w:b/>
          <w:i/>
          <w:sz w:val="24"/>
        </w:rPr>
        <w:t xml:space="preserve"> </w:t>
      </w:r>
      <w:r>
        <w:rPr>
          <w:sz w:val="24"/>
        </w:rPr>
        <w:t xml:space="preserve">Termination Date (as defined in the </w:t>
      </w:r>
      <w:ins w:id="664" w:author="">
        <w:r>
          <w:rPr>
            <w:strike/>
            <w:sz w:val="24"/>
          </w:rPr>
          <w:t>Total Return Swap</w:t>
        </w:r>
      </w:ins>
      <w:r>
        <w:rPr>
          <w:sz w:val="24"/>
        </w:rPr>
        <w:t xml:space="preserve"> </w:t>
      </w:r>
      <w:ins w:id="665" w:author="">
        <w:r>
          <w:rPr>
            <w:b/>
            <w:sz w:val="24"/>
            <w:u w:val="double"/>
          </w:rPr>
          <w:t>ISDA Master</w:t>
        </w:r>
      </w:ins>
      <w:r>
        <w:rPr>
          <w:sz w:val="24"/>
        </w:rPr>
        <w:t xml:space="preserve"> Agreement) has occurred </w:t>
      </w:r>
      <w:ins w:id="666" w:author="">
        <w:r>
          <w:rPr>
            <w:b/>
            <w:sz w:val="24"/>
            <w:u w:val="double"/>
          </w:rPr>
          <w:t>with respect to any Total Return Swap Agreement,</w:t>
        </w:r>
      </w:ins>
      <w:r>
        <w:rPr>
          <w:sz w:val="24"/>
        </w:rPr>
        <w:t xml:space="preserve"> the Agent shall give notice to the Trust of such occurrence, provided that failure by the Agent to give such notice shall not relieve the Trust of its obligations under Section 7.1(b).</w:t>
      </w:r>
    </w:p>
    <w:p>
      <w:pPr>
        <w:pStyle w:val="Normal"/>
        <w:keepNext w:val="true"/>
        <w:bidi w:val="0"/>
        <w:spacing w:before="0" w:after="240"/>
        <w:jc w:val="both"/>
        <w:rPr>
          <w:sz w:val="24"/>
        </w:rPr>
      </w:pPr>
      <w:r>
        <w:rPr>
          <w:sz w:val="24"/>
        </w:rPr>
        <w:tab/>
        <w:t>(b)</w:t>
        <w:tab/>
        <w:t xml:space="preserve">In the event that an Early Termination Date (as defined in the </w:t>
      </w:r>
      <w:ins w:id="667" w:author="">
        <w:r>
          <w:rPr>
            <w:strike/>
            <w:sz w:val="24"/>
          </w:rPr>
          <w:t>Total Return Swap</w:t>
        </w:r>
      </w:ins>
      <w:r>
        <w:rPr>
          <w:sz w:val="24"/>
        </w:rPr>
        <w:t xml:space="preserve"> </w:t>
      </w:r>
      <w:ins w:id="668" w:author="">
        <w:r>
          <w:rPr>
            <w:b/>
            <w:sz w:val="24"/>
            <w:u w:val="double"/>
          </w:rPr>
          <w:t>ISDA Master</w:t>
        </w:r>
      </w:ins>
      <w:r>
        <w:rPr>
          <w:sz w:val="24"/>
        </w:rPr>
        <w:t xml:space="preserve"> Agreement) has </w:t>
      </w:r>
      <w:ins w:id="669" w:author="">
        <w:r>
          <w:rPr>
            <w:strike/>
            <w:sz w:val="24"/>
          </w:rPr>
          <w:t>been determined pursuant to the</w:t>
        </w:r>
      </w:ins>
      <w:r>
        <w:rPr>
          <w:sz w:val="24"/>
        </w:rPr>
        <w:t xml:space="preserve"> </w:t>
      </w:r>
      <w:ins w:id="670" w:author="">
        <w:r>
          <w:rPr>
            <w:b/>
            <w:sz w:val="24"/>
            <w:u w:val="double"/>
          </w:rPr>
          <w:t>occurred with respect to any</w:t>
        </w:r>
      </w:ins>
      <w:r>
        <w:rPr>
          <w:sz w:val="24"/>
        </w:rPr>
        <w:t xml:space="preserve"> Total Return Swap Agreement, the Trust shall make a mandatory prepayment (the “</w:t>
      </w:r>
      <w:r>
        <w:rPr>
          <w:b/>
          <w:sz w:val="24"/>
          <w:u w:val="single"/>
        </w:rPr>
        <w:t>Mandatory Prepayment</w:t>
      </w:r>
      <w:r>
        <w:rPr>
          <w:sz w:val="24"/>
        </w:rPr>
        <w:t>”) on the Early Termination Date.    The amount of the Mandatory Prepayment shall be equal to the full amount of the outstanding Advances, plus any and all interest accrued and unpaid thereon plus any other amounts due and unpaid under this Agreement.</w:t>
      </w:r>
    </w:p>
    <w:p>
      <w:pPr>
        <w:pStyle w:val="Normal"/>
        <w:keepLines/>
        <w:bidi w:val="0"/>
        <w:jc w:val="both"/>
        <w:rPr>
          <w:sz w:val="24"/>
        </w:rPr>
      </w:pPr>
      <w:r>
        <w:rPr>
          <w:sz w:val="24"/>
        </w:rPr>
        <w:tab/>
      </w:r>
      <w:r>
        <w:fldChar w:fldCharType="begin"/>
      </w:r>
      <w:r>
        <w:rPr>
          <w:sz w:val="24"/>
        </w:rPr>
        <w:instrText xml:space="preserve"> TC "Section  7.2   Optional Prepayments " \l 1 </w:instrText>
      </w:r>
      <w:r>
        <w:rPr>
          <w:sz w:val="24"/>
        </w:rPr>
        <w:fldChar w:fldCharType="separate"/>
      </w:r>
      <w:r>
        <w:rPr>
          <w:sz w:val="24"/>
        </w:rPr>
      </w:r>
      <w:r>
        <w:rPr>
          <w:sz w:val="24"/>
        </w:rPr>
        <w:fldChar w:fldCharType="end"/>
      </w:r>
      <w:r>
        <w:rPr>
          <w:sz w:val="24"/>
        </w:rPr>
        <w:t xml:space="preserve">.    The Trust may, upon giving at least five Business Days’ Notice to the Agent stating the proposed date and aggregate principal amount of the prepayment and the types of Advances comprising the Tranches to be prepaid, and if such notice is given the Trust shall, prepay the outstanding principal amounts of the Advances comprising any or all of the Tranches, together with accrued interest to the date of such prepayment on the principal amount prepaid without premium or penalty; </w:t>
      </w:r>
      <w:r>
        <w:rPr>
          <w:sz w:val="24"/>
          <w:u w:val="single"/>
        </w:rPr>
        <w:t>provided</w:t>
      </w:r>
      <w:r>
        <w:rPr>
          <w:sz w:val="24"/>
        </w:rPr>
        <w:t xml:space="preserve">, </w:t>
      </w:r>
      <w:r>
        <w:rPr>
          <w:sz w:val="24"/>
          <w:u w:val="single"/>
        </w:rPr>
        <w:t>however</w:t>
      </w:r>
      <w:r>
        <w:rPr>
          <w:sz w:val="24"/>
        </w:rPr>
        <w:t xml:space="preserve">, that each partial prepayment shall be in an aggregate principal amount not less than $5,000,000, and </w:t>
      </w:r>
      <w:r>
        <w:rPr>
          <w:sz w:val="24"/>
          <w:u w:val="single"/>
        </w:rPr>
        <w:t>provided</w:t>
      </w:r>
      <w:r>
        <w:rPr>
          <w:sz w:val="24"/>
        </w:rPr>
        <w:t xml:space="preserve"> </w:t>
      </w:r>
      <w:r>
        <w:rPr>
          <w:sz w:val="24"/>
          <w:u w:val="single"/>
        </w:rPr>
        <w:t>further</w:t>
      </w:r>
      <w:r>
        <w:rPr>
          <w:sz w:val="24"/>
        </w:rPr>
        <w:t>, that if the Trust prepays any LIBOR Advance on any day other than the last day of an Interest Period therefor, the Trust shall compensate the Lenders pursuant to Section 25.1.</w:t>
      </w:r>
    </w:p>
    <w:p>
      <w:pPr>
        <w:pStyle w:val="Normal"/>
        <w:keepNext w:val="true"/>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7.3   General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No prepayment may be made except at the times and in the manner expressly provided by this Agreement.</w:t>
      </w:r>
    </w:p>
    <w:p>
      <w:pPr>
        <w:pStyle w:val="Normal"/>
        <w:bidi w:val="0"/>
        <w:spacing w:before="0" w:after="240"/>
        <w:jc w:val="both"/>
        <w:rPr>
          <w:sz w:val="24"/>
        </w:rPr>
      </w:pPr>
      <w:r>
        <w:rPr>
          <w:sz w:val="24"/>
        </w:rPr>
        <w:tab/>
        <w:t>(b)</w:t>
        <w:tab/>
        <w:t>All prepayments shall be made together with interest accrued thereon up to the date of prepayment and any other amounts then due and payable under any Finance Document.</w:t>
      </w:r>
    </w:p>
    <w:p>
      <w:pPr>
        <w:pStyle w:val="Normal"/>
        <w:keepNext w:val="true"/>
        <w:bidi w:val="0"/>
        <w:spacing w:before="0" w:after="240"/>
        <w:jc w:val="both"/>
        <w:rPr>
          <w:sz w:val="24"/>
        </w:rPr>
      </w:pPr>
      <w:r>
        <w:rPr>
          <w:sz w:val="24"/>
        </w:rPr>
        <w:tab/>
        <w:t>(c)</w:t>
        <w:tab/>
        <w:t>The Agent shall notify each Lender promptly upon the issuance by it of a notice of prepayment pursuant to Section 7.1(a).</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VIIIINTEREST; INCREASED COSTS; TAXES"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8.1   Interest Rates " \l 1 </w:instrText>
      </w:r>
      <w:r>
        <w:rPr>
          <w:sz w:val="24"/>
        </w:rPr>
        <w:fldChar w:fldCharType="separate"/>
      </w:r>
      <w:r>
        <w:rPr>
          <w:sz w:val="24"/>
        </w:rPr>
      </w:r>
      <w:r>
        <w:rPr>
          <w:sz w:val="24"/>
        </w:rPr>
        <w:fldChar w:fldCharType="end"/>
      </w:r>
      <w:r>
        <w:rPr>
          <w:sz w:val="24"/>
        </w:rPr>
        <w:t>.</w:t>
      </w:r>
    </w:p>
    <w:p>
      <w:pPr>
        <w:pStyle w:val="Normal"/>
        <w:keepNext w:val="true"/>
        <w:keepLines/>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4"/>
        </w:rPr>
      </w:pPr>
      <w:r>
        <w:rPr>
          <w:sz w:val="24"/>
        </w:rPr>
      </w:r>
    </w:p>
    <w:p>
      <w:pPr>
        <w:pStyle w:val="Normal"/>
        <w:keepLines/>
        <w:bidi w:val="0"/>
        <w:jc w:val="both"/>
        <w:rPr>
          <w:sz w:val="24"/>
        </w:rPr>
      </w:pPr>
      <w:r>
        <w:rPr>
          <w:sz w:val="24"/>
        </w:rPr>
        <w:tab/>
        <w:t>(a)</w:t>
        <w:tab/>
        <w:t xml:space="preserve">The Trust shall pay interest on the unpaid principal amount of each Advance owed to each Lender from the date of such Advance until such principal amount shall be paid in full in accordance with the terms of this Agreement:    (i) during such periods as such Advance is an Alternate Base Rate Advance, at a rate equal at all times to the Alternate Base Rate in effect from time to time, payable quarterly on the last day of each calendar quarter during such periods and on any date on which such Alternate Base Rate Advance shall be converted into a LIBOR Advance or paid in full, and (ii) during such periods as such Advance is a LIBOR Advance, at a rate per annum equal at all times during each Interest Period for such Advance to the sum of LIBOR for such Interest Period for such Advance </w:t>
      </w:r>
      <w:r>
        <w:rPr>
          <w:sz w:val="24"/>
          <w:u w:val="single"/>
        </w:rPr>
        <w:t>plus</w:t>
      </w:r>
      <w:r>
        <w:rPr>
          <w:sz w:val="24"/>
        </w:rPr>
        <w:t xml:space="preserve"> the Applicable Margin per annum, payable on the last day of such Interest Period and, if such Interest Period has a duration of more than three months, on the day which occurs during such Interest Period three months from the first day of such Interest Period. </w:t>
      </w:r>
    </w:p>
    <w:p>
      <w:pPr>
        <w:pStyle w:val="Normal"/>
        <w:bidi w:val="0"/>
        <w:jc w:val="both"/>
        <w:rPr>
          <w:sz w:val="24"/>
        </w:rPr>
      </w:pPr>
      <w:r>
        <w:rPr>
          <w:sz w:val="24"/>
        </w:rPr>
      </w:r>
    </w:p>
    <w:p>
      <w:pPr>
        <w:pStyle w:val="Normal"/>
        <w:bidi w:val="0"/>
        <w:jc w:val="both"/>
        <w:rPr>
          <w:sz w:val="24"/>
        </w:rPr>
      </w:pPr>
      <w:r>
        <w:rPr>
          <w:sz w:val="24"/>
        </w:rPr>
        <w:tab/>
        <w:t>(b)</w:t>
        <w:tab/>
        <w:t>Interest (i) computed on the basis of LIBOR will be calculated on the basis of actual days elapsed and a 360</w:t>
        <w:noBreakHyphen/>
        <w:t>day year and will accrue from day to day from, and including, the first day of each Interest Period to, but excluding, the last day of each Interest Period, and (ii) computed on the basis of the Alternate Base Rate will be calculated on the basis of actual days elapsed and a 365</w:t>
        <w:noBreakHyphen/>
        <w:t>or 366</w:t>
        <w:noBreakHyphen/>
        <w:t>day year, as the case may be, and will accrue from day to day from, and including, the first day occurring in the period for which such interest is payable to, but excluding, the last day of such period.</w:t>
      </w:r>
    </w:p>
    <w:p>
      <w:pPr>
        <w:pStyle w:val="Normal"/>
        <w:bidi w:val="0"/>
        <w:jc w:val="both"/>
        <w:rPr>
          <w:sz w:val="24"/>
        </w:rPr>
      </w:pPr>
      <w:r>
        <w:rPr>
          <w:sz w:val="24"/>
        </w:rPr>
      </w:r>
    </w:p>
    <w:p>
      <w:pPr>
        <w:pStyle w:val="Normal"/>
        <w:bidi w:val="0"/>
        <w:jc w:val="both"/>
        <w:rPr>
          <w:sz w:val="24"/>
        </w:rPr>
      </w:pPr>
      <w:r>
        <w:rPr>
          <w:sz w:val="24"/>
        </w:rPr>
        <w:tab/>
        <w:t>(c)</w:t>
        <w:tab/>
        <w:t xml:space="preserve">If LIBOR is determined on the basis of rates at which deposits in Dollars are offered by the Reference Banks in accordance with paragraph (b) of the definition of LIBOR set forth in Section 1.1, the Agent will request the principal London office of each of the Reference Banks to provide a quotation of its rate.    If at least two such quotations are provided, the rate for a given Interest Period will be the arithmetic mean of the quotations.    If fewer than two quotations are provided, LIBOR for a given Interest Period for the applicable Rate Fixing Day will be the arithmetic mean of LIBOR quoted at approximately 11:00 A.M., New York City time, on such Rate Fixing Day by three major banks in New York City selected by the Agent for LIBOR for such Interest Period, commencing on the second Business Day immediately following such Rate Fixing Day, </w:t>
      </w:r>
      <w:r>
        <w:rPr>
          <w:sz w:val="24"/>
          <w:u w:val="single"/>
        </w:rPr>
        <w:t>provided</w:t>
      </w:r>
      <w:r>
        <w:rPr>
          <w:sz w:val="24"/>
        </w:rPr>
        <w:t xml:space="preserve">, </w:t>
      </w:r>
      <w:r>
        <w:rPr>
          <w:sz w:val="24"/>
          <w:u w:val="single"/>
        </w:rPr>
        <w:t>however</w:t>
      </w:r>
      <w:r>
        <w:rPr>
          <w:sz w:val="24"/>
        </w:rPr>
        <w:t>, that if the banks selected as aforesaid by the Agent are not quoting as mentioned in this sentence, LIBOR for such Interest Period will be LIBOR for such Interest Period in effect on such Rate Fixing Day.</w:t>
      </w:r>
    </w:p>
    <w:p>
      <w:pPr>
        <w:pStyle w:val="Normal"/>
        <w:keepNext w:val="true"/>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8.2   Duration of Interest Periods; Conversion and Continuation of Advances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 xml:space="preserve">The duration of each Interest Period will be a period of </w:t>
      </w:r>
      <w:ins w:id="671" w:author="">
        <w:r>
          <w:rPr>
            <w:b/>
            <w:sz w:val="24"/>
            <w:u w:val="double"/>
          </w:rPr>
          <w:t>two weeks or</w:t>
        </w:r>
      </w:ins>
      <w:r>
        <w:rPr>
          <w:sz w:val="24"/>
        </w:rPr>
        <w:t xml:space="preserve"> one, two, three, six or, if available from all Lenders, nine months </w:t>
      </w:r>
      <w:ins w:id="672" w:author="">
        <w:r>
          <w:rPr>
            <w:strike/>
            <w:sz w:val="24"/>
          </w:rPr>
          <w:t>provided that (i) any Interest Period terminating on or before the Second Closing Date may be for a period of 14 days; and (ii) all Interest Periods for outstanding Advances will automatically be terminated (without relieving the Trust from paying applicable breakage costs) on the Second Drawdown Date</w:t>
        </w:r>
      </w:ins>
      <w:r>
        <w:rPr>
          <w:sz w:val="24"/>
        </w:rPr>
        <w:t>.    Interest Periods shall be selected by the Trust acting on the instruction of Enron pursuant to the Reimbursement and Disclosure Agreement and communicated to the Agent in writing not less than three Business Days prior to the commencement of such Interest Period.    The first Interest Period in relation to each Advance will commence on the applicable Drawdown Date and each subsequent Interest Period will commence on the expiration of the preceding Interest Period relating thereto.    No Interest Period for a Tranche shall end after the applicable Repayment Date.</w:t>
      </w:r>
    </w:p>
    <w:p>
      <w:pPr>
        <w:pStyle w:val="Normal"/>
        <w:bidi w:val="0"/>
        <w:spacing w:before="0" w:after="240"/>
        <w:jc w:val="both"/>
        <w:rPr>
          <w:sz w:val="24"/>
        </w:rPr>
      </w:pPr>
      <w:r>
        <w:rPr>
          <w:sz w:val="24"/>
        </w:rPr>
        <w:tab/>
        <w:t>(b)</w:t>
        <w:tab/>
        <w:t xml:space="preserve">The Trust, acting on the instruction of Enron pursuant to the Reimbursement and Disclosure Agreement, may on any Business Day, upon notice given to the Agent not later than 11:00 A.M. (y) in the case of a proposed conversion into (or a continuation of) LIBOR Advances, on the third Business Day prior to the date of the proposed conversion (or continuation), and (z) in the case of a proposed conversion into Alternate Base Rate Advances, on the date of the proposed conversion, convert or continue all Advances of one type into Advances of another type; </w:t>
      </w:r>
      <w:r>
        <w:rPr>
          <w:sz w:val="24"/>
          <w:u w:val="single"/>
        </w:rPr>
        <w:t>provided</w:t>
      </w:r>
      <w:r>
        <w:rPr>
          <w:sz w:val="24"/>
        </w:rPr>
        <w:t xml:space="preserve">, </w:t>
      </w:r>
      <w:r>
        <w:rPr>
          <w:sz w:val="24"/>
          <w:u w:val="single"/>
        </w:rPr>
        <w:t>however</w:t>
      </w:r>
      <w:r>
        <w:rPr>
          <w:sz w:val="24"/>
        </w:rPr>
        <w:t xml:space="preserve">, that any conversion (or continuation) of any LIBOR Advances shall be made on, and only on, the last day of an Interest Period for such LIBOR Advances </w:t>
      </w:r>
      <w:r>
        <w:rPr>
          <w:sz w:val="24"/>
          <w:u w:val="single"/>
        </w:rPr>
        <w:t>and provided further</w:t>
      </w:r>
      <w:r>
        <w:rPr>
          <w:sz w:val="24"/>
        </w:rPr>
        <w:t xml:space="preserve"> that no Alternate Base Rate Advance may be converted into a LIBOR Advance and no LIBOR Advance shall be continued as a LIBOR Advance at any time an Event of Default shall have occurred and be continuing.    Each such notice of a conversion (or continuation) shall, within the restrictions specified above, specify (i) the date of such conversion (or continuation), (ii) the Advances to be converted (or continued) and the type of Advances into which they are to be converted and (iii) if such conversion is into (or a continuation of) LIBOR Advances, the duration of the Interest Period for each such Advance.</w:t>
      </w:r>
    </w:p>
    <w:p>
      <w:pPr>
        <w:pStyle w:val="Normal"/>
        <w:bidi w:val="0"/>
        <w:spacing w:before="0" w:after="240"/>
        <w:jc w:val="both"/>
        <w:rPr>
          <w:sz w:val="24"/>
        </w:rPr>
      </w:pPr>
      <w:r>
        <w:rPr>
          <w:sz w:val="24"/>
        </w:rPr>
        <w:tab/>
        <w:t>(c)</w:t>
        <w:tab/>
        <w:t>If any Interest Period would, but for this Section 8.2(c), end on a day which is not a Business Day, such Interest Period shall be extended to the next succeeding Business Day unless the result of such extension would be to carry such Interest Period into another calendar month, in which event such Interest Period shall end on the first preceding day that is a Business Day.</w:t>
      </w:r>
    </w:p>
    <w:p>
      <w:pPr>
        <w:pStyle w:val="Normal"/>
        <w:bidi w:val="0"/>
        <w:spacing w:before="0" w:after="240"/>
        <w:jc w:val="both"/>
        <w:rPr>
          <w:sz w:val="24"/>
        </w:rPr>
      </w:pPr>
      <w:r>
        <w:rPr>
          <w:sz w:val="24"/>
        </w:rPr>
        <w:tab/>
        <w:t>(d)</w:t>
        <w:tab/>
        <w:t>The Agent will notify each Lender and the Trust of the rate of interest applicable to each such Interest Period as soon as it is determined under this Agreement.</w:t>
      </w:r>
    </w:p>
    <w:p>
      <w:pPr>
        <w:pStyle w:val="Normal"/>
        <w:keepNext w:val="true"/>
        <w:bidi w:val="0"/>
        <w:spacing w:before="0" w:after="240"/>
        <w:jc w:val="both"/>
        <w:rPr>
          <w:sz w:val="24"/>
        </w:rPr>
      </w:pPr>
      <w:r>
        <w:rPr>
          <w:sz w:val="24"/>
        </w:rPr>
        <w:tab/>
        <w:t>(e)</w:t>
        <w:tab/>
        <w:t xml:space="preserve">Each Lender may, if it so elects, fulfill its obligation to make, continue or convert LIBOR Advances hereunder by causing one of its foreign branches or Affiliates (or an international banking facility created by such Lender) to make or maintain such LIBOR Advance; </w:t>
      </w:r>
      <w:r>
        <w:rPr>
          <w:sz w:val="24"/>
          <w:u w:val="single"/>
        </w:rPr>
        <w:t>provided</w:t>
      </w:r>
      <w:r>
        <w:rPr>
          <w:sz w:val="24"/>
        </w:rPr>
        <w:t xml:space="preserve">, </w:t>
      </w:r>
      <w:r>
        <w:rPr>
          <w:sz w:val="24"/>
          <w:u w:val="single"/>
        </w:rPr>
        <w:t>however</w:t>
      </w:r>
      <w:r>
        <w:rPr>
          <w:sz w:val="24"/>
        </w:rPr>
        <w:t xml:space="preserve">, that such LIBOR Advance shall nonetheless be deemed to have been made and to be held by such Lender, and the obligation of the Trust to repay such LIBOR Advance shall nevertheless be to such Lender for the account of such foreign branch, Affiliate or international banking facility.    In addition, the Trust hereby consents and agrees that, for purposes of any determination to be made for purposes of </w:t>
      </w:r>
      <w:r>
        <w:rPr>
          <w:sz w:val="24"/>
          <w:u w:val="single"/>
        </w:rPr>
        <w:t>Sections 8.4, 8.6, 8.7</w:t>
      </w:r>
      <w:r>
        <w:rPr>
          <w:sz w:val="24"/>
        </w:rPr>
        <w:t xml:space="preserve"> or </w:t>
      </w:r>
      <w:r>
        <w:rPr>
          <w:sz w:val="24"/>
          <w:u w:val="single"/>
        </w:rPr>
        <w:t>25.1</w:t>
      </w:r>
      <w:r>
        <w:rPr>
          <w:sz w:val="24"/>
        </w:rPr>
        <w:t xml:space="preserve"> or any other provision hereof requiring the Trust to make payments to the Agent or the Lenders it shall be conclusively assumed that each Lender elected to fund all LIBOR Advances by purchasing Dollar deposits in the interbank eurodollar market of its Funding Office, unless the amount to be paid by the Trust to the Agent or Lender under the applicable provision would be less if the determination were made with respect to the branch or Affiliate actually used to make, continue or convert such LIBOR Advance, in which case such lesser amount shall apply.</w:t>
      </w:r>
    </w:p>
    <w:p>
      <w:pPr>
        <w:pStyle w:val="Normal"/>
        <w:keepNext w:val="true"/>
        <w:keepLines/>
        <w:bidi w:val="0"/>
        <w:jc w:val="both"/>
        <w:rPr>
          <w:sz w:val="24"/>
        </w:rPr>
      </w:pPr>
      <w:r>
        <w:rPr>
          <w:sz w:val="24"/>
        </w:rPr>
        <w:tab/>
      </w:r>
      <w:r>
        <w:fldChar w:fldCharType="begin"/>
      </w:r>
      <w:r>
        <w:rPr>
          <w:sz w:val="24"/>
        </w:rPr>
        <w:instrText xml:space="preserve"> TC "Section  8.3   Interest on Unpaid Sums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 xml:space="preserve">If the Trust fails to pay any sum due from it under this Agreement or any other Finance Document on its due date (an </w:t>
      </w:r>
      <w:r>
        <w:rPr>
          <w:b/>
          <w:sz w:val="24"/>
        </w:rPr>
        <w:t>“</w:t>
      </w:r>
      <w:r>
        <w:rPr>
          <w:b/>
          <w:sz w:val="24"/>
          <w:u w:val="single"/>
        </w:rPr>
        <w:t>unpaid sum</w:t>
      </w:r>
      <w:r>
        <w:rPr>
          <w:b/>
          <w:sz w:val="24"/>
        </w:rPr>
        <w:t>”</w:t>
      </w:r>
      <w:r>
        <w:rPr>
          <w:sz w:val="24"/>
        </w:rPr>
        <w:t>), the Trust will pay default interest on such unpaid sum from its due date to (but excluding) the date of actual payment (after as well as before judgment) at a rate (the</w:t>
      </w:r>
      <w:r>
        <w:rPr>
          <w:b/>
          <w:sz w:val="24"/>
        </w:rPr>
        <w:t xml:space="preserve"> “</w:t>
      </w:r>
      <w:r>
        <w:rPr>
          <w:b/>
          <w:sz w:val="24"/>
          <w:u w:val="single"/>
        </w:rPr>
        <w:t>Default Rate</w:t>
      </w:r>
      <w:r>
        <w:rPr>
          <w:b/>
          <w:sz w:val="24"/>
        </w:rPr>
        <w:t>”</w:t>
      </w:r>
      <w:r>
        <w:rPr>
          <w:sz w:val="24"/>
        </w:rPr>
        <w:t xml:space="preserve">) determined by the Agent to be 2 percent per annum above (i) in the case of any amount of principal the interest on which at the time of such failure to pay bears interest at the Alternate Base Rate, the Alternate Base Rate as in effect from time to time, and (ii) in the case of any amount of principal the interest on which at the time of such failure to pay bears interest at LIBOR, the greater of (y) LIBOR plus the Applicable Margin as in effect on the date immediately prior to the date of such failure to pay, and (z) the Alternate Base Rate as in effect from time to time. </w:t>
      </w:r>
    </w:p>
    <w:p>
      <w:pPr>
        <w:pStyle w:val="Normal"/>
        <w:bidi w:val="0"/>
        <w:spacing w:before="0" w:after="240"/>
        <w:jc w:val="both"/>
        <w:rPr>
          <w:sz w:val="24"/>
        </w:rPr>
      </w:pPr>
      <w:r>
        <w:rPr>
          <w:sz w:val="24"/>
        </w:rPr>
        <w:tab/>
        <w:t>(b)</w:t>
        <w:tab/>
        <w:t>Default interest will be payable by the Trust on demand by the Agent and, to the extent permitted by law, will be compounded.</w:t>
      </w:r>
    </w:p>
    <w:p>
      <w:pPr>
        <w:pStyle w:val="Normal"/>
        <w:keepNext w:val="true"/>
        <w:bidi w:val="0"/>
        <w:spacing w:before="0" w:after="240"/>
        <w:jc w:val="both"/>
        <w:rPr>
          <w:sz w:val="24"/>
        </w:rPr>
      </w:pPr>
      <w:r>
        <w:rPr>
          <w:sz w:val="24"/>
        </w:rPr>
        <w:tab/>
        <w:t>(c)</w:t>
        <w:tab/>
        <w:t>The Agent will promptly notify the Trust and each Lender of each determination of the Default Rate.</w:t>
      </w:r>
    </w:p>
    <w:p>
      <w:pPr>
        <w:pStyle w:val="Normal"/>
        <w:keepLines/>
        <w:bidi w:val="0"/>
        <w:jc w:val="both"/>
        <w:rPr>
          <w:sz w:val="24"/>
        </w:rPr>
      </w:pPr>
      <w:r>
        <w:rPr>
          <w:sz w:val="24"/>
        </w:rPr>
        <w:tab/>
      </w:r>
      <w:r>
        <w:fldChar w:fldCharType="begin"/>
      </w:r>
      <w:r>
        <w:rPr>
          <w:sz w:val="24"/>
        </w:rPr>
        <w:instrText xml:space="preserve"> TC "Section  8.4   Additional Interest on LIBOR Advances " \l 1 </w:instrText>
      </w:r>
      <w:r>
        <w:rPr>
          <w:sz w:val="24"/>
        </w:rPr>
        <w:fldChar w:fldCharType="separate"/>
      </w:r>
      <w:r>
        <w:rPr>
          <w:sz w:val="24"/>
        </w:rPr>
      </w:r>
      <w:r>
        <w:rPr>
          <w:sz w:val="24"/>
        </w:rPr>
        <w:fldChar w:fldCharType="end"/>
      </w:r>
      <w:r>
        <w:rPr>
          <w:sz w:val="24"/>
        </w:rPr>
        <w:t>.    If any Lender is required under regulations of the Federal Reserve Board to maintain reserves with respect to liabilities or assets consisting of or including Eurocurrency Liabilities, and if as a result thereof there is an increase in the cost to such Lender of agreeing to make or making, funding or maintaining LIBOR Advances, then the Trust shall from time to time, upon demand by such Lender (with a copy of such demand to the Agent), pay to the Agent for the account of such Lender additional amounts, as additional interest hereunder, sufficient to compensate such Lender for such increased cost.    A certificate in reasonable detail as to the basis for and the amount of such increased cost, submitted to the Trust and the Agent by such Lender, shall be conclusive and binding for all purposes, absent manifest error.</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8.5   Interest Rate Determination and Protection " \l 1 </w:instrText>
      </w:r>
      <w:r>
        <w:rPr>
          <w:sz w:val="24"/>
        </w:rPr>
        <w:fldChar w:fldCharType="separate"/>
      </w:r>
      <w:r>
        <w:rPr>
          <w:sz w:val="24"/>
        </w:rPr>
      </w:r>
      <w:r>
        <w:rPr>
          <w:sz w:val="24"/>
        </w:rPr>
        <w:fldChar w:fldCharType="end"/>
      </w:r>
      <w:r>
        <w:rPr>
          <w:sz w:val="24"/>
        </w:rPr>
        <w:t>.    (a) If no basis is available for purposes of determining LIBOR for any LIBOR Advances,</w:t>
      </w:r>
    </w:p>
    <w:p>
      <w:pPr>
        <w:pStyle w:val="Normal"/>
        <w:keepNext w:val="true"/>
        <w:bidi w:val="0"/>
        <w:jc w:val="both"/>
        <w:rPr>
          <w:sz w:val="24"/>
        </w:rPr>
      </w:pPr>
      <w:r>
        <w:rPr>
          <w:sz w:val="24"/>
        </w:rPr>
      </w:r>
    </w:p>
    <w:p>
      <w:pPr>
        <w:pStyle w:val="Normal"/>
        <w:keepLines/>
        <w:bidi w:val="0"/>
        <w:spacing w:before="0" w:after="240"/>
        <w:ind w:hanging="0" w:start="720"/>
        <w:jc w:val="both"/>
        <w:rPr>
          <w:sz w:val="24"/>
        </w:rPr>
      </w:pPr>
      <w:r>
        <w:rPr>
          <w:sz w:val="24"/>
        </w:rPr>
        <w:tab/>
        <w:t>(i)</w:t>
        <w:tab/>
        <w:t>the Agent shall forthwith notify the Trust and the Lenders that the interest rate cannot be determined for such LIBOR Advances,</w:t>
      </w:r>
    </w:p>
    <w:p>
      <w:pPr>
        <w:pStyle w:val="Normal"/>
        <w:bidi w:val="0"/>
        <w:spacing w:before="0" w:after="240"/>
        <w:ind w:hanging="0" w:start="720"/>
        <w:jc w:val="both"/>
        <w:rPr>
          <w:sz w:val="24"/>
        </w:rPr>
      </w:pPr>
      <w:r>
        <w:rPr>
          <w:sz w:val="24"/>
        </w:rPr>
        <w:tab/>
        <w:t>(ii)</w:t>
        <w:tab/>
        <w:t>each LIBOR Advance will automatically, on the last day of the then existing Interest Period therefor, convert into an Alternate Base Rate Advance (or if such Advance is then an Alternate Base Rate Advance, will continue as an Alternate Base Rate Advance), and</w:t>
      </w:r>
    </w:p>
    <w:p>
      <w:pPr>
        <w:pStyle w:val="Normal"/>
        <w:bidi w:val="0"/>
        <w:spacing w:before="0" w:after="240"/>
        <w:ind w:hanging="0" w:start="720"/>
        <w:jc w:val="both"/>
        <w:rPr>
          <w:sz w:val="24"/>
        </w:rPr>
      </w:pPr>
      <w:r>
        <w:rPr>
          <w:sz w:val="24"/>
        </w:rPr>
        <w:tab/>
        <w:t>(iii)</w:t>
        <w:tab/>
        <w:t>the obligation of the Lenders to convert Advances into LIBOR Advances shall be suspended until the Agent shall notify the Trust and the Lenders that the circumstances causing such suspension no longer exist.</w:t>
      </w:r>
    </w:p>
    <w:p>
      <w:pPr>
        <w:pStyle w:val="Normal"/>
        <w:bidi w:val="0"/>
        <w:jc w:val="both"/>
        <w:rPr>
          <w:sz w:val="24"/>
        </w:rPr>
      </w:pPr>
      <w:r>
        <w:rPr>
          <w:sz w:val="24"/>
        </w:rPr>
        <w:tab/>
        <w:t>(b)</w:t>
        <w:tab/>
        <w:t>If, with respect to any LIBOR Advances, the Majority Lenders notify the Agent that the applicable interest rate for any Interest Period for such Advances will not adequately reflect the cost to such Majority Lenders of making, funding or maintaining their respective LIBOR Advances for such Interest Period, the Agent shall forthwith so notify the Trust and the Lenders, whereupon</w:t>
      </w:r>
    </w:p>
    <w:p>
      <w:pPr>
        <w:pStyle w:val="Normal"/>
        <w:bidi w:val="0"/>
        <w:jc w:val="both"/>
        <w:rPr>
          <w:sz w:val="24"/>
        </w:rPr>
      </w:pPr>
      <w:r>
        <w:rPr>
          <w:sz w:val="24"/>
        </w:rPr>
      </w:r>
    </w:p>
    <w:p>
      <w:pPr>
        <w:pStyle w:val="Normal"/>
        <w:bidi w:val="0"/>
        <w:ind w:hanging="0" w:start="720"/>
        <w:jc w:val="both"/>
        <w:rPr>
          <w:sz w:val="24"/>
        </w:rPr>
      </w:pPr>
      <w:r>
        <w:rPr>
          <w:sz w:val="24"/>
        </w:rPr>
        <w:tab/>
        <w:t>(i)</w:t>
        <w:tab/>
        <w:t>each such Advance will automatically, on the last day of the then existing Interest Period therefor, convert into an Alternate Base Rate Advance (or, if such Advance is then an Alternate Base Rate Advance, will continue as an Alternate Base Rate Advance), and</w:t>
      </w:r>
    </w:p>
    <w:p>
      <w:pPr>
        <w:pStyle w:val="Normal"/>
        <w:bidi w:val="0"/>
        <w:jc w:val="both"/>
        <w:rPr>
          <w:sz w:val="24"/>
        </w:rPr>
      </w:pPr>
      <w:r>
        <w:rPr>
          <w:sz w:val="24"/>
        </w:rPr>
      </w:r>
    </w:p>
    <w:p>
      <w:pPr>
        <w:pStyle w:val="Normal"/>
        <w:bidi w:val="0"/>
        <w:ind w:hanging="0" w:start="720"/>
        <w:jc w:val="both"/>
        <w:rPr>
          <w:sz w:val="24"/>
        </w:rPr>
      </w:pPr>
      <w:r>
        <w:rPr>
          <w:sz w:val="24"/>
        </w:rPr>
        <w:tab/>
        <w:t>(ii)</w:t>
        <w:tab/>
        <w:t>the obligation of the Lenders to convert Advances into LIBOR Advances shall be suspended until the Agent shall notify the Trust and the Lenders that the circumstances causing such suspension no longer exist.</w:t>
      </w:r>
    </w:p>
    <w:p>
      <w:pPr>
        <w:pStyle w:val="Normal"/>
        <w:bidi w:val="0"/>
        <w:jc w:val="both"/>
        <w:rPr>
          <w:sz w:val="24"/>
        </w:rPr>
      </w:pPr>
      <w:r>
        <w:rPr>
          <w:sz w:val="24"/>
        </w:rPr>
      </w:r>
    </w:p>
    <w:p>
      <w:pPr>
        <w:pStyle w:val="Normal"/>
        <w:bidi w:val="0"/>
        <w:jc w:val="both"/>
        <w:rPr>
          <w:sz w:val="24"/>
        </w:rPr>
      </w:pPr>
      <w:r>
        <w:rPr>
          <w:sz w:val="24"/>
        </w:rPr>
        <w:tab/>
        <w:t>(c)</w:t>
        <w:tab/>
        <w:t>If the Trust shall fail to select the duration of any Interest Period for any LIBOR Advances in accordance with Section 8.2(a), the Agent will forthwith so notify the Trust and the Lenders and such Advances will automatically, on the last day of the then existing Interest Period therefor, convert into Alternate Base Rate Advances.</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8.6   Increased Costs; Capital Adequacy, Etc. " \l 1 </w:instrText>
      </w:r>
      <w:r>
        <w:rPr>
          <w:sz w:val="24"/>
        </w:rPr>
        <w:fldChar w:fldCharType="separate"/>
      </w:r>
      <w:r>
        <w:rPr>
          <w:sz w:val="24"/>
        </w:rPr>
      </w:r>
      <w:r>
        <w:rPr>
          <w:sz w:val="24"/>
        </w:rPr>
        <w:fldChar w:fldCharType="end"/>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If, due to either (i) the introduction of or any change in or in the interpretation of any law or regulation by any governmental authority, central bank or comparable agency charged with the interpretation or administration thereof or (ii) the compliance with any guideline or request from any governmental authority, central bank or comparable agency (whether or not having the force of law), there shall be any increase in the cost to any Lender of maintaining LIBOR Advances, then the Trust shall from time to time, upon demand by such Lender (with a copy of such demand to the Agent), pay to the Agent for the account of such Lender additional amounts sufficient to compensate such Lender for such increased cost.    A certificate in reasonable detail as to the basis for and the amount of such increased cost, submitted to the Trust and the Agent by such Lender, shall be conclusive and binding for all purposes, absent manifest error.    Promptly after any Lender becomes aware of any such introduction, change or proposed compliance, such Lender shall notify the Trust thereof.    No Lender shall be permitted to recover increased costs incurred or accrued more than 90 days prior to such notice to the Trust.</w:t>
      </w:r>
    </w:p>
    <w:p>
      <w:pPr>
        <w:pStyle w:val="Normal"/>
        <w:bidi w:val="0"/>
        <w:spacing w:before="0" w:after="240"/>
        <w:jc w:val="both"/>
        <w:rPr>
          <w:sz w:val="24"/>
        </w:rPr>
      </w:pPr>
      <w:r>
        <w:rPr>
          <w:sz w:val="24"/>
        </w:rPr>
        <w:tab/>
        <w:t>(b)</w:t>
        <w:tab/>
        <w:t>If the Trust so notifies the Agent within five Business Days after any Lender notifies the Trust of any increased cost pursuant to the provisions of Section 8.6(a), the Trust shall convert all Advances of the type affected by such increased cost of all Lenders then outstanding into Advances of another type in accordance with Section 8.2(b) and, additionally, reimburse such Lender for such increased cost in accordance with Section 8.6(a).</w:t>
      </w:r>
    </w:p>
    <w:p>
      <w:pPr>
        <w:pStyle w:val="Normal"/>
        <w:bidi w:val="0"/>
        <w:jc w:val="both"/>
        <w:rPr>
          <w:sz w:val="24"/>
        </w:rPr>
      </w:pPr>
      <w:r>
        <w:rPr>
          <w:sz w:val="24"/>
        </w:rPr>
        <w:tab/>
        <w:t>(c)</w:t>
        <w:tab/>
        <w:t>If any Lender shall have determined that, after the date hereof, the adoption of any applicable law, rule or regulation regarding capital adequacy, or any change therein, or may change in the interpretation or administration thereof by any governmental authority, central bank or comparable agency charged with the interpretation or administration thereof, or compliance by any Lender (or its lending office) with any request or directive regarding capital adequacy (whether or not having the form of law) of any such authority, central bank or comparable agency (except to the extent such request or directive arises as a result of the individual creditworthiness of such Lender), has the effect of increasing the amount of capital required or expected to be maintained as a result of its Advances hereunder, such Lender shall have the right to give prompt written notice thereof to the Trust with a copy to the Agent, which notice shall show in reasonable detail the calculation of such additional amounts as shall be required to compensate such Lender for the increased cost of such Lender as a result of such increase in capital and shall certify that such costs are generally being charged by such Lender to other similarly situated borrowers under similar credit facilities, which notice shall be conclusive and binding for all purposes, absent manifest error although the failure to give any such notice shall not, unless such notice fails to set forth the information required above, release or diminish any of the Trust’s obligations to pay additional amounts hereunder.</w:t>
      </w:r>
    </w:p>
    <w:p>
      <w:pPr>
        <w:pStyle w:val="Normal"/>
        <w:bidi w:val="0"/>
        <w:jc w:val="both"/>
        <w:rPr>
          <w:sz w:val="24"/>
        </w:rPr>
      </w:pPr>
      <w:r>
        <w:rPr>
          <w:sz w:val="24"/>
        </w:rPr>
      </w:r>
    </w:p>
    <w:p>
      <w:pPr>
        <w:pStyle w:val="Normal"/>
        <w:bidi w:val="0"/>
        <w:jc w:val="both"/>
        <w:rPr>
          <w:sz w:val="24"/>
        </w:rPr>
      </w:pPr>
      <w:r>
        <w:rPr>
          <w:sz w:val="24"/>
        </w:rPr>
        <w:tab/>
        <w:t>(d)</w:t>
        <w:tab/>
        <w:t xml:space="preserve">Each Lender shall use its best efforts (consistent with its internal policies and legal and regulatory restrictions) to select a jurisdiction for its Funding Office or change the jurisdiction of its Funding Office, as the case may be, so as to avoid the imposition of any increased costs under this Section 8.6 or to eliminate the amount of any such increased cost which may thereafter accrue; </w:t>
      </w:r>
      <w:r>
        <w:rPr>
          <w:sz w:val="24"/>
          <w:u w:val="single"/>
        </w:rPr>
        <w:t>provided</w:t>
      </w:r>
      <w:r>
        <w:rPr>
          <w:sz w:val="24"/>
        </w:rPr>
        <w:t xml:space="preserve"> that no such selection or change of the jurisdiction for its Funding Office shall be made if, in the reasonable judgment of such Lender, such selection or change would be disadvantageous to such Lender.</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8.7   Illegality " \l 1 </w:instrText>
      </w:r>
      <w:r>
        <w:rPr>
          <w:sz w:val="24"/>
        </w:rPr>
        <w:fldChar w:fldCharType="separate"/>
      </w:r>
      <w:r>
        <w:rPr>
          <w:sz w:val="24"/>
        </w:rPr>
      </w:r>
      <w:r>
        <w:rPr>
          <w:sz w:val="24"/>
        </w:rPr>
        <w:fldChar w:fldCharType="end"/>
      </w:r>
      <w:r>
        <w:rPr>
          <w:sz w:val="24"/>
        </w:rPr>
        <w:t>.    Notwithstanding any other provision of this Agreement, if the introduction of or any change in or in the interpretation of any law or regulation, or official directive or request, shall make it unlawful, or any governmental authority, central bank or comparable agency shall assert that it is unlawful, for any Lender or its Funding Office to perform its obligations hereunder to maintain LIBOR Advances hereunder, then, on notice thereof and demand therefor by such Lender to the Trust through the Agent, (i) the obligation of the Lenders to convert Advances into LIBOR Advances shall terminate and (ii) the Trust shall forthwith convert all LIBOR Advances of all Lenders then outstanding into Advances of another type in accordance with Section 8.2(b).</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8.8   Taxes " \l 1 </w:instrText>
      </w:r>
      <w:r>
        <w:rPr>
          <w:sz w:val="24"/>
        </w:rPr>
        <w:fldChar w:fldCharType="separate"/>
      </w:r>
      <w:r>
        <w:rPr>
          <w:sz w:val="24"/>
        </w:rPr>
      </w:r>
      <w:r>
        <w:rPr>
          <w:sz w:val="24"/>
        </w:rPr>
        <w:fldChar w:fldCharType="end"/>
      </w:r>
      <w:r>
        <w:rPr>
          <w:sz w:val="24"/>
        </w:rPr>
        <w:t>.</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 xml:space="preserve">Any and all payments by the Trust hereunder or under the Notes shall be made free and clear of and without deduction for any and all present or future taxes, levies, imposts, deductions, charges, fees, duties or withholdings, and all liabilities with respect thereto, </w:t>
      </w:r>
      <w:r>
        <w:rPr>
          <w:sz w:val="24"/>
          <w:u w:val="single"/>
        </w:rPr>
        <w:t>excluding</w:t>
      </w:r>
      <w:r>
        <w:rPr>
          <w:sz w:val="24"/>
        </w:rPr>
        <w:t>, in the case of each Lender and the Agent, (1) taxes imposed on its income, and franchise taxes imposed on it, by the jurisdiction under the laws of which (or by a jurisdiction under the laws of a political subdivision of which) such Lender or Agent (as the case may be) is organized or any political subdivision thereof and, in the case of each Lender, taxes imposed on its income, and franchise taxes imposed on it, by the jurisdiction of such Lender’s Funding Office or any political subdivision thereof and (2) any taxes imposed by the United States of America by means of withholding at the source if and to the extent that such taxes shall be in effect and shall be applicable, on the date hereof, to payments to be made to such Lender or the Agent (all such non</w:t>
        <w:noBreakHyphen/>
        <w:t xml:space="preserve">excluded taxes, levies, imposts, deductions, charges, fees, duties, withholdings and liabilities being hereinafter referred to as </w:t>
      </w:r>
      <w:r>
        <w:rPr>
          <w:b/>
          <w:sz w:val="24"/>
        </w:rPr>
        <w:t>“</w:t>
      </w:r>
      <w:r>
        <w:rPr>
          <w:b/>
          <w:sz w:val="24"/>
          <w:u w:val="single"/>
        </w:rPr>
        <w:t>Relevant Taxes</w:t>
      </w:r>
      <w:r>
        <w:rPr>
          <w:b/>
          <w:sz w:val="24"/>
        </w:rPr>
        <w:t>”</w:t>
      </w:r>
      <w:r>
        <w:rPr>
          <w:sz w:val="24"/>
        </w:rPr>
        <w:t>).    If the Trust shall be required by law to deduct any Relevant Taxes from or in respect of any sum payable hereunder or under any Note to any Lender or the Agent, (i) the sum payable shall be increased as may be necessary so that after making all required deductions (including deductions applicable to additional sums payable under this Section 8.8) such Lender or the Agent (as the case may be) receives an amount equal to the sum it would have received had no such deductions been made, (ii) the Trust shall make such deductions and (iii) the Trust shall pay the full amount deducted to the relevant taxation authority or other authority in accordance with applicable law.</w:t>
      </w:r>
    </w:p>
    <w:p>
      <w:pPr>
        <w:pStyle w:val="Normal"/>
        <w:bidi w:val="0"/>
        <w:spacing w:before="0" w:after="240"/>
        <w:jc w:val="both"/>
        <w:rPr>
          <w:sz w:val="24"/>
        </w:rPr>
      </w:pPr>
      <w:r>
        <w:rPr>
          <w:sz w:val="24"/>
        </w:rPr>
        <w:tab/>
        <w:t>(b)</w:t>
        <w:tab/>
        <w:t xml:space="preserve">Notwithstanding anything to the contrary contained in this Agreement, each of the Trust and the Agent shall be entitled, to the extent it is required to do so by law, to deduct or withhold income or other similar taxes imposed by the United States of America from interest, fees or other amounts payable hereunder for the account of any Lender (without the payment by the Trust of increased amounts to such Lender pursuant to clause (a) above) other than a Lender (i) which is a domestic corporation (as such term is defined in Section 7701 of the Code) for federal income tax purposes or (ii) which has the Prescribed Forms on file with the Trust and the Agent for the applicable year to the extent deduction or withholding of such taxes is not required as a result of the filing of such Prescribed Forms, </w:t>
      </w:r>
      <w:r>
        <w:rPr>
          <w:sz w:val="24"/>
          <w:u w:val="single"/>
        </w:rPr>
        <w:t>provided</w:t>
      </w:r>
      <w:r>
        <w:rPr>
          <w:sz w:val="24"/>
        </w:rPr>
        <w:t xml:space="preserve"> that if the Trust shall so deduct or withhold any such taxes, it shall provide a statement to the Agent and such Lender, setting forth the amount of such taxes so deducted or withheld, the applicable rate and any other information or documentation which such Lender or the Agent may reasonably request for assisting such Lender or the Agent to obtain any allowable credits or deductions for the taxes so deducted or withheld in the jurisdiction or jurisdictions in which such Lender is subject to tax.</w:t>
      </w:r>
    </w:p>
    <w:p>
      <w:pPr>
        <w:pStyle w:val="Normal"/>
        <w:bidi w:val="0"/>
        <w:spacing w:before="0" w:after="240"/>
        <w:jc w:val="both"/>
        <w:rPr>
          <w:sz w:val="24"/>
        </w:rPr>
      </w:pPr>
      <w:r>
        <w:rPr>
          <w:sz w:val="24"/>
        </w:rPr>
        <w:tab/>
        <w:t>(c)</w:t>
        <w:tab/>
      </w:r>
      <w:bookmarkStart w:id="4" w:name="BM_1_"/>
      <w:bookmarkEnd w:id="4"/>
      <w:r>
        <w:rPr>
          <w:sz w:val="24"/>
        </w:rPr>
        <w:t xml:space="preserve">In addition, the Trust agrees to pay any present or future stamp or documentary taxes or any other excise or property taxes, charges or similar levies which arise from any payment made hereunder or under the Notes or from the execution, delivery or registration of, or otherwise with respect to, this Agreement or the Notes (hereinafter referred to as </w:t>
      </w:r>
      <w:r>
        <w:rPr>
          <w:b/>
          <w:sz w:val="24"/>
        </w:rPr>
        <w:t>“</w:t>
      </w:r>
      <w:r>
        <w:rPr>
          <w:b/>
          <w:sz w:val="24"/>
          <w:u w:val="single"/>
        </w:rPr>
        <w:t>Other Taxes</w:t>
      </w:r>
      <w:r>
        <w:rPr>
          <w:b/>
          <w:sz w:val="24"/>
        </w:rPr>
        <w:t>”</w:t>
      </w:r>
      <w:r>
        <w:rPr>
          <w:sz w:val="24"/>
        </w:rPr>
        <w:t>).</w:t>
      </w:r>
    </w:p>
    <w:p>
      <w:pPr>
        <w:pStyle w:val="Normal"/>
        <w:bidi w:val="0"/>
        <w:spacing w:before="0" w:after="240"/>
        <w:jc w:val="both"/>
        <w:rPr>
          <w:sz w:val="24"/>
        </w:rPr>
      </w:pPr>
      <w:r>
        <w:rPr>
          <w:sz w:val="24"/>
        </w:rPr>
        <w:tab/>
        <w:t>(d)</w:t>
        <w:tab/>
        <w:t>The Trust, to the fullest extent permitted by law, will indemnify each Lender and the Agent for the full amount of Relevant Taxes or Other Taxes (including, without limitation, any Relevant Taxes or Other Taxes imposed by any jurisdiction on amounts payable under this Section 8.8) paid by such Lender or the Agent (as the case may be) and any liability (including penalties, interest and expenses) arising therefrom or with respect thereto except as a result of the gross negligence or willful misconduct of such Lender or Agent, whether or not such Relevant Taxes or Other Taxes were correctly or legally asserted.    This indemnification shall be made within 30 days from the date such Lender or the Agent (as the case may be) makes written demand therefor.    No Lender nor the Agent shall be indemnified for Relevant Taxes incurred or accrued more than 90 days prior to the date that such Lender or the Agent notifies the Trust thereof.</w:t>
      </w:r>
    </w:p>
    <w:p>
      <w:pPr>
        <w:pStyle w:val="Normal"/>
        <w:bidi w:val="0"/>
        <w:spacing w:before="0" w:after="240"/>
        <w:jc w:val="both"/>
        <w:rPr>
          <w:sz w:val="24"/>
        </w:rPr>
      </w:pPr>
      <w:r>
        <w:rPr>
          <w:sz w:val="24"/>
        </w:rPr>
        <w:tab/>
        <w:t>(e)</w:t>
        <w:tab/>
        <w:t>Within 30 days after the date of any payment of Relevant Taxes by or at the direction of the Trust, the Trust will furnish to the Agent, at its address referred to in Article XIX, the original or a certified copy of a receipt evidencing payment thereof.    Should any Lender or the Agent ever receive any refund, credit or deduction from any taxing authority to which such Lender or the Agent would not be entitled but for the payment by the Trust of Relevant Taxes as required by this Section 8.8 (it being understood that the decision as to whether or not to claim, and if claimed, as to the amount of any such refund, credit or deduction shall be made by such Lender or the Agent in its sole discretion), such Lender or the Agent, as the case may be, thereupon shall repay to the Trust an amount with respect to such refund, credit or deduction equal to any net reduction in taxes actually obtained by such Lender or the Agent, as the case may be, and determined by such Lender or the Agent, as the case may be, to be attributable to such refund, credit or deduction provided that nothing in this Section 8.8(e) shall oblige any Lender or the Agent to provide the Trust with copies of tax returns filed by such Lender, the Agent or any of their respective Affiliates or to disclose details of the tax affairs of such Lender, the Agent or any of their respective Affiliates.</w:t>
      </w:r>
    </w:p>
    <w:p>
      <w:pPr>
        <w:pStyle w:val="Normal"/>
        <w:bidi w:val="0"/>
        <w:spacing w:before="0" w:after="240"/>
        <w:jc w:val="both"/>
        <w:rPr>
          <w:sz w:val="24"/>
        </w:rPr>
      </w:pPr>
      <w:r>
        <w:rPr>
          <w:sz w:val="24"/>
        </w:rPr>
        <w:tab/>
        <w:t>(f)</w:t>
        <w:tab/>
        <w:t xml:space="preserve">Each Lender shall use its best efforts (consistent with its internal policies and legal and regulatory restrictions) to select a jurisdiction for its Funding Office or change the jurisdiction of its Funding Office, as the case may be, so as to avoid the imposition of any Relevant Taxes or Other Taxes or to eliminate the amount of any such additional amounts which may thereafter accrue; </w:t>
      </w:r>
      <w:r>
        <w:rPr>
          <w:sz w:val="24"/>
          <w:u w:val="single"/>
        </w:rPr>
        <w:t>provided</w:t>
      </w:r>
      <w:r>
        <w:rPr>
          <w:sz w:val="24"/>
        </w:rPr>
        <w:t xml:space="preserve"> that no such selection or change of the jurisdiction for its Funding Office shall be made if, in the reasonable judgment of such Lender, such selection or change would be disadvantageous to such Lender.</w:t>
      </w:r>
    </w:p>
    <w:p>
      <w:pPr>
        <w:pStyle w:val="Normal"/>
        <w:keepNext w:val="true"/>
        <w:bidi w:val="0"/>
        <w:spacing w:before="0" w:after="240"/>
        <w:jc w:val="both"/>
        <w:rPr>
          <w:sz w:val="24"/>
        </w:rPr>
      </w:pPr>
      <w:r>
        <w:rPr>
          <w:sz w:val="24"/>
        </w:rPr>
        <w:tab/>
        <w:t>(g)</w:t>
        <w:tab/>
        <w:t>Without prejudice to the survival of any other agreement of the Trust hereunder, the agreements and obligations of the Trust contained in this Section 8.8 shall survive the payment in full of principal and interest hereunder and under the Notes.</w:t>
      </w:r>
    </w:p>
    <w:p>
      <w:pPr>
        <w:pStyle w:val="Normal"/>
        <w:keepLines/>
        <w:bidi w:val="0"/>
        <w:jc w:val="both"/>
        <w:rPr>
          <w:sz w:val="24"/>
        </w:rPr>
      </w:pPr>
      <w:r>
        <w:rPr>
          <w:sz w:val="24"/>
        </w:rPr>
        <w:tab/>
      </w:r>
      <w:r>
        <w:fldChar w:fldCharType="begin"/>
      </w:r>
      <w:r>
        <w:rPr>
          <w:sz w:val="24"/>
        </w:rPr>
        <w:instrText xml:space="preserve"> TC "Section  8.9   Replacement of Lender " \l 1 </w:instrText>
      </w:r>
      <w:r>
        <w:rPr>
          <w:sz w:val="24"/>
        </w:rPr>
        <w:fldChar w:fldCharType="separate"/>
      </w:r>
      <w:r>
        <w:rPr>
          <w:sz w:val="24"/>
        </w:rPr>
      </w:r>
      <w:r>
        <w:rPr>
          <w:sz w:val="24"/>
        </w:rPr>
        <w:fldChar w:fldCharType="end"/>
      </w:r>
      <w:r>
        <w:rPr>
          <w:sz w:val="24"/>
        </w:rPr>
        <w:t xml:space="preserve">.    In the event that any Lender shall claim payment of any increased costs pursuant to Section 8.6 or any additional amounts pursuant to Section 8.8, the Trust shall have the right, if no Event of Default or Default then exists, to replace such Lender with an Eligible Assignee in accordance with Section 23.2 (including execution of an appropriate Instrument of Assignment); </w:t>
      </w:r>
      <w:r>
        <w:rPr>
          <w:sz w:val="24"/>
          <w:u w:val="single"/>
        </w:rPr>
        <w:t>provided</w:t>
      </w:r>
      <w:r>
        <w:rPr>
          <w:sz w:val="24"/>
        </w:rPr>
        <w:t xml:space="preserve"> that such Eligible Assignee (i) shall unconditionally offer in writing (with a copy to the Agent) to purchase on a date therein specified all of such Lender’s rights hereunder and interest in the Advance owing to such Lender and the Note held by such Lender without recourse at the principal amount of such Note </w:t>
      </w:r>
      <w:r>
        <w:rPr>
          <w:sz w:val="24"/>
          <w:u w:val="single"/>
        </w:rPr>
        <w:t>plus</w:t>
      </w:r>
      <w:r>
        <w:rPr>
          <w:sz w:val="24"/>
        </w:rPr>
        <w:t xml:space="preserve"> interest accrued thereon to the date of such purchase, and (ii) shall execute and deliver to the Agent an Instrument of Assignment, as assignee, pursuant to which such Eligible Assignee becomes a party hereto.    Upon satisfaction of the requirements set forth in the first sentence of this Section 8.9, acceptance of such offer to purchase by the Lender to be replaced, payment to such Lender of the purchase price in immediately available funds by the Eligible Assignee replacing such Lender, execution of such Instrument of Assignment by such Lender, such Eligible Assignee and the Agent, the payment by the Trust of all amounts owed by the Trust to such Lender (other than the principal of and interest on the Advance of such Lender purchased by such Eligible Assignee, but including, without limitation, the reimbursement of any expense, loss, damage or liability of the Lender to be replaced by reason of the repayment of a LIBOR Advance otherwise than on the last day of an Interest Period, pursuant to Section 25.1), and notice by the Trust to the Agent that such payment has been made, such Eligible Assignee shall constitute a </w:t>
      </w:r>
      <w:r>
        <w:rPr>
          <w:b/>
          <w:sz w:val="24"/>
        </w:rPr>
        <w:t>“</w:t>
      </w:r>
      <w:r>
        <w:rPr>
          <w:b/>
          <w:sz w:val="24"/>
          <w:u w:val="single"/>
        </w:rPr>
        <w:t>Lender</w:t>
      </w:r>
      <w:r>
        <w:rPr>
          <w:b/>
          <w:sz w:val="24"/>
        </w:rPr>
        <w:t>”</w:t>
      </w:r>
      <w:r>
        <w:rPr>
          <w:sz w:val="24"/>
        </w:rPr>
        <w:t xml:space="preserve"> hereunder and the Lender being so replaced shall no longer constitute a </w:t>
      </w:r>
      <w:r>
        <w:rPr>
          <w:b/>
          <w:sz w:val="24"/>
        </w:rPr>
        <w:t>“</w:t>
      </w:r>
      <w:r>
        <w:rPr>
          <w:b/>
          <w:sz w:val="24"/>
          <w:u w:val="single"/>
        </w:rPr>
        <w:t>Lender</w:t>
      </w:r>
      <w:r>
        <w:rPr>
          <w:b/>
          <w:sz w:val="24"/>
        </w:rPr>
        <w:t>”</w:t>
      </w:r>
      <w:r>
        <w:rPr>
          <w:sz w:val="24"/>
        </w:rPr>
        <w:t xml:space="preserve"> hereunder.    If, however, (x) a Lender accepts such an offer and such Eligible Assignee fails to purchase such rights and interest on such specified date in accordance with the terms of such offer or such Eligible Assignee or the Agent fails to execute the relevant Instrument of Assignment, the Trust shall continue to be obligated to pay the increased costs to such Lender pursuant to Section 8.6 or the additional amounts pursuant to Section 8.8, as the case may be, or (y) the Lender proposed to be replaced fails to accept such purchase offer or to execute the relevant Instrument of Assignment, the Trust shall not be obligated to pay to such Lender such increased costs or additional amounts incurred or accrued from and after the date of such purchase offer.</w:t>
      </w:r>
    </w:p>
    <w:p>
      <w:pPr>
        <w:pStyle w:val="Normal"/>
        <w:bidi w:val="0"/>
        <w:jc w:val="both"/>
        <w:rPr>
          <w:sz w:val="24"/>
        </w:rPr>
      </w:pPr>
      <w:r>
        <w:rPr>
          <w:sz w:val="24"/>
        </w:rPr>
      </w:r>
    </w:p>
    <w:p>
      <w:pPr>
        <w:pStyle w:val="Normal"/>
        <w:bidi w:val="0"/>
        <w:jc w:val="both"/>
        <w:rPr>
          <w:sz w:val="24"/>
        </w:rPr>
      </w:pPr>
      <w:r>
        <w:fldChar w:fldCharType="begin"/>
      </w:r>
      <w:r>
        <w:rPr>
          <w:sz w:val="24"/>
        </w:rPr>
        <w:instrText xml:space="preserve"> TC "</w:instrText>
        <w:tab/>
        <w:instrText xml:space="preserve">Section 8.10</w:instrText>
        <w:tab/>
        <w:instrText xml:space="preserve">Tax Characterization; Construction" \l 1 </w:instrText>
      </w:r>
      <w:r>
        <w:rPr>
          <w:sz w:val="24"/>
        </w:rPr>
        <w:fldChar w:fldCharType="separate"/>
      </w:r>
      <w:r>
        <w:rPr>
          <w:sz w:val="24"/>
        </w:rPr>
      </w:r>
      <w:r>
        <w:rPr>
          <w:sz w:val="24"/>
        </w:rPr>
        <w:fldChar w:fldCharType="end"/>
      </w:r>
      <w:ins w:id="673" w:author="">
        <w:r>
          <w:rPr>
            <w:b/>
            <w:sz w:val="24"/>
            <w:u w:val="double"/>
          </w:rPr>
          <w:t>.    It is the intention of the parties hereto, for purposes of federal, state and local income and franchise taxes and any other tax imposed on or measured by income that this Agreement and the transactions contemplated hereby and by the other Operative Documents have been structured for the purposes of financing the Class B Interest for each Series, that the Trust constitutes a security device for the repayment of amounts due to the Lenders and the Certificate Holders, that the Tranche with respect to a Series and the Certificate of such Series constitute indebtedness of the Sponsor for such Series and that the Class B Interest for such Series is pledged to secure the payment of such indebtedness.    The parties recognize that the manner in which they have agreed to characterize the transactions for such tax purposes may be inconsistent with the manner in which the transactions are characterized for accounting, regulatory or other purposes.</w:t>
        </w:r>
      </w:ins>
    </w:p>
    <w:p>
      <w:pPr>
        <w:pStyle w:val="Normal"/>
        <w:bidi w:val="0"/>
        <w:jc w:val="both"/>
        <w:rPr>
          <w:sz w:val="24"/>
        </w:rPr>
      </w:pPr>
      <w:r>
        <w:rPr>
          <w:sz w:val="24"/>
        </w:rPr>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IXPAYMENTS" \l 1 </w:instrText>
      </w:r>
      <w:r>
        <w:rPr/>
        <w:fldChar w:fldCharType="separate"/>
      </w:r>
      <w:r>
        <w:rPr/>
      </w:r>
      <w:r>
        <w:rPr/>
        <w:fldChar w:fldCharType="end"/>
      </w:r>
    </w:p>
    <w:p>
      <w:pPr>
        <w:pStyle w:val="Normal"/>
        <w:keepNext w:val="true"/>
        <w:keepLines/>
        <w:bidi w:val="0"/>
        <w:jc w:val="both"/>
        <w:rPr>
          <w:sz w:val="24"/>
          <w:u w:val="single"/>
        </w:rPr>
      </w:pPr>
      <w:r>
        <w:rPr>
          <w:sz w:val="24"/>
          <w:u w:val="single"/>
        </w:rPr>
      </w:r>
    </w:p>
    <w:p>
      <w:pPr>
        <w:pStyle w:val="Normal"/>
        <w:keepNext w:val="true"/>
        <w:keepLines/>
        <w:bidi w:val="0"/>
        <w:jc w:val="both"/>
        <w:rPr>
          <w:sz w:val="24"/>
        </w:rPr>
      </w:pPr>
      <w:r>
        <w:rPr>
          <w:sz w:val="24"/>
        </w:rPr>
        <w:tab/>
      </w:r>
      <w:r>
        <w:fldChar w:fldCharType="begin"/>
      </w:r>
      <w:r>
        <w:rPr>
          <w:sz w:val="24"/>
        </w:rPr>
        <w:instrText xml:space="preserve"> TC "Section  9.1   Place and Time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All payments to be made by the Trust or by the Lenders under the Finance Documents are to be made to the Agent in Dollars not later than 11:00 a.m. on the due date therefor to the following account (or such other account as the Agent specifies by written notice for this purpose), in immediately available funds:</w:t>
      </w:r>
    </w:p>
    <w:tbl>
      <w:tblPr>
        <w:tblW w:w="8100" w:type="dxa"/>
        <w:jc w:val="start"/>
        <w:tblInd w:w="750" w:type="dxa"/>
        <w:tblLayout w:type="fixed"/>
        <w:tblCellMar>
          <w:top w:w="0" w:type="dxa"/>
          <w:start w:w="120" w:type="dxa"/>
          <w:bottom w:w="0" w:type="dxa"/>
          <w:end w:w="120" w:type="dxa"/>
        </w:tblCellMar>
      </w:tblPr>
      <w:tblGrid>
        <w:gridCol w:w="2430"/>
        <w:gridCol w:w="269"/>
        <w:gridCol w:w="5401"/>
      </w:tblGrid>
      <w:tr>
        <w:trPr>
          <w:trHeight w:val="360" w:hRule="exact"/>
          <w:cantSplit w:val="true"/>
        </w:trPr>
        <w:tc>
          <w:tcPr>
            <w:tcW w:w="2430" w:type="dxa"/>
            <w:tcBorders/>
          </w:tcPr>
          <w:p>
            <w:pPr>
              <w:pStyle w:val="Normal"/>
              <w:tabs>
                <w:tab w:val="clear" w:pos="720"/>
              </w:tabs>
              <w:bidi w:val="0"/>
              <w:jc w:val="end"/>
              <w:rPr/>
            </w:pPr>
            <w:r>
              <w:rPr>
                <w:sz w:val="24"/>
              </w:rPr>
              <w:t>Credit Bank:</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Bank of New York (SWIFT Code IRVTUS3N)</w:t>
            </w:r>
          </w:p>
        </w:tc>
      </w:tr>
      <w:tr>
        <w:trPr>
          <w:trHeight w:val="360" w:hRule="exact"/>
          <w:cantSplit w:val="true"/>
        </w:trPr>
        <w:tc>
          <w:tcPr>
            <w:tcW w:w="2430" w:type="dxa"/>
            <w:tcBorders/>
          </w:tcPr>
          <w:p>
            <w:pPr>
              <w:pStyle w:val="Normal"/>
              <w:tabs>
                <w:tab w:val="clear" w:pos="720"/>
              </w:tabs>
              <w:bidi w:val="0"/>
              <w:jc w:val="end"/>
              <w:rPr/>
            </w:pPr>
            <w:r>
              <w:rPr>
                <w:sz w:val="24"/>
              </w:rPr>
              <w:t>Address:</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New York, NY</w:t>
            </w:r>
          </w:p>
        </w:tc>
      </w:tr>
      <w:tr>
        <w:trPr>
          <w:trHeight w:val="360" w:hRule="exact"/>
          <w:cantSplit w:val="true"/>
        </w:trPr>
        <w:tc>
          <w:tcPr>
            <w:tcW w:w="2430" w:type="dxa"/>
            <w:tcBorders/>
          </w:tcPr>
          <w:p>
            <w:pPr>
              <w:pStyle w:val="Normal"/>
              <w:tabs>
                <w:tab w:val="clear" w:pos="720"/>
              </w:tabs>
              <w:bidi w:val="0"/>
              <w:jc w:val="end"/>
              <w:rPr/>
            </w:pPr>
            <w:r>
              <w:rPr>
                <w:sz w:val="24"/>
              </w:rPr>
              <w:t>ABA #:</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021</w:t>
              <w:noBreakHyphen/>
              <w:t>000</w:t>
              <w:noBreakHyphen/>
              <w:t>018</w:t>
            </w:r>
          </w:p>
        </w:tc>
      </w:tr>
      <w:tr>
        <w:trPr>
          <w:trHeight w:val="360" w:hRule="exact"/>
          <w:cantSplit w:val="true"/>
        </w:trPr>
        <w:tc>
          <w:tcPr>
            <w:tcW w:w="2430" w:type="dxa"/>
            <w:tcBorders/>
          </w:tcPr>
          <w:p>
            <w:pPr>
              <w:pStyle w:val="Normal"/>
              <w:tabs>
                <w:tab w:val="clear" w:pos="720"/>
              </w:tabs>
              <w:bidi w:val="0"/>
              <w:jc w:val="end"/>
              <w:rPr/>
            </w:pPr>
            <w:r>
              <w:rPr>
                <w:sz w:val="24"/>
              </w:rPr>
              <w:t>For Credit To:</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Canadian Imperial Bank of Commerce, NY Branch</w:t>
            </w:r>
          </w:p>
        </w:tc>
      </w:tr>
      <w:tr>
        <w:trPr>
          <w:trHeight w:val="414" w:hRule="exact"/>
          <w:cantSplit w:val="true"/>
        </w:trPr>
        <w:tc>
          <w:tcPr>
            <w:tcW w:w="2430" w:type="dxa"/>
            <w:tcBorders/>
          </w:tcPr>
          <w:p>
            <w:pPr>
              <w:pStyle w:val="Normal"/>
              <w:tabs>
                <w:tab w:val="clear" w:pos="720"/>
              </w:tabs>
              <w:bidi w:val="0"/>
              <w:jc w:val="end"/>
              <w:rPr/>
            </w:pPr>
            <w:r>
              <w:rPr>
                <w:sz w:val="24"/>
              </w:rPr>
              <w:t>Account No.:</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8900331046</w:t>
            </w:r>
          </w:p>
        </w:tc>
      </w:tr>
      <w:tr>
        <w:trPr>
          <w:trHeight w:val="360" w:hRule="exact"/>
          <w:cantSplit w:val="true"/>
        </w:trPr>
        <w:tc>
          <w:tcPr>
            <w:tcW w:w="2430" w:type="dxa"/>
            <w:tcBorders/>
          </w:tcPr>
          <w:p>
            <w:pPr>
              <w:pStyle w:val="Normal"/>
              <w:tabs>
                <w:tab w:val="clear" w:pos="720"/>
              </w:tabs>
              <w:bidi w:val="0"/>
              <w:jc w:val="end"/>
              <w:rPr/>
            </w:pPr>
            <w:r>
              <w:rPr>
                <w:sz w:val="24"/>
              </w:rPr>
              <w:t>or Further Credit To:</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Agented Loans</w:t>
            </w:r>
          </w:p>
        </w:tc>
      </w:tr>
      <w:tr>
        <w:trPr>
          <w:trHeight w:val="360" w:hRule="exact"/>
          <w:cantSplit w:val="true"/>
        </w:trPr>
        <w:tc>
          <w:tcPr>
            <w:tcW w:w="2430" w:type="dxa"/>
            <w:tcBorders/>
          </w:tcPr>
          <w:p>
            <w:pPr>
              <w:pStyle w:val="Normal"/>
              <w:tabs>
                <w:tab w:val="clear" w:pos="720"/>
              </w:tabs>
              <w:bidi w:val="0"/>
              <w:jc w:val="end"/>
              <w:rPr/>
            </w:pPr>
            <w:r>
              <w:rPr>
                <w:sz w:val="24"/>
              </w:rPr>
              <w:t>Account No.:</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0709611</w:t>
            </w:r>
          </w:p>
        </w:tc>
      </w:tr>
      <w:tr>
        <w:trPr>
          <w:trHeight w:val="360" w:hRule="exact"/>
          <w:cantSplit w:val="true"/>
        </w:trPr>
        <w:tc>
          <w:tcPr>
            <w:tcW w:w="2430" w:type="dxa"/>
            <w:tcBorders/>
          </w:tcPr>
          <w:p>
            <w:pPr>
              <w:pStyle w:val="Normal"/>
              <w:tabs>
                <w:tab w:val="clear" w:pos="720"/>
              </w:tabs>
              <w:bidi w:val="0"/>
              <w:jc w:val="end"/>
              <w:rPr/>
            </w:pPr>
            <w:r>
              <w:rPr>
                <w:sz w:val="24"/>
              </w:rPr>
              <w:t>Attention:</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Agency Services</w:t>
            </w:r>
          </w:p>
        </w:tc>
      </w:tr>
      <w:tr>
        <w:trPr>
          <w:trHeight w:val="360" w:hRule="exact"/>
          <w:cantSplit w:val="true"/>
        </w:trPr>
        <w:tc>
          <w:tcPr>
            <w:tcW w:w="2430" w:type="dxa"/>
            <w:tcBorders/>
          </w:tcPr>
          <w:p>
            <w:pPr>
              <w:pStyle w:val="Normal"/>
              <w:tabs>
                <w:tab w:val="clear" w:pos="720"/>
              </w:tabs>
              <w:bidi w:val="0"/>
              <w:jc w:val="end"/>
              <w:rPr/>
            </w:pPr>
            <w:r>
              <w:rPr>
                <w:sz w:val="24"/>
              </w:rPr>
              <w:t>Reference:</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 xml:space="preserve">Hawaii </w:t>
            </w:r>
            <w:ins w:id="674" w:author="">
              <w:r>
                <w:rPr>
                  <w:b/>
                  <w:sz w:val="24"/>
                  <w:u w:val="double"/>
                </w:rPr>
                <w:t>I</w:t>
              </w:r>
            </w:ins>
            <w:r>
              <w:rPr>
                <w:sz w:val="24"/>
              </w:rPr>
              <w:t xml:space="preserve"> 125</w:t>
              <w:noBreakHyphen/>
              <w:t>0</w:t>
            </w:r>
          </w:p>
        </w:tc>
      </w:tr>
      <w:tr>
        <w:trPr>
          <w:trHeight w:val="360" w:hRule="exact"/>
          <w:cantSplit w:val="true"/>
        </w:trPr>
        <w:tc>
          <w:tcPr>
            <w:tcW w:w="2430" w:type="dxa"/>
            <w:tcBorders/>
          </w:tcPr>
          <w:p>
            <w:pPr>
              <w:pStyle w:val="Normal"/>
              <w:tabs>
                <w:tab w:val="clear" w:pos="720"/>
              </w:tabs>
              <w:bidi w:val="0"/>
              <w:jc w:val="end"/>
              <w:rPr>
                <w:sz w:val="24"/>
              </w:rPr>
            </w:pPr>
            <w:r>
              <w:rPr>
                <w:sz w:val="24"/>
              </w:rPr>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sz w:val="24"/>
              </w:rPr>
            </w:pPr>
            <w:r>
              <w:rPr>
                <w:sz w:val="24"/>
              </w:rPr>
            </w:r>
          </w:p>
        </w:tc>
      </w:tr>
    </w:tbl>
    <w:p>
      <w:pPr>
        <w:pStyle w:val="Normal"/>
        <w:bidi w:val="0"/>
        <w:jc w:val="both"/>
        <w:rPr>
          <w:sz w:val="24"/>
        </w:rPr>
      </w:pPr>
      <w:r>
        <w:rPr>
          <w:sz w:val="24"/>
        </w:rPr>
      </w:r>
    </w:p>
    <w:p>
      <w:pPr>
        <w:pStyle w:val="Normal"/>
        <w:bidi w:val="0"/>
        <w:spacing w:before="0" w:after="240"/>
        <w:jc w:val="both"/>
        <w:rPr>
          <w:sz w:val="24"/>
        </w:rPr>
      </w:pPr>
      <w:r>
        <w:rPr>
          <w:sz w:val="24"/>
        </w:rPr>
        <w:tab/>
        <w:t>(b)</w:t>
        <w:tab/>
        <w:t>Subject to Section 9.1(c), each payment received by the Agent pursuant to Section 9.1(a) at or before 11:00 a.m. on any date for the account of another Person will be made available by the Agent to such Person on the same day by transfer to such bank account as such Person has previously notified to the Agent by not less than three Business Days’ prior notice.</w:t>
      </w:r>
    </w:p>
    <w:p>
      <w:pPr>
        <w:pStyle w:val="Normal"/>
        <w:keepNext w:val="true"/>
        <w:bidi w:val="0"/>
        <w:spacing w:before="0" w:after="240"/>
        <w:jc w:val="both"/>
        <w:rPr>
          <w:sz w:val="24"/>
        </w:rPr>
      </w:pPr>
      <w:r>
        <w:rPr>
          <w:sz w:val="24"/>
        </w:rPr>
        <w:tab/>
        <w:t>(c)</w:t>
        <w:tab/>
        <w:t>Where a sum is to be paid under the Finance Documents for the account of another Lender, the Agent will not be obligated to make any such sum available to such Lender until it has been able to establish to its satisfaction that it has actually received such sum, but shall be free to do so and if it does so and it proves to be the case that it has not actually received the sum it paid out, then such Lender will on request ensure that the amount so made available is refunded to the Agent and such Lender shall be liable (1) to pay to the Agent interest on the amount in question at the rate determined by the Agent to be equal to the Federal Funds Rate for the period from payment out by the Agent until refund to the Agent thereof and (2) to indemnify the Agent against any additional out</w:t>
        <w:noBreakHyphen/>
        <w:t>of</w:t>
        <w:noBreakHyphen/>
        <w:t>pocket costs it may have suffered or incurred by reason of it having paid out such sum prior to it having received the same.</w:t>
      </w:r>
    </w:p>
    <w:p>
      <w:pPr>
        <w:pStyle w:val="Normal"/>
        <w:keepNext w:val="true"/>
        <w:keepLines/>
        <w:bidi w:val="0"/>
        <w:jc w:val="both"/>
        <w:rPr>
          <w:sz w:val="24"/>
        </w:rPr>
      </w:pPr>
      <w:r>
        <w:rPr>
          <w:sz w:val="24"/>
        </w:rPr>
        <w:tab/>
      </w:r>
      <w:r>
        <w:fldChar w:fldCharType="begin"/>
      </w:r>
      <w:r>
        <w:rPr>
          <w:sz w:val="24"/>
        </w:rPr>
        <w:instrText xml:space="preserve"> TC "Section  9.2   No Deductions " \l 1 </w:instrText>
      </w:r>
      <w:r>
        <w:rPr>
          <w:sz w:val="24"/>
        </w:rPr>
        <w:fldChar w:fldCharType="separate"/>
      </w:r>
      <w:r>
        <w:rPr>
          <w:sz w:val="24"/>
        </w:rPr>
      </w:r>
      <w:r>
        <w:rPr>
          <w:sz w:val="24"/>
        </w:rPr>
        <w:fldChar w:fldCharType="end"/>
      </w:r>
      <w:r>
        <w:rPr>
          <w:sz w:val="24"/>
        </w:rPr>
        <w:t>.    All payments made by the Trust under the Finance Documents (whether of principal, interest, fees, dividends or otherwise) shall be paid in full without set</w:t>
        <w:noBreakHyphen/>
        <w:t>off or counterclaim and not subject to any condition.</w:t>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9.3   Payments on Business Days " \l 1 </w:instrText>
      </w:r>
      <w:r>
        <w:rPr>
          <w:sz w:val="24"/>
        </w:rPr>
        <w:fldChar w:fldCharType="separate"/>
      </w:r>
      <w:r>
        <w:rPr>
          <w:sz w:val="24"/>
        </w:rPr>
      </w:r>
      <w:r>
        <w:rPr>
          <w:sz w:val="24"/>
        </w:rPr>
        <w:fldChar w:fldCharType="end"/>
      </w:r>
      <w:r>
        <w:rPr>
          <w:sz w:val="24"/>
        </w:rPr>
        <w:t>.    Subject to Section 6.2, if any sum would otherwise become due for payment pursuant to any of the Finance Documents on a day which is not a Business Day, such sum shall become due on the next succeeding Business Day unless that day falls in the next calendar month, in which case the sum shall become due on the preceding Business Day and all sums payable under any of the Finance Documents calculated by reference to any period of time shall be recalculated on the basis of such extension in time (or reduction thereof).</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9.4   Accounts " \l 1 </w:instrText>
      </w:r>
      <w:r>
        <w:rPr>
          <w:sz w:val="24"/>
        </w:rPr>
        <w:fldChar w:fldCharType="separate"/>
      </w:r>
      <w:r>
        <w:rPr>
          <w:sz w:val="24"/>
        </w:rPr>
      </w:r>
      <w:r>
        <w:rPr>
          <w:sz w:val="24"/>
        </w:rPr>
        <w:fldChar w:fldCharType="end"/>
      </w:r>
      <w:r>
        <w:rPr>
          <w:sz w:val="24"/>
        </w:rPr>
        <w:t xml:space="preserve">.    </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 xml:space="preserve">Each Lender shall maintain an account recording the amount advanced by, owing to and paid to such Lender pursuant to the Finance Documents, which shall in the absence of manifest error, as between such Lender and the Trust, be </w:t>
      </w:r>
      <w:r>
        <w:rPr>
          <w:i/>
          <w:sz w:val="24"/>
        </w:rPr>
        <w:t>prima facie</w:t>
      </w:r>
      <w:r>
        <w:rPr>
          <w:sz w:val="24"/>
        </w:rPr>
        <w:t xml:space="preserve"> evidence of such amounts; provided that failure to maintain any such account shall not relieve the Trust of its obligations.</w:t>
      </w:r>
    </w:p>
    <w:p>
      <w:pPr>
        <w:pStyle w:val="Normal"/>
        <w:keepNext w:val="true"/>
        <w:bidi w:val="0"/>
        <w:spacing w:before="0" w:after="240"/>
        <w:jc w:val="both"/>
        <w:rPr>
          <w:sz w:val="24"/>
        </w:rPr>
      </w:pPr>
      <w:r>
        <w:rPr>
          <w:sz w:val="24"/>
        </w:rPr>
        <w:tab/>
        <w:t>(b)</w:t>
        <w:tab/>
        <w:t>The Agent shall maintain an accounting showing the amount of principal of the Advances from time to time outstanding hereunder and all payments with respect thereto made by the Trust from time to time pursuant to this Agreement; provided that failure to maintain any such account shall not relieve the Trust of its obligations.</w:t>
      </w:r>
    </w:p>
    <w:p>
      <w:pPr>
        <w:pStyle w:val="Normal"/>
        <w:keepNext w:val="true"/>
        <w:keepLines/>
        <w:bidi w:val="0"/>
        <w:jc w:val="both"/>
        <w:rPr>
          <w:sz w:val="24"/>
        </w:rPr>
      </w:pPr>
      <w:r>
        <w:rPr>
          <w:sz w:val="24"/>
        </w:rPr>
        <w:tab/>
      </w:r>
      <w:r>
        <w:fldChar w:fldCharType="begin"/>
      </w:r>
      <w:r>
        <w:rPr>
          <w:sz w:val="24"/>
        </w:rPr>
        <w:instrText xml:space="preserve"> TC "Section  9.5   Currency " \l 1 </w:instrText>
      </w:r>
      <w:r>
        <w:rPr>
          <w:sz w:val="24"/>
        </w:rPr>
        <w:fldChar w:fldCharType="separate"/>
      </w:r>
      <w:r>
        <w:rPr>
          <w:sz w:val="24"/>
        </w:rPr>
      </w:r>
      <w:r>
        <w:rPr>
          <w:sz w:val="24"/>
        </w:rPr>
        <w:fldChar w:fldCharType="end"/>
      </w:r>
      <w:r>
        <w:rPr>
          <w:sz w:val="24"/>
        </w:rPr>
        <w:t>.    All amounts payable by the Trust under this Agreement shall be paid in Dollars.</w:t>
      </w:r>
    </w:p>
    <w:p>
      <w:pPr>
        <w:pStyle w:val="Normal"/>
        <w:keepNext w:val="true"/>
        <w:keepLines/>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XCERTIFICATES CONCLUSIVE"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t>A certificate, determination, notification or opinion of any Finance Party or any Lender provided for in any Finance Document shall be conclusive except in the case of manifest error.</w:t>
      </w:r>
    </w:p>
    <w:p>
      <w:pPr>
        <w:pStyle w:val="Normal"/>
        <w:keepLines/>
        <w:bidi w:val="0"/>
        <w:jc w:val="both"/>
        <w:rPr>
          <w:sz w:val="24"/>
        </w:rPr>
      </w:pPr>
      <w:r>
        <w:rPr>
          <w:sz w:val="24"/>
        </w:rPr>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XIREPRESENTATIONS AND WARRANTIES"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11.1   Reliance and Effective Time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The Trust acknowledges that each Finance Party has or will have entered into this Agreement and the other Finance Documents to which it is a party and participated in the Advances in full reliance on representations and warranties in the terms set out in the following provisions of this Article XI.    The Trust represents and warrants to each Finance Party in the terms set forth in Sections 11.2 through 11.17 inclusive.</w:t>
      </w:r>
    </w:p>
    <w:p>
      <w:pPr>
        <w:pStyle w:val="Normal"/>
        <w:keepNext w:val="true"/>
        <w:bidi w:val="0"/>
        <w:spacing w:before="0" w:after="240"/>
        <w:jc w:val="both"/>
        <w:rPr>
          <w:sz w:val="24"/>
        </w:rPr>
      </w:pPr>
      <w:r>
        <w:rPr>
          <w:sz w:val="24"/>
        </w:rPr>
        <w:tab/>
        <w:t>(b)</w:t>
        <w:tab/>
        <w:t>The representations and warranties in this Article XI will be deemed initially made on the date of the execution and delivery by the Trust of this Agreement and repeated on the date of delivery of each Drawdown Request, on each Drawdown Date and on each Interest Payment Date by reference to the facts and circumstances existing on each such day, except that those representations and warranties which are expressly stated to relate to an earlier date or time shall be deemed repeated only by reference to the facts and circumstances existing at that earlier date or time.</w:t>
      </w:r>
    </w:p>
    <w:p>
      <w:pPr>
        <w:pStyle w:val="Normal"/>
        <w:keepLines/>
        <w:bidi w:val="0"/>
        <w:jc w:val="both"/>
        <w:rPr>
          <w:sz w:val="24"/>
        </w:rPr>
      </w:pPr>
      <w:r>
        <w:rPr>
          <w:sz w:val="24"/>
        </w:rPr>
        <w:tab/>
      </w:r>
      <w:r>
        <w:fldChar w:fldCharType="begin"/>
      </w:r>
      <w:r>
        <w:rPr>
          <w:sz w:val="24"/>
        </w:rPr>
        <w:instrText xml:space="preserve"> TC "Section  11.2   Organization " \l 1 </w:instrText>
      </w:r>
      <w:r>
        <w:rPr>
          <w:sz w:val="24"/>
        </w:rPr>
        <w:fldChar w:fldCharType="separate"/>
      </w:r>
      <w:r>
        <w:rPr>
          <w:sz w:val="24"/>
        </w:rPr>
      </w:r>
      <w:r>
        <w:rPr>
          <w:sz w:val="24"/>
        </w:rPr>
        <w:fldChar w:fldCharType="end"/>
      </w:r>
      <w:r>
        <w:rPr>
          <w:sz w:val="24"/>
        </w:rPr>
        <w:t>.    (a) Each Asset LLC and Transferor is duly formed, validly existing and in good standing with limited liability under the limited liability company laws of the State of Delaware, the Business Trust Act or any other applicable governing statute and has the power to own its assets and carry on its business as it is being conducted or is proposed to be conducted; (b) the Trust is a business trust duly formed, validly existing and in good standing under the Business Trust Act and has the power to own its assets and carry on its business as it is being conducted or is proposed to be conducted</w:t>
      </w:r>
      <w:r>
        <w:rPr>
          <w:b/>
          <w:sz w:val="24"/>
        </w:rPr>
        <w:t xml:space="preserve"> </w:t>
      </w:r>
      <w:r>
        <w:rPr>
          <w:sz w:val="24"/>
        </w:rPr>
        <w:t>and (c) each Series is a Series of the Trust duly formed pursuant to the Trust Agreement</w:t>
      </w:r>
      <w:r>
        <w:rPr>
          <w:b/>
          <w:sz w:val="24"/>
        </w:rPr>
        <w:t>.</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11.3   Power and Authority " \l 1 </w:instrText>
      </w:r>
      <w:r>
        <w:rPr>
          <w:sz w:val="24"/>
        </w:rPr>
        <w:fldChar w:fldCharType="separate"/>
      </w:r>
      <w:r>
        <w:rPr>
          <w:sz w:val="24"/>
        </w:rPr>
      </w:r>
      <w:r>
        <w:rPr>
          <w:sz w:val="24"/>
        </w:rPr>
        <w:fldChar w:fldCharType="end"/>
      </w:r>
      <w:r>
        <w:rPr>
          <w:sz w:val="24"/>
        </w:rPr>
        <w:t>.    The Trust, each Asset LLC and each Transferor    has all necessary power and authority to enter into and perform all its obligations under the Operative Documents to which it is expressed to be a party, has taken all necessary action to authorize the execution (if appropriate, under seal or as a deed), delivery and performance by it of each Operative Document and other document referred to therein to which it is expressed to be a party or signatory, and has taken all necessary trust action to authorize the borrowings by it under this Agreement.</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11.4   No Contravention " \l 1 </w:instrText>
      </w:r>
      <w:r>
        <w:rPr>
          <w:sz w:val="24"/>
        </w:rPr>
        <w:fldChar w:fldCharType="separate"/>
      </w:r>
      <w:r>
        <w:rPr>
          <w:sz w:val="24"/>
        </w:rPr>
      </w:r>
      <w:r>
        <w:rPr>
          <w:sz w:val="24"/>
        </w:rPr>
        <w:fldChar w:fldCharType="end"/>
      </w:r>
      <w:r>
        <w:rPr>
          <w:sz w:val="24"/>
        </w:rPr>
        <w:t>.</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None of the Trust’s, any Asset LLCs’ or Transferors’ execution, delivery and performance of the Operative Documents to which it is expressed to be a party will:</w:t>
      </w:r>
    </w:p>
    <w:p>
      <w:pPr>
        <w:pStyle w:val="Normal"/>
        <w:bidi w:val="0"/>
        <w:spacing w:before="0" w:after="240"/>
        <w:ind w:hanging="0" w:start="720"/>
        <w:jc w:val="both"/>
        <w:rPr>
          <w:sz w:val="24"/>
        </w:rPr>
      </w:pPr>
      <w:r>
        <w:rPr>
          <w:sz w:val="24"/>
        </w:rPr>
        <w:tab/>
        <w:t>(i)</w:t>
        <w:tab/>
        <w:t>violate, or cause a breach or default under the applicable Asset LLC Agreement, the applicable Transferor Constitutional Document, the Trust Agreement, any other organizational or governing agreement or document, any provision of any existing law, regulation, statute, judgment, order, license, permit or consent applicable to it or its assets or of any agreement, mortgage, contract, instrument or other undertaking to which the Trust, the Trust, the applicable Asset LLC or the applicable Transferor is a party or by which the Trust’s, the applicable Series’, the applicable Asset LLC’s or the applicable Transferor’s assets are bound; or</w:t>
      </w:r>
    </w:p>
    <w:p>
      <w:pPr>
        <w:pStyle w:val="Normal"/>
        <w:bidi w:val="0"/>
        <w:spacing w:before="0" w:after="240"/>
        <w:ind w:hanging="0" w:start="720"/>
        <w:jc w:val="both"/>
        <w:rPr>
          <w:sz w:val="24"/>
        </w:rPr>
      </w:pPr>
      <w:r>
        <w:rPr>
          <w:sz w:val="24"/>
        </w:rPr>
        <w:tab/>
        <w:t>(ii)</w:t>
        <w:tab/>
        <w:t>will oblige it to create any Lien over all or any of its assets other than any Lien under the Operative Documents.</w:t>
      </w:r>
    </w:p>
    <w:p>
      <w:pPr>
        <w:pStyle w:val="Normal"/>
        <w:keepNext w:val="true"/>
        <w:bidi w:val="0"/>
        <w:spacing w:before="0" w:after="240"/>
        <w:jc w:val="both"/>
        <w:rPr>
          <w:sz w:val="24"/>
        </w:rPr>
      </w:pPr>
      <w:r>
        <w:rPr>
          <w:sz w:val="24"/>
        </w:rPr>
        <w:tab/>
        <w:t>(b)</w:t>
        <w:tab/>
        <w:t>Borrowings by the Trust under this Agreement up to and including the maximum amount available hereunder will not cause any limit on borrowings (whether imposed by statue, regulation, agreement or otherwise), to be exceeded.</w:t>
      </w:r>
    </w:p>
    <w:p>
      <w:pPr>
        <w:pStyle w:val="Normal"/>
        <w:keepLines/>
        <w:bidi w:val="0"/>
        <w:jc w:val="both"/>
        <w:rPr>
          <w:sz w:val="24"/>
        </w:rPr>
      </w:pPr>
      <w:r>
        <w:rPr>
          <w:sz w:val="24"/>
        </w:rPr>
        <w:tab/>
      </w:r>
      <w:r>
        <w:fldChar w:fldCharType="begin"/>
      </w:r>
      <w:r>
        <w:rPr>
          <w:sz w:val="24"/>
        </w:rPr>
        <w:instrText xml:space="preserve"> TC "Section  11.5   Authorizations and Consents " \l 1 </w:instrText>
      </w:r>
      <w:r>
        <w:rPr>
          <w:sz w:val="24"/>
        </w:rPr>
        <w:fldChar w:fldCharType="separate"/>
      </w:r>
      <w:r>
        <w:rPr>
          <w:sz w:val="24"/>
        </w:rPr>
      </w:r>
      <w:r>
        <w:rPr>
          <w:sz w:val="24"/>
        </w:rPr>
        <w:fldChar w:fldCharType="end"/>
      </w:r>
      <w:r>
        <w:rPr>
          <w:sz w:val="24"/>
        </w:rPr>
        <w:t>.    All consents, licenses, approvals, authorizations and notifications (whether limited liability company, official or otherwise) required to be obtained or made by the Trust, each Asset LLC and each Transferor in connection with the entry into, validity, performance and enforceability of each of the Operative Documents to which any of the Trust, the Asset LLCs or the Transferors is a party have been obtained and are in full force and effect.</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11.6   Enforceability; Ranking " \l 1 </w:instrText>
      </w:r>
      <w:r>
        <w:rPr>
          <w:sz w:val="24"/>
        </w:rPr>
        <w:fldChar w:fldCharType="separate"/>
      </w:r>
      <w:r>
        <w:rPr>
          <w:sz w:val="24"/>
        </w:rPr>
      </w:r>
      <w:r>
        <w:rPr>
          <w:sz w:val="24"/>
        </w:rPr>
        <w:fldChar w:fldCharType="end"/>
      </w:r>
      <w:r>
        <w:rPr>
          <w:sz w:val="24"/>
        </w:rPr>
        <w:t xml:space="preserve">.    The respective obligations of each of the Trust, the Asset LLCs and the Transferors under the Operative Documents to which it is a party constitute its respective legal, valid, binding and enforceable obligations and are in full force and effect except (in the case of enforceability) as limited by the Reservations, and such obligations, to the extent not secured by any Lien, ranks and will continue to rank at all times at least </w:t>
      </w:r>
      <w:r>
        <w:rPr>
          <w:i/>
          <w:sz w:val="24"/>
        </w:rPr>
        <w:t>pari passu</w:t>
      </w:r>
      <w:r>
        <w:rPr>
          <w:sz w:val="24"/>
        </w:rPr>
        <w:t xml:space="preserve"> with or prior to all its unsecured and unsubordinated obligations (subject to the preference of certain obligations in the liquidation, bankruptcy or other analogous proceedings in respect of it by mandatory operation of applicable law).</w:t>
      </w:r>
    </w:p>
    <w:p>
      <w:pPr>
        <w:pStyle w:val="Normal"/>
        <w:bidi w:val="0"/>
        <w:jc w:val="both"/>
        <w:rPr>
          <w:sz w:val="24"/>
        </w:rPr>
      </w:pPr>
      <w:r>
        <w:rPr>
          <w:sz w:val="24"/>
        </w:rPr>
        <w:tab/>
      </w:r>
      <w:r>
        <w:fldChar w:fldCharType="begin"/>
      </w:r>
      <w:r>
        <w:rPr>
          <w:sz w:val="24"/>
        </w:rPr>
        <w:instrText xml:space="preserve"> TC "Section  11.7   Litigation " \l 1 </w:instrText>
      </w:r>
      <w:r>
        <w:rPr>
          <w:sz w:val="24"/>
        </w:rPr>
        <w:fldChar w:fldCharType="separate"/>
      </w:r>
      <w:r>
        <w:rPr>
          <w:sz w:val="24"/>
        </w:rPr>
      </w:r>
      <w:r>
        <w:rPr>
          <w:sz w:val="24"/>
        </w:rPr>
        <w:fldChar w:fldCharType="end"/>
      </w:r>
      <w:r>
        <w:rPr>
          <w:sz w:val="24"/>
        </w:rPr>
        <w:t>.    None of the Trust, the Asset LLCs or the Transferors is involved in any pending or threatened litigation, arbitration or administrative proceeding, nor is there subsisting any unsatisfied judgment or award given against the Trust, the Asset LLCs and the Transferors by any court, board of arbitration or other body, which is reasonably likely to result in or has resulted in liability which could have a Material Adverse Effect.</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11.8   No Material Adverse Effect " \l 1 </w:instrText>
      </w:r>
      <w:r>
        <w:rPr>
          <w:sz w:val="24"/>
        </w:rPr>
        <w:fldChar w:fldCharType="separate"/>
      </w:r>
      <w:r>
        <w:rPr>
          <w:sz w:val="24"/>
        </w:rPr>
      </w:r>
      <w:r>
        <w:rPr>
          <w:sz w:val="24"/>
        </w:rPr>
        <w:fldChar w:fldCharType="end"/>
      </w:r>
      <w:r>
        <w:rPr>
          <w:sz w:val="24"/>
        </w:rPr>
        <w:t>.    No event or matter having or likely to have a Material Adverse Effect has occurred since the date of inception of the Trust.</w:t>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11.9   Liens " \l 1 </w:instrText>
      </w:r>
      <w:r>
        <w:rPr>
          <w:sz w:val="24"/>
        </w:rPr>
        <w:fldChar w:fldCharType="separate"/>
      </w:r>
      <w:r>
        <w:rPr>
          <w:sz w:val="24"/>
        </w:rPr>
      </w:r>
      <w:r>
        <w:rPr>
          <w:sz w:val="24"/>
        </w:rPr>
        <w:fldChar w:fldCharType="end"/>
      </w:r>
      <w:r>
        <w:rPr>
          <w:sz w:val="24"/>
        </w:rPr>
        <w:t>.    Except as may be specified in the Asset Notice executed with respect to any Tranche and Underlying Asset, no Lien (or agreement to create the same) exists on or over the property or assets, present or future, of the Trust, the Asset LLC or the Transferor.</w:t>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11.10   No Defaults " \l 1 </w:instrText>
      </w:r>
      <w:r>
        <w:rPr>
          <w:sz w:val="24"/>
        </w:rPr>
        <w:fldChar w:fldCharType="separate"/>
      </w:r>
      <w:r>
        <w:rPr>
          <w:sz w:val="24"/>
        </w:rPr>
      </w:r>
      <w:r>
        <w:rPr>
          <w:sz w:val="24"/>
        </w:rPr>
        <w:fldChar w:fldCharType="end"/>
      </w:r>
      <w:r>
        <w:rPr>
          <w:sz w:val="24"/>
        </w:rPr>
        <w:t>. No Event of Default or Default has occurred and is continuing and no event has occurred (which has not been remedied or waived) which constitutes a default under or in respect of any agreement, instrument, deed or document to which any of the Trust, any Asset LLC or any Transferor is a party which can reasonably be expected to have a Material Adverse Effect, and no event has occurred (which has not been remedied or waived) which, with the giving of notice which may validly be given and/or the lapse of any grace period and/or giving of any certificate or statement which may validly be given and/or making of any determination which may validly be made and/or fulfillment of any other condition (which notice, grace period, certificate, statement, determination or condition is in any case specified or referred to in the relevant agreement, instrument, deed or document), will constitute any such default which will or can be reasonably expected to have a Material Adverse Effect.</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11.11   Compliance with Laws " \l 1 </w:instrText>
      </w:r>
      <w:r>
        <w:rPr>
          <w:sz w:val="24"/>
        </w:rPr>
        <w:fldChar w:fldCharType="separate"/>
      </w:r>
      <w:r>
        <w:rPr>
          <w:sz w:val="24"/>
        </w:rPr>
      </w:r>
      <w:r>
        <w:rPr>
          <w:sz w:val="24"/>
        </w:rPr>
        <w:fldChar w:fldCharType="end"/>
      </w:r>
      <w:r>
        <w:rPr>
          <w:sz w:val="24"/>
        </w:rPr>
        <w:t>.    Each Asset LLC, each Transferor and the Trust are in compliance with all laws, regulations, statutes, judgments, orders, licenses, permits or consents applicable to those Persons or their respective assets, except for any non</w:t>
        <w:noBreakHyphen/>
        <w:t>compliance which will not and cannot be reasonably expected to have a Material Adverse Effect.</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11.12   Business:  Ownership of Assets for Business Operations " \l 1 </w:instrText>
      </w:r>
      <w:r>
        <w:rPr>
          <w:sz w:val="24"/>
        </w:rPr>
        <w:fldChar w:fldCharType="separate"/>
      </w:r>
      <w:r>
        <w:rPr>
          <w:sz w:val="24"/>
        </w:rPr>
      </w:r>
      <w:r>
        <w:rPr>
          <w:sz w:val="24"/>
        </w:rPr>
        <w:fldChar w:fldCharType="end"/>
      </w:r>
      <w:r>
        <w:rPr>
          <w:sz w:val="24"/>
        </w:rPr>
        <w:t xml:space="preserve">.    </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The Trust does not engage in any business or activity other than the Business.    Each Asset LLC and each Transferor do not engage in any business or activity other than as provided in Section 2.04 of the applicable Asset LLC Agreement or (if applicable) as permitted under the Transferor Constitutional Document.</w:t>
      </w:r>
    </w:p>
    <w:p>
      <w:pPr>
        <w:pStyle w:val="Normal"/>
        <w:bidi w:val="0"/>
        <w:spacing w:before="0" w:after="240"/>
        <w:jc w:val="both"/>
        <w:rPr>
          <w:sz w:val="24"/>
        </w:rPr>
      </w:pPr>
      <w:r>
        <w:rPr>
          <w:sz w:val="24"/>
        </w:rPr>
        <w:tab/>
        <w:t>(b)</w:t>
        <w:tab/>
        <w:t>The Trust, each Asset LLC and each Transferor has good title to or other valid right to use all its assets, including but not limited to the ownership of the Class B Interests by the Trust, to the extent required to conduct the Business.</w:t>
      </w:r>
    </w:p>
    <w:p>
      <w:pPr>
        <w:pStyle w:val="Normal"/>
        <w:keepNext w:val="true"/>
        <w:bidi w:val="0"/>
        <w:spacing w:before="0" w:after="240"/>
        <w:jc w:val="both"/>
        <w:rPr>
          <w:sz w:val="24"/>
        </w:rPr>
      </w:pPr>
      <w:r>
        <w:rPr>
          <w:sz w:val="24"/>
        </w:rPr>
        <w:tab/>
        <w:t>(c)</w:t>
        <w:tab/>
        <w:t>All licenses, consents and authorizations have been obtained which are necessary for the carrying on by the Trust of its Business and all such licenses, consents and authorizations are in full force and effect, and there are no circumstances known to the Trust which indicate that any of such licenses, consents and authorizations is reasonably likely to be revoked or varied or amended in whole or in part, except to the extent that the absence, non</w:t>
        <w:noBreakHyphen/>
        <w:t>effectiveness, revocation, variation or amendment of any such license, consent or authorization would not have, and would not be reasonably likely to have, a Material Adverse Effect.</w:t>
      </w:r>
    </w:p>
    <w:p>
      <w:pPr>
        <w:pStyle w:val="Normal"/>
        <w:keepLines/>
        <w:bidi w:val="0"/>
        <w:jc w:val="both"/>
        <w:rPr>
          <w:sz w:val="24"/>
        </w:rPr>
      </w:pPr>
      <w:r>
        <w:rPr>
          <w:sz w:val="24"/>
        </w:rPr>
        <w:tab/>
      </w:r>
      <w:r>
        <w:fldChar w:fldCharType="begin"/>
      </w:r>
      <w:r>
        <w:rPr>
          <w:sz w:val="24"/>
        </w:rPr>
        <w:instrText xml:space="preserve"> TC "Section  11.13   Tax Liabilities " \l 1 </w:instrText>
      </w:r>
      <w:r>
        <w:rPr>
          <w:sz w:val="24"/>
        </w:rPr>
        <w:fldChar w:fldCharType="separate"/>
      </w:r>
      <w:r>
        <w:rPr>
          <w:sz w:val="24"/>
        </w:rPr>
      </w:r>
      <w:r>
        <w:rPr>
          <w:sz w:val="24"/>
        </w:rPr>
        <w:fldChar w:fldCharType="end"/>
      </w:r>
      <w:r>
        <w:rPr>
          <w:sz w:val="24"/>
        </w:rPr>
        <w:t>.    No claims are being or are reasonably likely to be asserted against the Trust with respect to Taxes which would be reasonably likely to have a Material Adverse Effect.    The Trust is not treated as an association taxable as a separate corporation pursuant to the Code or any regulation thereunder or under any similar state tax code or regulation.</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11.14   Solvency " \l 1 </w:instrText>
      </w:r>
      <w:r>
        <w:rPr>
          <w:sz w:val="24"/>
        </w:rPr>
        <w:fldChar w:fldCharType="separate"/>
      </w:r>
      <w:r>
        <w:rPr>
          <w:sz w:val="24"/>
        </w:rPr>
      </w:r>
      <w:r>
        <w:rPr>
          <w:sz w:val="24"/>
        </w:rPr>
        <w:fldChar w:fldCharType="end"/>
      </w:r>
      <w:r>
        <w:rPr>
          <w:sz w:val="24"/>
        </w:rPr>
        <w:t>.    As of each applicable Drawdown Date, each of the Trust, the Asset LLCs and the Transferors will be solvent within the definition of any law applicable to it which requires as a condition to the validity (and/or non</w:t>
        <w:noBreakHyphen/>
        <w:t>avoidability) of financial obligations undertaken by it that it be solvent.</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11.15   Indebtedness " \l 1 </w:instrText>
      </w:r>
      <w:r>
        <w:rPr>
          <w:sz w:val="24"/>
        </w:rPr>
        <w:fldChar w:fldCharType="separate"/>
      </w:r>
      <w:r>
        <w:rPr>
          <w:sz w:val="24"/>
        </w:rPr>
      </w:r>
      <w:r>
        <w:rPr>
          <w:sz w:val="24"/>
        </w:rPr>
        <w:fldChar w:fldCharType="end"/>
      </w:r>
      <w:r>
        <w:rPr>
          <w:sz w:val="24"/>
        </w:rPr>
        <w:t>.    The Trust, the Asset LLCs and the Transferors    have not incurred and have not suffered to exist any material Indebtedness other than pursuant to this Agreement and the other Finance Documents.</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11.16   Margin Stock " \l 1 </w:instrText>
      </w:r>
      <w:r>
        <w:rPr>
          <w:sz w:val="24"/>
        </w:rPr>
        <w:fldChar w:fldCharType="separate"/>
      </w:r>
      <w:r>
        <w:rPr>
          <w:sz w:val="24"/>
        </w:rPr>
      </w:r>
      <w:r>
        <w:rPr>
          <w:sz w:val="24"/>
        </w:rPr>
        <w:fldChar w:fldCharType="end"/>
      </w:r>
      <w:r>
        <w:rPr>
          <w:sz w:val="24"/>
        </w:rPr>
        <w:t>.    None of the Trust, the Asset LLCs or the Transferors is engaged principally, or as one of its important activities, in the business of extending credit for the purpose of purchasing or carrying any Margin Stock.</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11.17   Investment Company Act and PUHCA " \l 1 </w:instrText>
      </w:r>
      <w:r>
        <w:rPr>
          <w:sz w:val="24"/>
        </w:rPr>
        <w:fldChar w:fldCharType="separate"/>
      </w:r>
      <w:r>
        <w:rPr>
          <w:sz w:val="24"/>
        </w:rPr>
      </w:r>
      <w:r>
        <w:rPr>
          <w:sz w:val="24"/>
        </w:rPr>
        <w:fldChar w:fldCharType="end"/>
      </w:r>
      <w:r>
        <w:rPr>
          <w:sz w:val="24"/>
        </w:rPr>
        <w:t xml:space="preserve">.    (A) None of the Trust, the Asset LLCs or the Transferors is an “investment company” or company “controlled” by an “investment company” within the meaning of the Investment Company Act.    (B) The Trust, the Asset LLCs and the Transferors are exempt from, or are not subject to, regulation as a “holding company” or a “subsidiary company” of a “holding company,” in each case as such term is defined in the Public Utility Holding Company Act of 1935, as amended. </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XIICOVENANTS"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12.1   Duration " \l 1 </w:instrText>
      </w:r>
      <w:r>
        <w:rPr>
          <w:sz w:val="24"/>
        </w:rPr>
        <w:fldChar w:fldCharType="separate"/>
      </w:r>
      <w:r>
        <w:rPr>
          <w:sz w:val="24"/>
        </w:rPr>
      </w:r>
      <w:r>
        <w:rPr>
          <w:sz w:val="24"/>
        </w:rPr>
        <w:fldChar w:fldCharType="end"/>
      </w:r>
      <w:r>
        <w:rPr>
          <w:sz w:val="24"/>
        </w:rPr>
        <w:t>.    The Trust covenants and agrees with each of the Finance Parties to perform and observe Sections 12.2 through 12.5 (inclusive), all such covenants to continue until the Notes have finally been paid in full and no Finance Party has any obligation to lend or pay amounts hereunder, unless in any case the Agent (acting on the instructions of the Majority Lenders) agrees otherwise.    All covenants set forth in this Article XII are cumulative such that, if more than one set of such covenants are given by the Trust, the Trust shall be bound by the aggregate of all restrictions set forth in the covenants given by it.</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12.2   General Covenants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r>
      <w:r>
        <w:rPr>
          <w:sz w:val="24"/>
          <w:u w:val="single"/>
        </w:rPr>
        <w:t>Business of the Trust; Indebtedness</w:t>
      </w:r>
      <w:r>
        <w:rPr>
          <w:sz w:val="24"/>
        </w:rPr>
        <w:t>.    The Trust will not engage in any business or activity other than the Business.    In furtherance and not in limitation of the foregoing, the Trust shall not incur or suffer to exist any Indebtedness other than pursuant to this Agreement or the other Finance Documents.</w:t>
      </w:r>
    </w:p>
    <w:p>
      <w:pPr>
        <w:pStyle w:val="Normal"/>
        <w:bidi w:val="0"/>
        <w:spacing w:before="0" w:after="240"/>
        <w:jc w:val="both"/>
        <w:rPr>
          <w:sz w:val="24"/>
        </w:rPr>
      </w:pPr>
      <w:r>
        <w:rPr>
          <w:sz w:val="24"/>
        </w:rPr>
        <w:tab/>
        <w:t>(b)</w:t>
        <w:tab/>
      </w:r>
      <w:r>
        <w:rPr>
          <w:sz w:val="24"/>
          <w:u w:val="single"/>
        </w:rPr>
        <w:t>Ownership of the Class B Interests; No Modification to Certain Agreements</w:t>
      </w:r>
      <w:r>
        <w:rPr>
          <w:sz w:val="24"/>
        </w:rPr>
        <w:t xml:space="preserve">.    The Trust will at all times own beneficially and of record the Class B Interests, and will not transfer any    Class B Interest except as contemplated by the Finance Documents or Section 3.03(b)(B) of the    applicable Asset LLC Agreement.    It will not agree to any amendment (material or otherwise) to Section 2.03 of the Trust Agreement or to any material amendment, waiver or other modification of the Trust Agreement, </w:t>
      </w:r>
      <w:ins w:id="675" w:author="">
        <w:r>
          <w:rPr>
            <w:strike/>
            <w:sz w:val="24"/>
          </w:rPr>
          <w:t>the</w:t>
        </w:r>
      </w:ins>
      <w:r>
        <w:rPr>
          <w:sz w:val="24"/>
        </w:rPr>
        <w:t xml:space="preserve"> </w:t>
      </w:r>
      <w:ins w:id="676" w:author="">
        <w:r>
          <w:rPr>
            <w:b/>
            <w:sz w:val="24"/>
            <w:u w:val="double"/>
          </w:rPr>
          <w:t>any</w:t>
        </w:r>
      </w:ins>
      <w:r>
        <w:rPr>
          <w:sz w:val="24"/>
        </w:rPr>
        <w:t xml:space="preserve"> Asset LLC </w:t>
      </w:r>
      <w:ins w:id="677" w:author="">
        <w:r>
          <w:rPr>
            <w:strike/>
            <w:sz w:val="24"/>
          </w:rPr>
          <w:t>Agreements, the Sale</w:t>
        </w:r>
      </w:ins>
      <w:r>
        <w:rPr>
          <w:sz w:val="24"/>
        </w:rPr>
        <w:t xml:space="preserve"> </w:t>
      </w:r>
      <w:ins w:id="678" w:author="">
        <w:r>
          <w:rPr>
            <w:b/>
            <w:sz w:val="24"/>
            <w:u w:val="double"/>
          </w:rPr>
          <w:t>Agreement, any Transfer</w:t>
        </w:r>
      </w:ins>
      <w:r>
        <w:rPr>
          <w:sz w:val="24"/>
        </w:rPr>
        <w:t xml:space="preserve"> and Auction </w:t>
      </w:r>
      <w:ins w:id="679" w:author="">
        <w:r>
          <w:rPr>
            <w:strike/>
            <w:sz w:val="24"/>
          </w:rPr>
          <w:t>Agreements, the</w:t>
        </w:r>
      </w:ins>
      <w:r>
        <w:rPr>
          <w:sz w:val="24"/>
        </w:rPr>
        <w:t xml:space="preserve"> </w:t>
      </w:r>
      <w:ins w:id="680" w:author="">
        <w:r>
          <w:rPr>
            <w:b/>
            <w:sz w:val="24"/>
            <w:u w:val="double"/>
          </w:rPr>
          <w:t>Agreement, any</w:t>
        </w:r>
      </w:ins>
      <w:r>
        <w:rPr>
          <w:sz w:val="24"/>
        </w:rPr>
        <w:t xml:space="preserve"> Total Return Swap Agreement </w:t>
      </w:r>
      <w:ins w:id="681" w:author="">
        <w:r>
          <w:rPr>
            <w:strike/>
            <w:sz w:val="24"/>
          </w:rPr>
          <w:t>or</w:t>
        </w:r>
      </w:ins>
      <w:ins w:id="682" w:author="">
        <w:r>
          <w:rPr>
            <w:b/>
            <w:sz w:val="24"/>
            <w:u w:val="double"/>
          </w:rPr>
          <w:t>, the Enron Guaranty,</w:t>
        </w:r>
      </w:ins>
      <w:r>
        <w:rPr>
          <w:sz w:val="24"/>
        </w:rPr>
        <w:t xml:space="preserve"> the Reimbursement and Disclosure Agreement</w:t>
      </w:r>
      <w:ins w:id="683" w:author="">
        <w:r>
          <w:rPr>
            <w:b/>
            <w:sz w:val="24"/>
            <w:u w:val="double"/>
          </w:rPr>
          <w:t>, any Put Option Assignment or any Demand Note Assignment</w:t>
        </w:r>
      </w:ins>
      <w:r>
        <w:rPr>
          <w:sz w:val="24"/>
        </w:rPr>
        <w:t xml:space="preserve"> without the prior written consent of the Majority Lenders (or, if required by Section 24.1, all of the Lenders) and shall, if requested by the Majority Lenders (or, if required by Section 24.1, all of the Lenders), enforce all of its rights under the Operative Documents, provided that any Asset LLC Agreement or </w:t>
      </w:r>
      <w:ins w:id="684" w:author="">
        <w:r>
          <w:rPr>
            <w:strike/>
            <w:sz w:val="24"/>
          </w:rPr>
          <w:t>Sale</w:t>
        </w:r>
      </w:ins>
      <w:r>
        <w:rPr>
          <w:sz w:val="24"/>
        </w:rPr>
        <w:t xml:space="preserve"> </w:t>
      </w:r>
      <w:ins w:id="685" w:author="">
        <w:r>
          <w:rPr>
            <w:b/>
            <w:sz w:val="24"/>
            <w:u w:val="double"/>
          </w:rPr>
          <w:t>Transfer</w:t>
        </w:r>
      </w:ins>
      <w:r>
        <w:rPr>
          <w:sz w:val="24"/>
        </w:rPr>
        <w:t xml:space="preserve"> and Auction Agreement may be amended, waived, modified or terminated at any time without the consent of the Lenders after all principal, interest and all other amounts payable to the Lenders by the Trust with respect to the Tranche drawn down to fund the </w:t>
      </w:r>
      <w:ins w:id="686" w:author="">
        <w:r>
          <w:rPr>
            <w:strike/>
            <w:sz w:val="24"/>
          </w:rPr>
          <w:t>purchase</w:t>
        </w:r>
      </w:ins>
      <w:r>
        <w:rPr>
          <w:sz w:val="24"/>
        </w:rPr>
        <w:t xml:space="preserve"> </w:t>
      </w:r>
      <w:ins w:id="687" w:author="">
        <w:r>
          <w:rPr>
            <w:b/>
            <w:sz w:val="24"/>
            <w:u w:val="double"/>
          </w:rPr>
          <w:t>acquisition</w:t>
        </w:r>
      </w:ins>
      <w:r>
        <w:rPr>
          <w:sz w:val="24"/>
        </w:rPr>
        <w:t xml:space="preserve"> of the applicable Class B Interest have been paid in full.</w:t>
      </w:r>
    </w:p>
    <w:p>
      <w:pPr>
        <w:pStyle w:val="Normal"/>
        <w:bidi w:val="0"/>
        <w:spacing w:before="0" w:after="240"/>
        <w:jc w:val="both"/>
        <w:rPr>
          <w:sz w:val="24"/>
        </w:rPr>
      </w:pPr>
      <w:r>
        <w:rPr>
          <w:sz w:val="24"/>
        </w:rPr>
        <w:tab/>
        <w:t>(c)</w:t>
        <w:tab/>
      </w:r>
      <w:r>
        <w:rPr>
          <w:sz w:val="24"/>
          <w:u w:val="single"/>
        </w:rPr>
        <w:t>Use of Proceeds</w:t>
      </w:r>
      <w:r>
        <w:rPr>
          <w:sz w:val="24"/>
        </w:rPr>
        <w:t>.    The Trust will use the proceeds of the Advances only for the purposes specified in Section 2.2(b).</w:t>
      </w:r>
    </w:p>
    <w:p>
      <w:pPr>
        <w:pStyle w:val="Normal"/>
        <w:bidi w:val="0"/>
        <w:spacing w:before="0" w:after="240"/>
        <w:jc w:val="both"/>
        <w:rPr>
          <w:sz w:val="24"/>
        </w:rPr>
      </w:pPr>
      <w:r>
        <w:rPr>
          <w:sz w:val="24"/>
        </w:rPr>
        <w:tab/>
        <w:t>(d)</w:t>
        <w:tab/>
      </w:r>
      <w:r>
        <w:rPr>
          <w:sz w:val="24"/>
          <w:u w:val="single"/>
        </w:rPr>
        <w:t>Authorizations and Consents</w:t>
      </w:r>
      <w:r>
        <w:rPr>
          <w:sz w:val="24"/>
        </w:rPr>
        <w:t>.    The Trust will obtain and promptly renew from time to time and maintain in full force and effect all such authorizations, approvals, consents, licenses and exemptions, and promptly make and renew from time to time all such filings and registrations, as may be required under any applicable law or regulation (i) to enable it to perform its obligations under each of the Operative Documents to which it is a party and (ii) for the validity and enforceability thereof, subject to the Reservations.</w:t>
      </w:r>
    </w:p>
    <w:p>
      <w:pPr>
        <w:pStyle w:val="Normal"/>
        <w:bidi w:val="0"/>
        <w:spacing w:before="0" w:after="240"/>
        <w:jc w:val="both"/>
        <w:rPr>
          <w:sz w:val="24"/>
        </w:rPr>
      </w:pPr>
      <w:r>
        <w:rPr>
          <w:sz w:val="24"/>
        </w:rPr>
        <w:tab/>
        <w:t>(e)</w:t>
        <w:tab/>
      </w:r>
      <w:r>
        <w:rPr>
          <w:sz w:val="24"/>
          <w:u w:val="single"/>
        </w:rPr>
        <w:t>Maintenance of Status and Authorizations; Title to Assets</w:t>
      </w:r>
      <w:r>
        <w:rPr>
          <w:sz w:val="24"/>
        </w:rPr>
        <w:t>.    The Trust will:</w:t>
      </w:r>
    </w:p>
    <w:p>
      <w:pPr>
        <w:pStyle w:val="Normal"/>
        <w:bidi w:val="0"/>
        <w:spacing w:before="0" w:after="240"/>
        <w:ind w:hanging="0" w:start="720"/>
        <w:jc w:val="both"/>
        <w:rPr>
          <w:sz w:val="24"/>
        </w:rPr>
      </w:pPr>
      <w:r>
        <w:rPr>
          <w:sz w:val="24"/>
        </w:rPr>
        <w:tab/>
        <w:t>(i)</w:t>
        <w:tab/>
        <w:t>do all such things as are necessary to maintain its legal existence;</w:t>
      </w:r>
    </w:p>
    <w:p>
      <w:pPr>
        <w:pStyle w:val="Normal"/>
        <w:bidi w:val="0"/>
        <w:spacing w:before="0" w:after="240"/>
        <w:ind w:hanging="0" w:start="720"/>
        <w:jc w:val="both"/>
        <w:rPr>
          <w:sz w:val="24"/>
        </w:rPr>
      </w:pPr>
      <w:r>
        <w:rPr>
          <w:sz w:val="24"/>
        </w:rPr>
        <w:tab/>
        <w:t>(ii)</w:t>
        <w:tab/>
        <w:t>ensure that it has the right and is duly qualified to conduct its business as conducted in all applicable jurisdictions, and obtain and maintain all licenses, consents, authorizations, franchises, intellectual property and other rights necessary for the preservation and operation of such businesses in all material respects, except to the extent that the absence of any such right or qualification, or the non</w:t>
        <w:noBreakHyphen/>
        <w:t>existence or non</w:t>
        <w:noBreakHyphen/>
        <w:t>maintenance of such licenses, consents, authorizations, franchises, property or rights, would not have, and would not be reasonably likely to have, a Material Adverse Effect; and</w:t>
      </w:r>
    </w:p>
    <w:p>
      <w:pPr>
        <w:pStyle w:val="Normal"/>
        <w:bidi w:val="0"/>
        <w:spacing w:before="0" w:after="240"/>
        <w:ind w:hanging="0" w:start="720"/>
        <w:jc w:val="both"/>
        <w:rPr>
          <w:sz w:val="24"/>
        </w:rPr>
      </w:pPr>
      <w:r>
        <w:rPr>
          <w:sz w:val="24"/>
        </w:rPr>
        <w:tab/>
        <w:t>(iii)</w:t>
        <w:tab/>
        <w:t>comply in all material respects with all laws, regulations, judgments, orders, licenses, permits or consents binding upon it, except where    non</w:t>
        <w:noBreakHyphen/>
        <w:softHyphen/>
        <w:t>compliance would not have, and would not be reasonably likely to have, a Material Adverse Effect.</w:t>
      </w:r>
    </w:p>
    <w:p>
      <w:pPr>
        <w:pStyle w:val="Normal"/>
        <w:bidi w:val="0"/>
        <w:spacing w:before="0" w:after="240"/>
        <w:jc w:val="both"/>
        <w:rPr>
          <w:sz w:val="24"/>
        </w:rPr>
      </w:pPr>
      <w:r>
        <w:rPr>
          <w:sz w:val="24"/>
        </w:rPr>
        <w:tab/>
        <w:t>(f)</w:t>
        <w:tab/>
      </w:r>
      <w:r>
        <w:rPr>
          <w:sz w:val="24"/>
          <w:u w:val="single"/>
        </w:rPr>
        <w:t>Taxes</w:t>
      </w:r>
      <w:r>
        <w:rPr>
          <w:sz w:val="24"/>
        </w:rPr>
        <w:t>.    The Trust will pay within any permitted period all material Taxes imposed upon the Trust or any of its assets, income or profits or any transactions undertaken or entered into by it (other than such Taxes as are being contested in good faith by appropriate proceedings, in respect of which Taxes there shall be set aside adequate reserves in accordance with GAAP).</w:t>
      </w:r>
    </w:p>
    <w:p>
      <w:pPr>
        <w:pStyle w:val="Normal"/>
        <w:bidi w:val="0"/>
        <w:spacing w:before="0" w:after="240"/>
        <w:jc w:val="both"/>
        <w:rPr>
          <w:sz w:val="24"/>
        </w:rPr>
      </w:pPr>
      <w:r>
        <w:rPr>
          <w:sz w:val="24"/>
        </w:rPr>
        <w:tab/>
        <w:t>(g)</w:t>
        <w:tab/>
      </w:r>
      <w:r>
        <w:rPr>
          <w:sz w:val="24"/>
          <w:u w:val="single"/>
        </w:rPr>
        <w:t>Dispositions</w:t>
      </w:r>
      <w:r>
        <w:rPr>
          <w:sz w:val="24"/>
        </w:rPr>
        <w:t>.    The Trust will not (whether by a single transaction or a number of related or unrelated transactions and whether at the same time or over a period of time) sell, transfer or otherwise dispose of any of its assets (including the Class B Interests and shares of the capital stock of any other Person, or if such Person is not an incorporated entity, other ownership interests therein, and the coverage of this undertaking is to be deemed to include any transaction the effect of which would be to reduce the percentage of any class of shares or interests in any Person held directly or indirectly by the Trust) or all or any part of its undertakings, assets or revenues or any interest therein, other than pursuant to a disposition contemplated and permitted by this Agreement, Article 3 of the Asset LLC Agreement, Section 2.03 of the Trust Agreement or pursuant to a Put Option Agreement.</w:t>
      </w:r>
    </w:p>
    <w:p>
      <w:pPr>
        <w:pStyle w:val="Normal"/>
        <w:bidi w:val="0"/>
        <w:spacing w:before="0" w:after="240"/>
        <w:jc w:val="both"/>
        <w:rPr>
          <w:sz w:val="24"/>
        </w:rPr>
      </w:pPr>
      <w:r>
        <w:rPr>
          <w:sz w:val="24"/>
        </w:rPr>
        <w:tab/>
        <w:t>(h)</w:t>
        <w:tab/>
      </w:r>
      <w:r>
        <w:rPr>
          <w:sz w:val="24"/>
          <w:u w:val="single"/>
        </w:rPr>
        <w:t>Merger, Consolidation, Etc.</w:t>
      </w:r>
      <w:r>
        <w:rPr>
          <w:sz w:val="24"/>
        </w:rPr>
        <w:t>    The Trust will not merge or consolidate with any other Person (whether by winding</w:t>
        <w:noBreakHyphen/>
        <w:t>up, dissolution or other means).</w:t>
      </w:r>
    </w:p>
    <w:p>
      <w:pPr>
        <w:pStyle w:val="Normal"/>
        <w:bidi w:val="0"/>
        <w:spacing w:before="0" w:after="240"/>
        <w:jc w:val="both"/>
        <w:rPr>
          <w:sz w:val="24"/>
        </w:rPr>
      </w:pPr>
      <w:r>
        <w:rPr>
          <w:sz w:val="24"/>
        </w:rPr>
        <w:tab/>
        <w:t>(i)</w:t>
        <w:tab/>
      </w:r>
      <w:r>
        <w:rPr>
          <w:sz w:val="24"/>
          <w:u w:val="single"/>
        </w:rPr>
        <w:t>Negative Pledge; Absence of Other Negative Pledges</w:t>
      </w:r>
      <w:r>
        <w:rPr>
          <w:sz w:val="24"/>
        </w:rPr>
        <w:t>.</w:t>
      </w:r>
    </w:p>
    <w:p>
      <w:pPr>
        <w:pStyle w:val="Normal"/>
        <w:bidi w:val="0"/>
        <w:spacing w:before="0" w:after="240"/>
        <w:ind w:hanging="0" w:start="720"/>
        <w:jc w:val="both"/>
        <w:rPr>
          <w:sz w:val="24"/>
        </w:rPr>
      </w:pPr>
      <w:r>
        <w:rPr>
          <w:sz w:val="24"/>
        </w:rPr>
        <w:tab/>
        <w:t>(i)</w:t>
        <w:tab/>
        <w:t>The Trust will not create or have outstanding any Lien on or over its assets, except as contemplated and permitted by the Operative Documents and for Liens for Taxes being contested in good faith pursuant to Section 12.2(f).</w:t>
      </w:r>
    </w:p>
    <w:p>
      <w:pPr>
        <w:pStyle w:val="Normal"/>
        <w:bidi w:val="0"/>
        <w:spacing w:before="0" w:after="240"/>
        <w:ind w:hanging="0" w:start="720"/>
        <w:jc w:val="both"/>
        <w:rPr>
          <w:sz w:val="24"/>
        </w:rPr>
      </w:pPr>
      <w:r>
        <w:rPr>
          <w:sz w:val="24"/>
        </w:rPr>
        <w:tab/>
        <w:t>(ii)</w:t>
        <w:tab/>
        <w:t>The Trust will not covenant for the benefit of any Person, other than the Lenders pursuant to the Finance Documents, to refrain from granting for the purpose of securing Indebtedness, Liens on all or any portion of its assets or properties, including the Class B Interests.</w:t>
      </w:r>
    </w:p>
    <w:p>
      <w:pPr>
        <w:pStyle w:val="Normal"/>
        <w:bidi w:val="0"/>
        <w:spacing w:before="0" w:after="240"/>
        <w:jc w:val="both"/>
        <w:rPr>
          <w:sz w:val="24"/>
        </w:rPr>
      </w:pPr>
      <w:r>
        <w:rPr>
          <w:sz w:val="24"/>
        </w:rPr>
        <w:tab/>
        <w:t>(j)</w:t>
        <w:tab/>
      </w:r>
      <w:r>
        <w:rPr>
          <w:sz w:val="24"/>
          <w:u w:val="single"/>
        </w:rPr>
        <w:t>Loans, Etc.</w:t>
      </w:r>
      <w:r>
        <w:rPr>
          <w:sz w:val="24"/>
        </w:rPr>
        <w:t>    The Trust will not make or permit to be outstanding any loans or grant any credit to any Person, except as expressly permitted under the Finance Documents.</w:t>
      </w:r>
    </w:p>
    <w:p>
      <w:pPr>
        <w:pStyle w:val="Normal"/>
        <w:bidi w:val="0"/>
        <w:spacing w:before="0" w:after="240"/>
        <w:jc w:val="both"/>
        <w:rPr>
          <w:sz w:val="24"/>
        </w:rPr>
      </w:pPr>
      <w:r>
        <w:rPr>
          <w:sz w:val="24"/>
        </w:rPr>
        <w:tab/>
        <w:t>(k)</w:t>
        <w:tab/>
      </w:r>
      <w:r>
        <w:rPr>
          <w:sz w:val="24"/>
          <w:u w:val="single"/>
        </w:rPr>
        <w:t>Acquisitions of Subsidiaries or Businesses</w:t>
      </w:r>
      <w:r>
        <w:rPr>
          <w:sz w:val="24"/>
        </w:rPr>
        <w:t>.    The Trust will not acquire (i) any Subsidiary or (ii) any business, or enter into any agreement under which it may be or become bound to acquire any such subsidiary, shares or business other than as contemplated by Section 2.03 of the Trust Agreement.</w:t>
      </w:r>
    </w:p>
    <w:p>
      <w:pPr>
        <w:pStyle w:val="Normal"/>
        <w:bidi w:val="0"/>
        <w:spacing w:before="0" w:after="240"/>
        <w:jc w:val="both"/>
        <w:rPr>
          <w:sz w:val="24"/>
        </w:rPr>
      </w:pPr>
      <w:r>
        <w:rPr>
          <w:sz w:val="24"/>
        </w:rPr>
        <w:tab/>
        <w:t>(l)</w:t>
        <w:tab/>
      </w:r>
      <w:r>
        <w:rPr>
          <w:sz w:val="24"/>
          <w:u w:val="single"/>
        </w:rPr>
        <w:t>Restriction on Payments and Distributions</w:t>
      </w:r>
      <w:r>
        <w:rPr>
          <w:sz w:val="24"/>
        </w:rPr>
        <w:t>.    The Trust will not make any payments or distributions to the Certificate Holders or to the Transferors other than as provided in the Trust Agreement.</w:t>
      </w:r>
    </w:p>
    <w:p>
      <w:pPr>
        <w:pStyle w:val="Normal"/>
        <w:keepNext w:val="true"/>
        <w:bidi w:val="0"/>
        <w:spacing w:before="0" w:after="240"/>
        <w:jc w:val="both"/>
        <w:rPr>
          <w:sz w:val="24"/>
        </w:rPr>
      </w:pPr>
      <w:r>
        <w:rPr>
          <w:sz w:val="24"/>
        </w:rPr>
        <w:tab/>
        <w:t>(m)</w:t>
        <w:tab/>
      </w:r>
      <w:r>
        <w:rPr>
          <w:sz w:val="24"/>
          <w:u w:val="single"/>
        </w:rPr>
        <w:t>Investments</w:t>
      </w:r>
      <w:r>
        <w:rPr>
          <w:sz w:val="24"/>
        </w:rPr>
        <w:t>.    The Trust will not own any interest in any share, equity related investment or investment security other than Permitted Investments and the Class B Interests.</w:t>
      </w:r>
    </w:p>
    <w:p>
      <w:pPr>
        <w:pStyle w:val="Normal"/>
        <w:keepNext w:val="true"/>
        <w:keepLines/>
        <w:bidi w:val="0"/>
        <w:jc w:val="both"/>
        <w:rPr>
          <w:sz w:val="24"/>
        </w:rPr>
      </w:pPr>
      <w:r>
        <w:rPr>
          <w:sz w:val="24"/>
        </w:rPr>
        <w:tab/>
      </w:r>
      <w:r>
        <w:fldChar w:fldCharType="begin"/>
      </w:r>
      <w:r>
        <w:rPr>
          <w:sz w:val="24"/>
        </w:rPr>
        <w:instrText xml:space="preserve"> TC "Section  12.3   Information Covenants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r>
      <w:r>
        <w:rPr>
          <w:sz w:val="24"/>
          <w:u w:val="single"/>
        </w:rPr>
        <w:t>Notice of Defaults</w:t>
      </w:r>
      <w:r>
        <w:rPr>
          <w:sz w:val="24"/>
        </w:rPr>
        <w:t>.    The Trust will notify the Agent in writing of the occurrence of any Event of Default or Default promptly upon becoming aware of it and will from time to time on reasonable request deliver to the Agent a certificate confirming that no Event of Default or Default has occurred or setting out details of any Event of Default or Default and the action taken or proposed to be taken to remedy it.</w:t>
      </w:r>
    </w:p>
    <w:p>
      <w:pPr>
        <w:pStyle w:val="Normal"/>
        <w:bidi w:val="0"/>
        <w:spacing w:before="0" w:after="240"/>
        <w:jc w:val="both"/>
        <w:rPr>
          <w:sz w:val="24"/>
        </w:rPr>
      </w:pPr>
      <w:r>
        <w:rPr>
          <w:sz w:val="24"/>
        </w:rPr>
        <w:tab/>
        <w:t>(b)</w:t>
        <w:tab/>
      </w:r>
      <w:r>
        <w:rPr>
          <w:sz w:val="24"/>
          <w:u w:val="single"/>
        </w:rPr>
        <w:t>Other Information</w:t>
      </w:r>
      <w:r>
        <w:rPr>
          <w:sz w:val="24"/>
        </w:rPr>
        <w:t>.    The Trust will promptly deliver (or cause to be delivered) to the Agent for distribution to the Lenders:</w:t>
      </w:r>
    </w:p>
    <w:p>
      <w:pPr>
        <w:pStyle w:val="Normal"/>
        <w:bidi w:val="0"/>
        <w:spacing w:before="0" w:after="240"/>
        <w:ind w:hanging="0" w:start="720"/>
        <w:jc w:val="both"/>
        <w:rPr>
          <w:sz w:val="24"/>
        </w:rPr>
      </w:pPr>
      <w:r>
        <w:rPr>
          <w:sz w:val="24"/>
        </w:rPr>
        <w:tab/>
        <w:t>(i)</w:t>
        <w:tab/>
        <w:t>its annual unaudited financial statements within 135 days of the dates thereof, quarterly unaudited financial statements within 75 days of the end of each calendar quarter and such information relating to it or the Class B Interests as the Agent (or any Lender acting through the Agent) may from time to time reasonably require (subject to any confidentiality requirements set forth in any other applicable documents or agreements);</w:t>
      </w:r>
    </w:p>
    <w:p>
      <w:pPr>
        <w:pStyle w:val="Normal"/>
        <w:keepNext w:val="true"/>
        <w:bidi w:val="0"/>
        <w:spacing w:before="0" w:after="240"/>
        <w:ind w:hanging="0" w:start="720"/>
        <w:jc w:val="both"/>
        <w:rPr>
          <w:sz w:val="24"/>
        </w:rPr>
      </w:pPr>
      <w:r>
        <w:rPr>
          <w:sz w:val="24"/>
        </w:rPr>
        <w:tab/>
        <w:t>(ii)</w:t>
        <w:tab/>
        <w:t>details of any occurrence or circumstance which will materially and adversely affect the ability of the Trust to perform any of its material payment obligations under any of the Operative Documents.</w:t>
      </w:r>
    </w:p>
    <w:p>
      <w:pPr>
        <w:pStyle w:val="Normal"/>
        <w:keepNext w:val="true"/>
        <w:keepLines/>
        <w:bidi w:val="0"/>
        <w:jc w:val="both"/>
        <w:rPr>
          <w:sz w:val="24"/>
        </w:rPr>
      </w:pPr>
      <w:r>
        <w:rPr>
          <w:sz w:val="24"/>
        </w:rPr>
        <w:tab/>
      </w:r>
      <w:r>
        <w:fldChar w:fldCharType="begin"/>
      </w:r>
      <w:r>
        <w:rPr>
          <w:sz w:val="24"/>
        </w:rPr>
        <w:instrText xml:space="preserve"> TC "Section  12.4   Separateness " \l 1 </w:instrText>
      </w:r>
      <w:r>
        <w:rPr>
          <w:sz w:val="24"/>
        </w:rPr>
        <w:fldChar w:fldCharType="separate"/>
      </w:r>
      <w:r>
        <w:rPr>
          <w:sz w:val="24"/>
        </w:rPr>
      </w:r>
      <w:r>
        <w:rPr>
          <w:sz w:val="24"/>
        </w:rPr>
        <w:fldChar w:fldCharType="end"/>
      </w:r>
      <w:r>
        <w:rPr>
          <w:sz w:val="24"/>
        </w:rPr>
        <w:t>.    The Trust covenants and agrees as follows:</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 xml:space="preserve">The Trust shall maintain all of its books, records, financial statements and bank accounts separate from those of its affiliates and any constituent party.    The Trust shall maintain its books, records, resolutions and agreements as official records.    </w:t>
      </w:r>
    </w:p>
    <w:p>
      <w:pPr>
        <w:pStyle w:val="Normal"/>
        <w:bidi w:val="0"/>
        <w:spacing w:before="0" w:after="240"/>
        <w:jc w:val="both"/>
        <w:rPr>
          <w:sz w:val="24"/>
        </w:rPr>
      </w:pPr>
      <w:r>
        <w:rPr>
          <w:sz w:val="24"/>
        </w:rPr>
        <w:tab/>
        <w:t>(b)</w:t>
        <w:tab/>
        <w:t>The Trust shall at all times hold itself out to the public as a legal entity separate and distinct from any other entity (including any Affiliate of the Trust, any constituent party of the Trust, or any Affiliate of any constituent party), shall correct any known misunderstanding regarding its status as a separate entity, shall conduct business in its own name, shall not identify itself or any of its Affiliates as a division or part of the other and shall maintain and (if applicable) utilize a separate telephone number, if any, and separate stationery invoices and checks.</w:t>
      </w:r>
    </w:p>
    <w:p>
      <w:pPr>
        <w:pStyle w:val="Normal"/>
        <w:bidi w:val="0"/>
        <w:spacing w:before="0" w:after="240"/>
        <w:jc w:val="both"/>
        <w:rPr>
          <w:sz w:val="24"/>
        </w:rPr>
      </w:pPr>
      <w:r>
        <w:rPr>
          <w:sz w:val="24"/>
        </w:rPr>
        <w:tab/>
        <w:t>(c)</w:t>
        <w:tab/>
        <w:t>The Trust shall not commingle the funds and other assets of the Trust with those of any Affiliate or constituent party, or any Affiliate of any constituent party, or any other Person.</w:t>
      </w:r>
    </w:p>
    <w:p>
      <w:pPr>
        <w:pStyle w:val="Normal"/>
        <w:bidi w:val="0"/>
        <w:spacing w:before="0" w:after="240"/>
        <w:jc w:val="both"/>
        <w:rPr>
          <w:sz w:val="24"/>
        </w:rPr>
      </w:pPr>
      <w:r>
        <w:rPr>
          <w:sz w:val="24"/>
        </w:rPr>
        <w:tab/>
        <w:t>(d)</w:t>
        <w:tab/>
        <w:t>The Trust shall maintain its assets in such a manner that it will not be costly or difficult to segregate, ascertain or identify its individual assets from those of any Affiliate or constituent party, or any Affiliate of any constituent party, or any other Person.</w:t>
      </w:r>
    </w:p>
    <w:p>
      <w:pPr>
        <w:pStyle w:val="Normal"/>
        <w:keepNext w:val="true"/>
        <w:bidi w:val="0"/>
        <w:spacing w:before="0" w:after="240"/>
        <w:jc w:val="both"/>
        <w:rPr>
          <w:sz w:val="24"/>
        </w:rPr>
      </w:pPr>
      <w:r>
        <w:rPr>
          <w:sz w:val="24"/>
        </w:rPr>
        <w:tab/>
        <w:t>(e)</w:t>
        <w:tab/>
        <w:t>The Trust shall not hold itself out to be responsible for the debts or obligations of any other Person.</w:t>
      </w:r>
    </w:p>
    <w:p>
      <w:pPr>
        <w:pStyle w:val="Normal"/>
        <w:keepNext w:val="true"/>
        <w:keepLines/>
        <w:bidi w:val="0"/>
        <w:jc w:val="both"/>
        <w:rPr>
          <w:sz w:val="24"/>
        </w:rPr>
      </w:pPr>
      <w:r>
        <w:rPr>
          <w:sz w:val="24"/>
        </w:rPr>
        <w:tab/>
      </w:r>
      <w:r>
        <w:fldChar w:fldCharType="begin"/>
      </w:r>
      <w:r>
        <w:rPr>
          <w:sz w:val="24"/>
        </w:rPr>
        <w:instrText xml:space="preserve"> TC "Section  12.5   Exercise of Put Options; Demand Note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tab/>
      </w:r>
    </w:p>
    <w:p>
      <w:pPr>
        <w:pStyle w:val="Normal"/>
        <w:keepLines/>
        <w:bidi w:val="0"/>
        <w:jc w:val="both"/>
        <w:rPr>
          <w:sz w:val="24"/>
        </w:rPr>
      </w:pPr>
      <w:r>
        <w:rPr>
          <w:sz w:val="24"/>
        </w:rPr>
        <w:tab/>
        <w:t>The Trust shall (a) deliver Put Notices (if any) only in accordance with Section 24.1(f) hereof and Section 6.01</w:t>
      </w:r>
      <w:ins w:id="688" w:author="">
        <w:r>
          <w:rPr>
            <w:strike/>
            <w:sz w:val="24"/>
          </w:rPr>
          <w:t>(a)(ix)</w:t>
        </w:r>
      </w:ins>
      <w:ins w:id="689" w:author="">
        <w:r>
          <w:rPr>
            <w:b/>
            <w:sz w:val="24"/>
            <w:u w:val="double"/>
          </w:rPr>
          <w:t>(a)(ix)</w:t>
        </w:r>
      </w:ins>
      <w:r>
        <w:rPr>
          <w:sz w:val="24"/>
        </w:rPr>
        <w:t xml:space="preserve"> of the Trust Agreement and (b) exercise rights with respect to a Demand Note only in accordance with Section 24.1(f) hereof and Section 6.01</w:t>
      </w:r>
      <w:ins w:id="690" w:author="">
        <w:r>
          <w:rPr>
            <w:strike/>
            <w:sz w:val="24"/>
          </w:rPr>
          <w:t>(a)</w:t>
        </w:r>
      </w:ins>
      <w:ins w:id="691" w:author="">
        <w:r>
          <w:rPr>
            <w:b/>
            <w:sz w:val="24"/>
            <w:u w:val="double"/>
          </w:rPr>
          <w:t>(a)</w:t>
        </w:r>
      </w:ins>
      <w:r>
        <w:rPr>
          <w:sz w:val="24"/>
        </w:rPr>
        <w:t>(ix) of the Trust Agreement.</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XIIIEVENTS OF DEFAULT"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13.1   List of Events " \l 1 </w:instrText>
      </w:r>
      <w:r>
        <w:rPr>
          <w:sz w:val="24"/>
        </w:rPr>
        <w:fldChar w:fldCharType="separate"/>
      </w:r>
      <w:r>
        <w:rPr>
          <w:sz w:val="24"/>
        </w:rPr>
      </w:r>
      <w:r>
        <w:rPr>
          <w:sz w:val="24"/>
        </w:rPr>
        <w:fldChar w:fldCharType="end"/>
      </w:r>
      <w:r>
        <w:rPr>
          <w:sz w:val="24"/>
        </w:rPr>
        <w:t>.    Each of the events set out in this Section 13.1 constitutes an Event of Default whether or not the occurrence of the event concerned is outside the control of the Trust or any other Person.</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The Trust fails to pay on the due date any amount payable by it under any of the Finance Documents at the place at and in the currency in which it is expressed to be payable but, without affecting Section 25.1, such nonpayment shall not constitute an Event of Default if it is a nonpayment in respect of any amount other than the principal of the Notes and the relevant payment of such amount is received by the Agent within five Business Days after the due date for payment thereof.</w:t>
      </w:r>
    </w:p>
    <w:p>
      <w:pPr>
        <w:pStyle w:val="Normal"/>
        <w:bidi w:val="0"/>
        <w:spacing w:before="0" w:after="240"/>
        <w:jc w:val="both"/>
        <w:rPr>
          <w:sz w:val="24"/>
        </w:rPr>
      </w:pPr>
      <w:r>
        <w:rPr>
          <w:sz w:val="24"/>
        </w:rPr>
        <w:tab/>
        <w:t>(b)</w:t>
        <w:tab/>
        <w:t>Any party to the Operative Documents (other than a Finance Party) fails to comply with or perform any of its material obligations or undertakings thereunder and, if such failure is capable of remedy, it is not remedied within twenty Business Days after such relevant party becomes aware of such failure.</w:t>
      </w:r>
    </w:p>
    <w:p>
      <w:pPr>
        <w:pStyle w:val="Normal"/>
        <w:bidi w:val="0"/>
        <w:spacing w:before="0" w:after="240"/>
        <w:jc w:val="both"/>
        <w:rPr>
          <w:sz w:val="24"/>
        </w:rPr>
      </w:pPr>
      <w:r>
        <w:rPr>
          <w:sz w:val="24"/>
        </w:rPr>
        <w:tab/>
        <w:t>(c)</w:t>
        <w:tab/>
        <w:t>Any representation, warranty or statement in any of the Finance Documents or the Operative Documents which is made by any party to the Operative Documents (other than a Finance Party) or by the Trust as a party to any of the Operative Documents or as contained in any certificate, statement or notice provided under or pursuant to any of the Finance Documents or by the Trust as a party to any of the Operative Documents or by any other party to an Operative Document (except for the Finance Parties) proves to be incorrect in any material respect when made (or deemed to be repeated) unless the circumstances giving rise to that default are remediable and are remedied within twenty Business Days after such relevant party becoming aware of the same.</w:t>
      </w:r>
    </w:p>
    <w:p>
      <w:pPr>
        <w:pStyle w:val="Normal"/>
        <w:bidi w:val="0"/>
        <w:spacing w:before="0" w:after="240"/>
        <w:jc w:val="both"/>
        <w:rPr>
          <w:sz w:val="24"/>
        </w:rPr>
      </w:pPr>
      <w:r>
        <w:rPr>
          <w:sz w:val="24"/>
        </w:rPr>
        <w:tab/>
        <w:t>(d)</w:t>
        <w:tab/>
        <w:t>Any material provision of any Finance Document is, or becomes, invalid or unenforceable for any reason (except by reason of the unavailability of specific performance or other equitable remedy) or shall be repudiated or the validity or enforceability of any provision of any Finance Document shall at any time be contested by any party thereto (other than any Finance Party), or any such party shall deny the existence of any liability or obligation on its part thereunder.</w:t>
      </w:r>
    </w:p>
    <w:p>
      <w:pPr>
        <w:pStyle w:val="Normal"/>
        <w:bidi w:val="0"/>
        <w:spacing w:before="0" w:after="240"/>
        <w:jc w:val="both"/>
        <w:rPr>
          <w:sz w:val="24"/>
        </w:rPr>
      </w:pPr>
      <w:r>
        <w:rPr>
          <w:sz w:val="24"/>
        </w:rPr>
        <w:tab/>
        <w:t>(e)</w:t>
        <w:tab/>
        <w:t>At any time it is or becomes unlawful under the laws of any applicable jurisdiction for any party to the Finance Documents (other than any Finance Party) to perform any of its material obligations under any Finance Document.</w:t>
      </w:r>
    </w:p>
    <w:p>
      <w:pPr>
        <w:pStyle w:val="Normal"/>
        <w:bidi w:val="0"/>
        <w:spacing w:before="0" w:after="240"/>
        <w:jc w:val="both"/>
        <w:rPr>
          <w:sz w:val="24"/>
        </w:rPr>
      </w:pPr>
      <w:r>
        <w:rPr>
          <w:sz w:val="24"/>
        </w:rPr>
        <w:tab/>
        <w:t>(f)</w:t>
        <w:tab/>
        <w:t>At any time any act, condition or thing required to be done, fulfilled or performed in order (i) to enable any party to the Finance Documents (other than any Finance Party) lawfully to enter into, exercise its rights under and perform the material obligations expressed to be assumed by it in any of the Finance Documents or (ii) to ensure that the material obligations expressed to be assumed by any such party in any Finance Documents are legal, valid and binding, is not done, fulfilled or performed, and if the relevant matter is, in the reasonable opinion of the Agent, capable of remedy, it is not remedied within fourteen Business Days after the first of such party becomes aware of such matter.</w:t>
      </w:r>
    </w:p>
    <w:p>
      <w:pPr>
        <w:pStyle w:val="Normal"/>
        <w:bidi w:val="0"/>
        <w:spacing w:before="0" w:after="240"/>
        <w:jc w:val="both"/>
        <w:rPr>
          <w:sz w:val="24"/>
        </w:rPr>
      </w:pPr>
      <w:r>
        <w:rPr>
          <w:sz w:val="24"/>
        </w:rPr>
        <w:tab/>
        <w:t>(g)</w:t>
        <w:tab/>
        <w:t>Any party to the Finance Documents (other than any Finance Party) ceases, or threatens to cease, to carry on all or a substantial part of its business.</w:t>
      </w:r>
    </w:p>
    <w:p>
      <w:pPr>
        <w:pStyle w:val="Normal"/>
        <w:bidi w:val="0"/>
        <w:spacing w:before="0" w:after="240"/>
        <w:jc w:val="both"/>
        <w:rPr>
          <w:sz w:val="24"/>
        </w:rPr>
      </w:pPr>
      <w:r>
        <w:rPr>
          <w:sz w:val="24"/>
        </w:rPr>
        <w:tab/>
        <w:t>(h)</w:t>
        <w:tab/>
        <w:t xml:space="preserve">There shall occur a designation of an Early Termination Date under (and as defined in) </w:t>
      </w:r>
      <w:ins w:id="692" w:author="">
        <w:r>
          <w:rPr>
            <w:strike/>
            <w:sz w:val="24"/>
          </w:rPr>
          <w:t>the</w:t>
        </w:r>
      </w:ins>
      <w:r>
        <w:rPr>
          <w:sz w:val="24"/>
        </w:rPr>
        <w:t xml:space="preserve"> </w:t>
      </w:r>
      <w:ins w:id="693" w:author="">
        <w:r>
          <w:rPr>
            <w:b/>
            <w:sz w:val="24"/>
            <w:u w:val="double"/>
          </w:rPr>
          <w:t>any</w:t>
        </w:r>
      </w:ins>
      <w:r>
        <w:rPr>
          <w:sz w:val="24"/>
        </w:rPr>
        <w:t xml:space="preserve"> Total Return Swap Agreement.</w:t>
      </w:r>
    </w:p>
    <w:p>
      <w:pPr>
        <w:pStyle w:val="Normal"/>
        <w:bidi w:val="0"/>
        <w:spacing w:before="0" w:after="240"/>
        <w:jc w:val="both"/>
        <w:rPr>
          <w:sz w:val="24"/>
        </w:rPr>
      </w:pPr>
      <w:r>
        <w:rPr>
          <w:sz w:val="24"/>
        </w:rPr>
        <w:tab/>
        <w:t>(i)</w:t>
        <w:tab/>
        <w:t xml:space="preserve">An involuntary case or other proceeding shall be commenced against the Trust, any Sponsor, any    Asset LLC or any Transferor (each, a </w:t>
      </w:r>
      <w:r>
        <w:rPr>
          <w:b/>
          <w:sz w:val="24"/>
        </w:rPr>
        <w:t>“</w:t>
      </w:r>
      <w:r>
        <w:rPr>
          <w:b/>
          <w:sz w:val="24"/>
          <w:u w:val="single"/>
        </w:rPr>
        <w:t>Bankruptcy Party</w:t>
      </w:r>
      <w:r>
        <w:rPr>
          <w:b/>
          <w:sz w:val="24"/>
        </w:rPr>
        <w:t>”</w:t>
      </w:r>
      <w:r>
        <w:rPr>
          <w:sz w:val="24"/>
        </w:rPr>
        <w:t>) which seeks liquidation, reorganization or other relief with respect to it or its debts or other liabilities under any bankruptcy, insolvency or other similar law now or hereafter in effect or seeks the appointment of a trustee, receiver, liquidator, custodian or other similar official of it or any of its property, and such involuntary case or other proceeding shall remain undismissed or unstayed for a period of 60 days; or an order for relief against a Bankruptcy Party shall be entered in any such case under the Bankruptcy Code.</w:t>
      </w:r>
    </w:p>
    <w:p>
      <w:pPr>
        <w:pStyle w:val="Normal"/>
        <w:keepNext w:val="true"/>
        <w:bidi w:val="0"/>
        <w:spacing w:before="0" w:after="240"/>
        <w:jc w:val="both"/>
        <w:rPr>
          <w:sz w:val="24"/>
        </w:rPr>
      </w:pPr>
      <w:r>
        <w:rPr>
          <w:sz w:val="24"/>
        </w:rPr>
        <w:tab/>
        <w:t>(j)</w:t>
        <w:tab/>
        <w:t>Any Bankruptcy Party shall commence a voluntary case or other proceeding seeking liquidation, reorganization or other relief with respect to itself or its Indebtedness or other liabilities under any bankruptcy, insolvency or other similar law or seeking the appointment of a trustee, receiver, liquidator, custodian or other similar official for it or any of its property, or consent by a Bankruptcy Party to any such relief or to the appointment of or taking possession by any such official in an involuntary case or other proceeding commenced against it, or the making by a Bankruptcy Party of a general assignment for the benefit of creditors, or the failure by a Bankruptcy Party, or the admission by a Bankruptcy Party in writing of its inability, to pay its debts generally as they become due, or any action by a Bankruptcy Party to authorize or effect any of the foregoing.</w:t>
      </w:r>
    </w:p>
    <w:p>
      <w:pPr>
        <w:pStyle w:val="Normal"/>
        <w:keepNext w:val="true"/>
        <w:keepLines/>
        <w:bidi w:val="0"/>
        <w:spacing w:before="0" w:after="240"/>
        <w:jc w:val="both"/>
        <w:rPr>
          <w:sz w:val="24"/>
        </w:rPr>
      </w:pPr>
      <w:r>
        <w:rPr>
          <w:sz w:val="24"/>
        </w:rPr>
        <w:tab/>
      </w:r>
      <w:ins w:id="694" w:author="">
        <w:r>
          <w:rPr>
            <w:b/>
            <w:sz w:val="24"/>
            <w:u w:val="double"/>
          </w:rPr>
          <w:t>(k)</w:t>
          <w:tab/>
          <w:t>An Event of Default (as defined in the Hawaii II Facility Agreement) shall occur and be continuing.</w:t>
        </w:r>
      </w:ins>
    </w:p>
    <w:p>
      <w:pPr>
        <w:pStyle w:val="Normal"/>
        <w:keepNext w:val="true"/>
        <w:keepLines/>
        <w:bidi w:val="0"/>
        <w:jc w:val="both"/>
        <w:rPr>
          <w:sz w:val="24"/>
        </w:rPr>
      </w:pPr>
      <w:r>
        <w:rPr>
          <w:sz w:val="24"/>
        </w:rPr>
        <w:tab/>
      </w:r>
      <w:r>
        <w:fldChar w:fldCharType="begin"/>
      </w:r>
      <w:r>
        <w:rPr>
          <w:sz w:val="24"/>
        </w:rPr>
        <w:instrText xml:space="preserve"> TC "Section  13.2   Cancellation and Repayment " \l 1 </w:instrText>
      </w:r>
      <w:r>
        <w:rPr>
          <w:sz w:val="24"/>
        </w:rPr>
        <w:fldChar w:fldCharType="separate"/>
      </w:r>
      <w:r>
        <w:rPr>
          <w:sz w:val="24"/>
        </w:rPr>
      </w:r>
      <w:r>
        <w:rPr>
          <w:sz w:val="24"/>
        </w:rPr>
        <w:fldChar w:fldCharType="end"/>
      </w:r>
      <w:r>
        <w:rPr>
          <w:sz w:val="24"/>
        </w:rPr>
        <w:t>.    At any time after the occurrence and during the continuance of an Event of Default the Agent may and, if so instructed by the Majority Lenders, will by notice to the Trust:</w:t>
      </w:r>
    </w:p>
    <w:p>
      <w:pPr>
        <w:pStyle w:val="Normal"/>
        <w:keepLines/>
        <w:bidi w:val="0"/>
        <w:jc w:val="both"/>
        <w:rPr>
          <w:sz w:val="24"/>
        </w:rPr>
      </w:pPr>
      <w:r>
        <w:rPr>
          <w:sz w:val="24"/>
        </w:rPr>
      </w:r>
    </w:p>
    <w:p>
      <w:pPr>
        <w:pStyle w:val="Normal"/>
        <w:bidi w:val="0"/>
        <w:spacing w:before="0" w:after="240"/>
        <w:jc w:val="both"/>
        <w:rPr>
          <w:sz w:val="24"/>
        </w:rPr>
      </w:pPr>
      <w:r>
        <w:rPr>
          <w:sz w:val="24"/>
        </w:rPr>
        <w:tab/>
        <w:t>(a)</w:t>
        <w:tab/>
        <w:t>declare such event to constitute an Event of Default; and/or</w:t>
      </w:r>
    </w:p>
    <w:p>
      <w:pPr>
        <w:pStyle w:val="Normal"/>
        <w:keepNext w:val="true"/>
        <w:bidi w:val="0"/>
        <w:spacing w:before="0" w:after="240"/>
        <w:jc w:val="both"/>
        <w:rPr>
          <w:sz w:val="24"/>
        </w:rPr>
      </w:pPr>
      <w:r>
        <w:rPr>
          <w:sz w:val="24"/>
        </w:rPr>
        <w:tab/>
        <w:t>(b)</w:t>
        <w:tab/>
        <w:t xml:space="preserve">declare all or any part of the Advances, accrued interest thereon and any other sum accrued under this Agreement and any of the other Finance Documents to be immediately due and payable, whereupon such amounts shall become so due and payable </w:t>
      </w:r>
      <w:r>
        <w:rPr>
          <w:sz w:val="24"/>
          <w:u w:val="single"/>
        </w:rPr>
        <w:t>provided, however</w:t>
      </w:r>
      <w:r>
        <w:rPr>
          <w:sz w:val="24"/>
        </w:rPr>
        <w:t>, that in the event of an actual or deemed entry of an order for relief with respect to a Bankruptcy Party under the Bankruptcy Code, (A) the obligation of each Lender to make Advances pursuant to its Commitment shall automatically be terminated and (B) the Notes, all interest thereon and all other amounts payable under this Agreement shall automatically become and be due and payable, without procurement, demand, protest or any notice of any kind, all of which are hereby expressly waived by the Trust.</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XIVTHE AGENT AND THE OTHER FINANCE PARTIES"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14.1   Appointment and Duties of the Agent " \l 1 </w:instrText>
      </w:r>
      <w:r>
        <w:rPr>
          <w:sz w:val="24"/>
        </w:rPr>
        <w:fldChar w:fldCharType="separate"/>
      </w:r>
      <w:r>
        <w:rPr>
          <w:sz w:val="24"/>
        </w:rPr>
      </w:r>
      <w:r>
        <w:rPr>
          <w:sz w:val="24"/>
        </w:rPr>
        <w:fldChar w:fldCharType="end"/>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 xml:space="preserve">Each Lender hereby appoints (i) Canadian Imperial Bank of Commerce as Agent, to act as its agent for purposes of the Finance Documents; (ii) CIBC World Markets Corp, as Arranger, to act as sole lead arranger and bookrunner for the purposes of the Finance Documents; (iii) </w:t>
      </w:r>
      <w:ins w:id="695" w:author="">
        <w:r>
          <w:rPr>
            <w:b/>
            <w:sz w:val="24"/>
            <w:u w:val="double"/>
          </w:rPr>
          <w:t>BNP</w:t>
        </w:r>
      </w:ins>
      <w:r>
        <w:rPr>
          <w:sz w:val="24"/>
        </w:rPr>
        <w:t xml:space="preserve"> Paribas, as Syndication Agent, to act as syndication agent for the purposes of the Finance Documents; First Union National Bank and San Paolo IMI S.p.A.</w:t>
      </w:r>
      <w:ins w:id="696" w:author="">
        <w:r>
          <w:rPr>
            <w:b/>
            <w:sz w:val="24"/>
            <w:u w:val="double"/>
          </w:rPr>
          <w:t>,</w:t>
        </w:r>
      </w:ins>
      <w:r>
        <w:rPr>
          <w:sz w:val="24"/>
        </w:rPr>
        <w:t xml:space="preserve"> as Co</w:t>
        <w:noBreakHyphen/>
        <w:t>Arrangers, to act as co</w:t>
        <w:noBreakHyphen/>
        <w:t>arrangers for the purposes of the Finance Documents; and Bayerische Landesbank</w:t>
      </w:r>
      <w:ins w:id="697" w:author="">
        <w:r>
          <w:rPr>
            <w:b/>
            <w:sz w:val="24"/>
            <w:u w:val="double"/>
          </w:rPr>
          <w:t>,</w:t>
        </w:r>
      </w:ins>
      <w:r>
        <w:rPr>
          <w:sz w:val="24"/>
        </w:rPr>
        <w:t xml:space="preserve"> as Documentation Agent, to act as documentation agent for the purposes of the Finance Documents.    Each Lender further irrevocably authorizes Canadian Imperial Bank of Commerce</w:t>
      </w:r>
      <w:r>
        <w:rPr>
          <w:b/>
          <w:sz w:val="24"/>
        </w:rPr>
        <w:t>,</w:t>
      </w:r>
      <w:r>
        <w:rPr>
          <w:sz w:val="24"/>
        </w:rPr>
        <w:t xml:space="preserve"> as Agent, for and on its behalf to exercise such rights, powers and discretions as are specifically delegated to it by the terms of the Finance Documents, together with all such rights, powers and discretions as are incidental thereto, and to give a good discharge for any moneys payable under the Finance Documents.    Each Lender empowers the Agent on the broadest terms to take such actions and to exercise any and all rights derived from this Agreement, including but not limited to (i) the enforcement of the Operative Documents, and (ii) the sending or receiving of whatever notices or communications the Agent may deem necessary or advisable.</w:t>
      </w:r>
    </w:p>
    <w:p>
      <w:pPr>
        <w:pStyle w:val="Normal"/>
        <w:bidi w:val="0"/>
        <w:spacing w:before="0" w:after="240"/>
        <w:jc w:val="both"/>
        <w:rPr>
          <w:sz w:val="24"/>
        </w:rPr>
      </w:pPr>
      <w:r>
        <w:rPr>
          <w:sz w:val="24"/>
        </w:rPr>
        <w:tab/>
        <w:t>(b)</w:t>
        <w:tab/>
        <w:t>The Agent will act solely as agent for the Lenders in carrying out its functions as agent for purposes of the Operative Documents and will exercise the same care as it would in dealing with a credit for its own account.</w:t>
      </w:r>
    </w:p>
    <w:p>
      <w:pPr>
        <w:pStyle w:val="Normal"/>
        <w:keepNext w:val="true"/>
        <w:bidi w:val="0"/>
        <w:spacing w:before="0" w:after="240"/>
        <w:jc w:val="both"/>
        <w:rPr>
          <w:sz w:val="24"/>
        </w:rPr>
      </w:pPr>
      <w:r>
        <w:rPr>
          <w:sz w:val="24"/>
        </w:rPr>
        <w:tab/>
        <w:t>(c)</w:t>
        <w:tab/>
        <w:t>The Agent shall not have, nor be deemed to have, assumed any obligations to, or trust or fiduciary relationship with, the other Finance Parties, the Trust, the Asset LLCs, the Transferors, the Sponsors, Enron, or any other Person other than those for which specific provision is made by the Operative Documents.</w:t>
      </w:r>
    </w:p>
    <w:p>
      <w:pPr>
        <w:pStyle w:val="Normal"/>
        <w:keepNext w:val="true"/>
        <w:keepLines/>
        <w:bidi w:val="0"/>
        <w:jc w:val="both"/>
        <w:rPr>
          <w:sz w:val="24"/>
        </w:rPr>
      </w:pPr>
      <w:r>
        <w:rPr>
          <w:sz w:val="24"/>
        </w:rPr>
        <w:tab/>
      </w:r>
      <w:r>
        <w:fldChar w:fldCharType="begin"/>
      </w:r>
      <w:r>
        <w:rPr>
          <w:sz w:val="24"/>
        </w:rPr>
        <w:instrText xml:space="preserve"> TC "Section  14.2   Agent’s Duties " \l 1 </w:instrText>
      </w:r>
      <w:r>
        <w:rPr>
          <w:sz w:val="24"/>
        </w:rPr>
        <w:fldChar w:fldCharType="separate"/>
      </w:r>
      <w:r>
        <w:rPr>
          <w:sz w:val="24"/>
        </w:rPr>
      </w:r>
      <w:r>
        <w:rPr>
          <w:sz w:val="24"/>
        </w:rPr>
        <w:fldChar w:fldCharType="end"/>
      </w:r>
      <w:r>
        <w:rPr>
          <w:sz w:val="24"/>
        </w:rPr>
        <w:t>.    The Agent shall:</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 xml:space="preserve">promptly send to the Lenders details of each communication received by it from the Trust under the Operative Documents, the Owner Trustee under the Trust Agreement, or from Enron </w:t>
      </w:r>
      <w:ins w:id="698" w:author="">
        <w:r>
          <w:rPr>
            <w:strike/>
            <w:sz w:val="24"/>
          </w:rPr>
          <w:t>under the</w:t>
        </w:r>
      </w:ins>
      <w:r>
        <w:rPr>
          <w:sz w:val="24"/>
        </w:rPr>
        <w:t xml:space="preserve"> </w:t>
      </w:r>
      <w:ins w:id="699" w:author="">
        <w:r>
          <w:rPr>
            <w:b/>
            <w:sz w:val="24"/>
            <w:u w:val="double"/>
          </w:rPr>
          <w:t>or a Permitted Swap Party, as applicable, under any</w:t>
        </w:r>
      </w:ins>
      <w:r>
        <w:rPr>
          <w:sz w:val="24"/>
        </w:rPr>
        <w:t xml:space="preserve"> Total Return Swap Agreement </w:t>
      </w:r>
      <w:ins w:id="700" w:author="">
        <w:r>
          <w:rPr>
            <w:b/>
            <w:sz w:val="24"/>
            <w:u w:val="double"/>
          </w:rPr>
          <w:t>or the Enron Guaranty</w:t>
        </w:r>
      </w:ins>
      <w:r>
        <w:rPr>
          <w:sz w:val="24"/>
        </w:rPr>
        <w:t xml:space="preserve"> except that details of any communication relating to a particular Finance Party shall be sent to that Finance Party only;</w:t>
      </w:r>
    </w:p>
    <w:p>
      <w:pPr>
        <w:pStyle w:val="Normal"/>
        <w:bidi w:val="0"/>
        <w:spacing w:before="0" w:after="240"/>
        <w:jc w:val="both"/>
        <w:rPr>
          <w:sz w:val="24"/>
        </w:rPr>
      </w:pPr>
      <w:r>
        <w:rPr>
          <w:sz w:val="24"/>
        </w:rPr>
        <w:tab/>
        <w:t>(b)</w:t>
        <w:tab/>
        <w:t>subject to the other provisions of this Agreement, and except for actions by the Agent pursuant to Article V, the Agent shall act in accordance with any instructions from the Majority Lenders (or, if required by Article XXIV or the express terms of any Operative Document, all Lenders) or, if so instructed by such Lenders, refrain from exercising a right, power or discretion vested in it under this Agreement or any of the Operative Documents;</w:t>
      </w:r>
    </w:p>
    <w:p>
      <w:pPr>
        <w:pStyle w:val="Normal"/>
        <w:bidi w:val="0"/>
        <w:spacing w:before="0" w:after="240"/>
        <w:jc w:val="both"/>
        <w:rPr>
          <w:sz w:val="24"/>
        </w:rPr>
      </w:pPr>
      <w:r>
        <w:rPr>
          <w:sz w:val="24"/>
        </w:rPr>
        <w:tab/>
        <w:t>(c)</w:t>
        <w:tab/>
        <w:t>have only those duties, obligations and responsibilities expressly specified in the Operative Documents; and</w:t>
      </w:r>
    </w:p>
    <w:p>
      <w:pPr>
        <w:pStyle w:val="Normal"/>
        <w:keepNext w:val="true"/>
        <w:bidi w:val="0"/>
        <w:spacing w:before="0" w:after="240"/>
        <w:jc w:val="both"/>
        <w:rPr>
          <w:sz w:val="24"/>
        </w:rPr>
      </w:pPr>
      <w:r>
        <w:rPr>
          <w:sz w:val="24"/>
        </w:rPr>
        <w:tab/>
        <w:t>(d)</w:t>
        <w:tab/>
        <w:t>without affecting any other clause hereof, promptly notify the Lenders of the occurrence of any Event of Default or Default of which it becomes aware.</w:t>
      </w:r>
    </w:p>
    <w:p>
      <w:pPr>
        <w:pStyle w:val="Normal"/>
        <w:keepNext w:val="true"/>
        <w:keepLines/>
        <w:bidi w:val="0"/>
        <w:jc w:val="both"/>
        <w:rPr>
          <w:sz w:val="24"/>
        </w:rPr>
      </w:pPr>
      <w:r>
        <w:rPr>
          <w:sz w:val="24"/>
        </w:rPr>
        <w:tab/>
      </w:r>
      <w:r>
        <w:fldChar w:fldCharType="begin"/>
      </w:r>
      <w:r>
        <w:rPr>
          <w:sz w:val="24"/>
        </w:rPr>
        <w:instrText xml:space="preserve"> TC "Section  14.3   Agent’s Rights " \l 1 </w:instrText>
      </w:r>
      <w:r>
        <w:rPr>
          <w:sz w:val="24"/>
        </w:rPr>
        <w:fldChar w:fldCharType="separate"/>
      </w:r>
      <w:r>
        <w:rPr>
          <w:sz w:val="24"/>
        </w:rPr>
      </w:r>
      <w:r>
        <w:rPr>
          <w:sz w:val="24"/>
        </w:rPr>
        <w:fldChar w:fldCharType="end"/>
      </w:r>
      <w:r>
        <w:rPr>
          <w:sz w:val="24"/>
        </w:rPr>
        <w:t>.    The Agent may:</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perform any of its duties, obligations and responsibilities under the Operative Documents by or through its personnel, delegates or agents (on the basis that the Agent may extend the benefit of any indemnity received by it hereunder to its personnel, delegates or agents);</w:t>
      </w:r>
    </w:p>
    <w:p>
      <w:pPr>
        <w:pStyle w:val="Normal"/>
        <w:bidi w:val="0"/>
        <w:spacing w:before="0" w:after="240"/>
        <w:jc w:val="both"/>
        <w:rPr>
          <w:sz w:val="24"/>
        </w:rPr>
      </w:pPr>
      <w:r>
        <w:rPr>
          <w:sz w:val="24"/>
        </w:rPr>
        <w:tab/>
        <w:t>(b)</w:t>
        <w:tab/>
        <w:t>refrain from exercising any right, power or discretion vested in it under the Operative Documents until it has received instructions from the Lenders;</w:t>
      </w:r>
    </w:p>
    <w:p>
      <w:pPr>
        <w:pStyle w:val="Normal"/>
        <w:bidi w:val="0"/>
        <w:spacing w:before="0" w:after="240"/>
        <w:jc w:val="both"/>
        <w:rPr>
          <w:sz w:val="24"/>
        </w:rPr>
      </w:pPr>
      <w:r>
        <w:rPr>
          <w:sz w:val="24"/>
        </w:rPr>
        <w:tab/>
        <w:t>(c)</w:t>
        <w:tab/>
        <w:t>unless it has received notice in writing to the contrary, treat (a) each Lender which makes available its Advance as the Person entitled to repayment thereof and (b) the office set under such Lender’s name in Schedule 1 as its Funding Office;</w:t>
      </w:r>
    </w:p>
    <w:p>
      <w:pPr>
        <w:pStyle w:val="Normal"/>
        <w:bidi w:val="0"/>
        <w:spacing w:before="0" w:after="240"/>
        <w:jc w:val="both"/>
        <w:rPr>
          <w:sz w:val="24"/>
        </w:rPr>
      </w:pPr>
      <w:r>
        <w:rPr>
          <w:sz w:val="24"/>
        </w:rPr>
        <w:tab/>
        <w:t>(d)</w:t>
        <w:tab/>
        <w:t>refrain from doing anything which would or might in its opinion be contrary to any law, regulation, directive or judgment of any court of any jurisdiction or otherwise render it liable to any Person and may do anything which is in its opinion necessary to comply with any such law, regulation, judgment or directive;</w:t>
      </w:r>
    </w:p>
    <w:p>
      <w:pPr>
        <w:pStyle w:val="Normal"/>
        <w:bidi w:val="0"/>
        <w:spacing w:before="0" w:after="240"/>
        <w:jc w:val="both"/>
        <w:rPr>
          <w:sz w:val="24"/>
        </w:rPr>
      </w:pPr>
      <w:r>
        <w:rPr>
          <w:sz w:val="24"/>
        </w:rPr>
        <w:tab/>
        <w:t>(e)</w:t>
        <w:tab/>
        <w:t>assume that no Event of Default or Default has occurred unless an officer of the Agent while active on the account of the Trust acquires actual knowledge to the contrary;</w:t>
      </w:r>
    </w:p>
    <w:p>
      <w:pPr>
        <w:pStyle w:val="Normal"/>
        <w:bidi w:val="0"/>
        <w:spacing w:before="0" w:after="240"/>
        <w:jc w:val="both"/>
        <w:rPr>
          <w:sz w:val="24"/>
        </w:rPr>
      </w:pPr>
      <w:r>
        <w:rPr>
          <w:sz w:val="24"/>
        </w:rPr>
        <w:tab/>
        <w:t>(f)</w:t>
        <w:tab/>
        <w:t>refrain from taking any step (or further step) to protect or enforce the rights of the Lenders under this Agreement or any of the other Operative Documents until it has been indemnified and/or secured to its satisfaction against any and all costs, losses, expenses or liabilities (including legal fees) which it would or might sustain or incur as a result;</w:t>
      </w:r>
    </w:p>
    <w:p>
      <w:pPr>
        <w:pStyle w:val="Normal"/>
        <w:bidi w:val="0"/>
        <w:spacing w:before="0" w:after="240"/>
        <w:jc w:val="both"/>
        <w:rPr>
          <w:sz w:val="24"/>
        </w:rPr>
      </w:pPr>
      <w:r>
        <w:rPr>
          <w:sz w:val="24"/>
        </w:rPr>
        <w:tab/>
        <w:t>(g)</w:t>
        <w:tab/>
        <w:t>rely on any communication or document believed by it to be genuine and correct and to have been communicated or signed by the Person to whom it purports to be communicated and signed;</w:t>
      </w:r>
    </w:p>
    <w:p>
      <w:pPr>
        <w:pStyle w:val="Normal"/>
        <w:bidi w:val="0"/>
        <w:spacing w:before="0" w:after="240"/>
        <w:jc w:val="both"/>
        <w:rPr>
          <w:sz w:val="24"/>
        </w:rPr>
      </w:pPr>
      <w:r>
        <w:rPr>
          <w:sz w:val="24"/>
        </w:rPr>
        <w:tab/>
        <w:t>(h)</w:t>
        <w:tab/>
        <w:t>rely as to any matter of fact which might reasonably be expected to be within the knowledge of the Trust on a statement by or on behalf of the Trust;</w:t>
      </w:r>
    </w:p>
    <w:p>
      <w:pPr>
        <w:pStyle w:val="Normal"/>
        <w:bidi w:val="0"/>
        <w:spacing w:before="0" w:after="240"/>
        <w:jc w:val="both"/>
        <w:rPr>
          <w:sz w:val="24"/>
        </w:rPr>
      </w:pPr>
      <w:r>
        <w:rPr>
          <w:sz w:val="24"/>
        </w:rPr>
        <w:tab/>
        <w:t>(i)</w:t>
        <w:tab/>
        <w:t>obtain and pay for such legal or other expert advice or services as may seem necessary to it or desirable and rely on any such advice;</w:t>
      </w:r>
    </w:p>
    <w:p>
      <w:pPr>
        <w:pStyle w:val="Normal"/>
        <w:bidi w:val="0"/>
        <w:spacing w:before="0" w:after="240"/>
        <w:jc w:val="both"/>
        <w:rPr>
          <w:sz w:val="24"/>
        </w:rPr>
      </w:pPr>
      <w:r>
        <w:rPr>
          <w:sz w:val="24"/>
        </w:rPr>
        <w:tab/>
        <w:t>(j)</w:t>
        <w:tab/>
        <w:t>accept without enquiry such title as the Trust may have to any asset or assets that may at any time be intended to be the subject of security created by or for any obligations under any of the Operative Documents; and</w:t>
      </w:r>
    </w:p>
    <w:p>
      <w:pPr>
        <w:pStyle w:val="Normal"/>
        <w:keepNext w:val="true"/>
        <w:bidi w:val="0"/>
        <w:spacing w:before="0" w:after="240"/>
        <w:jc w:val="both"/>
        <w:rPr>
          <w:sz w:val="24"/>
        </w:rPr>
      </w:pPr>
      <w:r>
        <w:rPr>
          <w:sz w:val="24"/>
        </w:rPr>
        <w:tab/>
        <w:t>(k)</w:t>
        <w:tab/>
        <w:t>hold or deposit any title deeds, any Operative Documents or any other documents with any banker or banking company or any company whose business includes undertaking the safe custody of deeds or documents or with any lawyer or firm of lawyers and it shall not be responsible for or be required to insure against any loss incurred in connection with any such holding or deposit and it may pay all sums required to be paid on account or in respect of any such deposit.</w:t>
      </w:r>
    </w:p>
    <w:p>
      <w:pPr>
        <w:pStyle w:val="Normal"/>
        <w:keepNext w:val="true"/>
        <w:keepLines/>
        <w:bidi w:val="0"/>
        <w:jc w:val="both"/>
        <w:rPr>
          <w:sz w:val="24"/>
        </w:rPr>
      </w:pPr>
      <w:r>
        <w:rPr>
          <w:sz w:val="24"/>
        </w:rPr>
        <w:tab/>
      </w:r>
      <w:r>
        <w:fldChar w:fldCharType="begin"/>
      </w:r>
      <w:r>
        <w:rPr>
          <w:sz w:val="24"/>
        </w:rPr>
        <w:instrText xml:space="preserve"> TC "Section  14.4   Exoneration of Agent, Syndication Agent, Documentation Agent, Arranger and Co‑Arrangers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tab/>
      </w:r>
    </w:p>
    <w:p>
      <w:pPr>
        <w:pStyle w:val="Normal"/>
        <w:keepLines/>
        <w:bidi w:val="0"/>
        <w:jc w:val="both"/>
        <w:rPr>
          <w:sz w:val="24"/>
        </w:rPr>
      </w:pPr>
      <w:r>
        <w:rPr>
          <w:sz w:val="24"/>
        </w:rPr>
        <w:tab/>
        <w:t>None of the Agent, Syndication Agent, Arranger, either Co</w:t>
        <w:noBreakHyphen/>
        <w:t>Arranger or the Documentation Agent or any of their respective personnel or agents:</w:t>
      </w:r>
    </w:p>
    <w:p>
      <w:pPr>
        <w:pStyle w:val="Normal"/>
        <w:bidi w:val="0"/>
        <w:jc w:val="both"/>
        <w:rPr>
          <w:sz w:val="24"/>
        </w:rPr>
      </w:pPr>
      <w:r>
        <w:rPr>
          <w:sz w:val="24"/>
        </w:rPr>
      </w:r>
    </w:p>
    <w:p>
      <w:pPr>
        <w:pStyle w:val="Normal"/>
        <w:bidi w:val="0"/>
        <w:spacing w:before="0" w:after="240"/>
        <w:jc w:val="both"/>
        <w:rPr>
          <w:sz w:val="24"/>
        </w:rPr>
      </w:pPr>
      <w:r>
        <w:rPr>
          <w:sz w:val="24"/>
        </w:rPr>
        <w:tab/>
        <w:t>(a)</w:t>
        <w:tab/>
        <w:t>shall be responsible for the adequacy, accuracy or completeness of any representation, warranty, statement or information in any of the Operative Documents or any notice or other document delivered under the Operative Documents;</w:t>
      </w:r>
    </w:p>
    <w:p>
      <w:pPr>
        <w:pStyle w:val="Normal"/>
        <w:bidi w:val="0"/>
        <w:spacing w:before="0" w:after="240"/>
        <w:jc w:val="both"/>
        <w:rPr>
          <w:sz w:val="24"/>
        </w:rPr>
      </w:pPr>
      <w:r>
        <w:rPr>
          <w:sz w:val="24"/>
        </w:rPr>
        <w:tab/>
        <w:t>(b)</w:t>
        <w:tab/>
        <w:t>shall be responsible for the execution, delivery, validity, legality, adequacy, enforceability or admissibility in evidence of any of the Operative Documents;</w:t>
      </w:r>
    </w:p>
    <w:p>
      <w:pPr>
        <w:pStyle w:val="Normal"/>
        <w:bidi w:val="0"/>
        <w:spacing w:before="0" w:after="240"/>
        <w:jc w:val="both"/>
        <w:rPr>
          <w:sz w:val="24"/>
        </w:rPr>
      </w:pPr>
      <w:r>
        <w:rPr>
          <w:sz w:val="24"/>
        </w:rPr>
        <w:tab/>
        <w:t>(c)</w:t>
        <w:tab/>
        <w:t>shall be obliged to enquire as to the occurrence or continuation of an Event of Default or a Default;</w:t>
      </w:r>
    </w:p>
    <w:p>
      <w:pPr>
        <w:pStyle w:val="Normal"/>
        <w:bidi w:val="0"/>
        <w:spacing w:before="0" w:after="240"/>
        <w:jc w:val="both"/>
        <w:rPr>
          <w:sz w:val="24"/>
        </w:rPr>
      </w:pPr>
      <w:r>
        <w:rPr>
          <w:sz w:val="24"/>
        </w:rPr>
        <w:tab/>
        <w:t>(d)</w:t>
        <w:tab/>
        <w:t>shall be responsible for any failure of the Trust, Enron, or any Lender duly and punctually to observe and perform their respective obligations under the Operative Documents;</w:t>
      </w:r>
    </w:p>
    <w:p>
      <w:pPr>
        <w:pStyle w:val="Normal"/>
        <w:bidi w:val="0"/>
        <w:spacing w:before="0" w:after="240"/>
        <w:jc w:val="both"/>
        <w:rPr>
          <w:sz w:val="24"/>
        </w:rPr>
      </w:pPr>
      <w:r>
        <w:rPr>
          <w:sz w:val="24"/>
        </w:rPr>
        <w:tab/>
        <w:t>(e)</w:t>
        <w:tab/>
        <w:t>shall be responsible for the consequences of relying on the advice of any professional advisers selected by any of them in connection with the Operative Documents;</w:t>
      </w:r>
    </w:p>
    <w:p>
      <w:pPr>
        <w:pStyle w:val="Normal"/>
        <w:bidi w:val="0"/>
        <w:spacing w:before="0" w:after="240"/>
        <w:jc w:val="both"/>
        <w:rPr>
          <w:sz w:val="24"/>
        </w:rPr>
      </w:pPr>
      <w:r>
        <w:rPr>
          <w:sz w:val="24"/>
        </w:rPr>
        <w:tab/>
        <w:t>(f)</w:t>
        <w:tab/>
        <w:t>shall be liable for acting (or refraining from acting) in what it believes to be in the best interests of the Lenders in circumstances where it has been unable, or it is not practicable to obtain the instructions of the Lenders; or</w:t>
      </w:r>
    </w:p>
    <w:p>
      <w:pPr>
        <w:pStyle w:val="Normal"/>
        <w:bidi w:val="0"/>
        <w:spacing w:before="0" w:after="240"/>
        <w:jc w:val="both"/>
        <w:rPr>
          <w:sz w:val="24"/>
        </w:rPr>
      </w:pPr>
      <w:r>
        <w:rPr>
          <w:sz w:val="24"/>
        </w:rPr>
        <w:tab/>
        <w:t>(g)</w:t>
        <w:tab/>
        <w:t>shall be liable for anything done or not done by it under or in connection with the Operative Documents save in the case of its own gross negligence or willful misconduct.</w:t>
      </w:r>
    </w:p>
    <w:p>
      <w:pPr>
        <w:pStyle w:val="Normal"/>
        <w:bidi w:val="0"/>
        <w:jc w:val="both"/>
        <w:rPr>
          <w:sz w:val="24"/>
        </w:rPr>
      </w:pPr>
      <w:r>
        <w:rPr>
          <w:sz w:val="24"/>
        </w:rPr>
        <w:t>Each Lender acknowledges that an Affiliate or Affiliates of the Agent may be the Certificate Holder of Certificates issued by the Trust.</w:t>
      </w:r>
    </w:p>
    <w:p>
      <w:pPr>
        <w:pStyle w:val="Normal"/>
        <w:keepNext w:val="true"/>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14.5   The Agent, the Co‑Arrangers, the Syndication Agent, the Arranger and the Documentation Agent Individually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If it is a Lender, each of the Agent, the Co</w:t>
        <w:noBreakHyphen/>
        <w:t>Arrangers, the Syndication Agent, the Arranger and the Documentation Agent shall have the same rights and powers under the Operative Documents as any other Lender and may exercise those rights and powers as if it were not also acting as Agent, Co</w:t>
        <w:noBreakHyphen/>
        <w:t xml:space="preserve">Arrangers, Syndication Agent, Arranger or Documentation Agent. </w:t>
      </w:r>
    </w:p>
    <w:p>
      <w:pPr>
        <w:pStyle w:val="Normal"/>
        <w:bidi w:val="0"/>
        <w:spacing w:before="0" w:after="240"/>
        <w:jc w:val="both"/>
        <w:rPr>
          <w:sz w:val="24"/>
        </w:rPr>
      </w:pPr>
      <w:r>
        <w:rPr>
          <w:sz w:val="24"/>
        </w:rPr>
        <w:tab/>
        <w:t>(b)</w:t>
        <w:tab/>
        <w:t>Each of the Agent, the Co</w:t>
        <w:noBreakHyphen/>
        <w:t>Arrangers, the Syndication Agent, the Arranger and the Documentation Agent may:</w:t>
      </w:r>
    </w:p>
    <w:p>
      <w:pPr>
        <w:pStyle w:val="Normal"/>
        <w:bidi w:val="0"/>
        <w:spacing w:before="0" w:after="240"/>
        <w:ind w:hanging="0" w:start="720"/>
        <w:jc w:val="both"/>
        <w:rPr>
          <w:sz w:val="24"/>
        </w:rPr>
      </w:pPr>
      <w:r>
        <w:rPr>
          <w:sz w:val="24"/>
        </w:rPr>
        <w:tab/>
        <w:t>(i)</w:t>
        <w:tab/>
        <w:t>retain for its own benefit (and without liability to account) any fee or other sum receivable by it for its own account; and</w:t>
      </w:r>
    </w:p>
    <w:p>
      <w:pPr>
        <w:pStyle w:val="Normal"/>
        <w:keepNext w:val="true"/>
        <w:bidi w:val="0"/>
        <w:spacing w:before="0" w:after="240"/>
        <w:ind w:hanging="0" w:start="720"/>
        <w:jc w:val="both"/>
        <w:rPr>
          <w:sz w:val="24"/>
        </w:rPr>
      </w:pPr>
      <w:r>
        <w:rPr>
          <w:sz w:val="24"/>
        </w:rPr>
        <w:tab/>
        <w:t>(ii)</w:t>
        <w:tab/>
        <w:t>accept deposits from, lend money to, provide any advisory, trust or other services to or engage in any kind of banking or other business with any party to any Operative Document or any Subsidiary or Affiliate of any party (and, in each case, may do so without liability to account).</w:t>
      </w:r>
    </w:p>
    <w:p>
      <w:pPr>
        <w:pStyle w:val="Normal"/>
        <w:keepNext w:val="true"/>
        <w:keepLines/>
        <w:bidi w:val="0"/>
        <w:jc w:val="both"/>
        <w:rPr>
          <w:sz w:val="24"/>
        </w:rPr>
      </w:pPr>
      <w:r>
        <w:rPr>
          <w:sz w:val="24"/>
        </w:rPr>
        <w:tab/>
      </w:r>
      <w:r>
        <w:fldChar w:fldCharType="begin"/>
      </w:r>
      <w:r>
        <w:rPr>
          <w:sz w:val="24"/>
        </w:rPr>
        <w:instrText xml:space="preserve"> TC "Section  14.6   Communications and Information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All communications to the Trust are to be made by or through the Agent.    Each Finance Party will notify the Agent of, and provide the Agent with a copy of, any written communication between such Finance Party and the Trust or any other of the Finance Parties on any matter concerning this Agreement or the other Operative Documents.</w:t>
      </w:r>
    </w:p>
    <w:p>
      <w:pPr>
        <w:pStyle w:val="Normal"/>
        <w:keepNext w:val="true"/>
        <w:bidi w:val="0"/>
        <w:spacing w:before="0" w:after="240"/>
        <w:jc w:val="both"/>
        <w:rPr>
          <w:sz w:val="24"/>
        </w:rPr>
      </w:pPr>
      <w:r>
        <w:rPr>
          <w:sz w:val="24"/>
        </w:rPr>
        <w:tab/>
        <w:t>(b)</w:t>
        <w:tab/>
        <w:t>The Agent will not be obliged to transmit to the other Finance Parties any information in any way relating to any of the parties to the Operative Documents which the Agent may have acquired otherwise than in connection with this Agreement or the other Operative Documents.</w:t>
      </w:r>
    </w:p>
    <w:p>
      <w:pPr>
        <w:pStyle w:val="Normal"/>
        <w:keepLines/>
        <w:bidi w:val="0"/>
        <w:jc w:val="both"/>
        <w:rPr>
          <w:sz w:val="24"/>
        </w:rPr>
      </w:pPr>
      <w:r>
        <w:rPr>
          <w:sz w:val="24"/>
        </w:rPr>
        <w:tab/>
      </w:r>
      <w:r>
        <w:fldChar w:fldCharType="begin"/>
      </w:r>
      <w:r>
        <w:rPr>
          <w:sz w:val="24"/>
        </w:rPr>
        <w:instrText xml:space="preserve"> TC "Section  14.7   Non‑Reliance on Agent, Co‑Arrangers, Syndication Agent, Arranger or Documentation Agent " \l 1 </w:instrText>
      </w:r>
      <w:r>
        <w:rPr>
          <w:sz w:val="24"/>
        </w:rPr>
        <w:fldChar w:fldCharType="separate"/>
      </w:r>
      <w:r>
        <w:rPr>
          <w:sz w:val="24"/>
        </w:rPr>
      </w:r>
      <w:r>
        <w:rPr>
          <w:sz w:val="24"/>
        </w:rPr>
        <w:fldChar w:fldCharType="end"/>
      </w:r>
      <w:r>
        <w:rPr>
          <w:sz w:val="24"/>
        </w:rPr>
        <w:t>.    Each Lender confirms in favor of the Agent, the Co</w:t>
        <w:noBreakHyphen/>
        <w:t>Arrangers, the Syndication Agent, the Arranger and the Documentation Agent that it is (and will at all times continue to be) solely responsible for making its own independent investigation and appraisal of the business, operations, financial condition, creditworthiness, status and affairs of the Trust, the Sponsors, the Asset LLCs, the Transferors, and Enron and has not relied, and will not at any time rely on the Agent, the Co</w:t>
        <w:noBreakHyphen/>
        <w:t xml:space="preserve">Arrangers, the Syndication Agent, the Arranger or Documentation Agent.    </w:t>
      </w:r>
    </w:p>
    <w:p>
      <w:pPr>
        <w:pStyle w:val="Normal"/>
        <w:bidi w:val="0"/>
        <w:spacing w:before="0" w:after="240"/>
        <w:jc w:val="both"/>
        <w:rPr>
          <w:sz w:val="24"/>
        </w:rPr>
      </w:pPr>
      <w:r>
        <w:rPr>
          <w:sz w:val="24"/>
        </w:rPr>
        <w:tab/>
        <w:t>(a)</w:t>
        <w:tab/>
        <w:t>to provide it with any information relating to the business, operations, financial condition, creditworthiness, status and affairs of the Trust, the Asset LLCs, the Transferors and Enron whether coming into its possession before or after the making of the Advances, except as otherwise specifically provided herein, or</w:t>
      </w:r>
    </w:p>
    <w:p>
      <w:pPr>
        <w:pStyle w:val="Normal"/>
        <w:bidi w:val="0"/>
        <w:spacing w:before="0" w:after="240"/>
        <w:jc w:val="both"/>
        <w:rPr>
          <w:sz w:val="24"/>
        </w:rPr>
      </w:pPr>
      <w:r>
        <w:rPr>
          <w:sz w:val="24"/>
        </w:rPr>
        <w:tab/>
        <w:t>(b)</w:t>
        <w:tab/>
        <w:t>to check or enquire into adequacy, accuracy or completeness of any information provided by the Trust, the Asset LLCs, the Transferors, Enron, or any other Person under or in connection with this Agreement or any other Operative Document (whether or not such information has been or is at any time circulated to it by the Agent, the Co</w:t>
        <w:noBreakHyphen/>
        <w:t>Arrangers, the Syndication Agent, the Arranger or Documentation Agent); or</w:t>
      </w:r>
    </w:p>
    <w:p>
      <w:pPr>
        <w:pStyle w:val="Normal"/>
        <w:keepNext w:val="true"/>
        <w:bidi w:val="0"/>
        <w:spacing w:before="0" w:after="240"/>
        <w:jc w:val="both"/>
        <w:rPr>
          <w:sz w:val="24"/>
        </w:rPr>
      </w:pPr>
      <w:r>
        <w:rPr>
          <w:sz w:val="24"/>
        </w:rPr>
        <w:tab/>
        <w:t>(c)</w:t>
        <w:tab/>
        <w:t>to assess or keep under review the business, operations, financial condition, creditworthiness, status or affairs of the Trust, the Asset LLCs, the Transferors, the Sponsor, and Enron.</w:t>
      </w:r>
    </w:p>
    <w:p>
      <w:pPr>
        <w:pStyle w:val="Normal"/>
        <w:keepNext w:val="true"/>
        <w:keepLines/>
        <w:bidi w:val="0"/>
        <w:jc w:val="both"/>
        <w:rPr>
          <w:sz w:val="24"/>
        </w:rPr>
      </w:pPr>
      <w:r>
        <w:rPr>
          <w:sz w:val="24"/>
        </w:rPr>
        <w:tab/>
      </w:r>
      <w:r>
        <w:fldChar w:fldCharType="begin"/>
      </w:r>
      <w:r>
        <w:rPr>
          <w:sz w:val="24"/>
        </w:rPr>
        <w:instrText xml:space="preserve"> TC "Section  14.8   Indemnity to Agent, Syndication Agent, Arranger, Co‑Arrangers and Documentation Agent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The Lenders shall, in proportion to their respective Commitments on demand fully indemnify the Agent, the Co</w:t>
        <w:noBreakHyphen/>
        <w:t xml:space="preserve">Arrangers, the Syndication Agent, the Arranger and the Documentation Agent and their respective officers, employees and affiliates (collectively, the </w:t>
      </w:r>
      <w:r>
        <w:rPr>
          <w:b/>
          <w:sz w:val="24"/>
        </w:rPr>
        <w:t>“</w:t>
      </w:r>
      <w:r>
        <w:rPr>
          <w:b/>
          <w:sz w:val="24"/>
          <w:u w:val="single"/>
        </w:rPr>
        <w:t>Agency Indemnitees</w:t>
      </w:r>
      <w:r>
        <w:rPr>
          <w:b/>
          <w:sz w:val="24"/>
        </w:rPr>
        <w:t>”</w:t>
      </w:r>
      <w:r>
        <w:rPr>
          <w:sz w:val="24"/>
        </w:rPr>
        <w:t>) against any reasonable cost, reasonable expense or liability sustained or incurred by any of the Agency Indemnitees in their respective capacities as Agent, Co</w:t>
        <w:noBreakHyphen/>
        <w:t>Arrangers, Syndication Agent, Arranger or Documentation Agent as a consequence of or in connection with complying with any instructions from the Lenders or otherwise sustained or incurred in their respective capacities as Agent, Co</w:t>
        <w:noBreakHyphen/>
        <w:t>Arrangers, Syndication Agent, Arranger or Documentation Agent in connection with the Operative Documents or their respective duties, obligations and responsibilities under the Operative Documents, except to the extent that they are sustained or incurred    principally as a result of the gross negligence or willful misconduct of such Agency Indemnitee as finally determined by a court having jurisdiction.</w:t>
      </w:r>
    </w:p>
    <w:p>
      <w:pPr>
        <w:pStyle w:val="Normal"/>
        <w:keepNext w:val="true"/>
        <w:bidi w:val="0"/>
        <w:spacing w:before="0" w:after="240"/>
        <w:jc w:val="both"/>
        <w:rPr>
          <w:sz w:val="24"/>
        </w:rPr>
      </w:pPr>
      <w:r>
        <w:rPr>
          <w:sz w:val="24"/>
        </w:rPr>
        <w:tab/>
        <w:t>(b)</w:t>
        <w:tab/>
        <w:t>The provisions of Section 14.8(a) shall not affect the obligations of the Trust to indemnify the Agency Indemnitees pursuant to Article XXV and the Trust will reimburse each Lender on demand for any payment made by such Lender pursuant to Section 14.8(a) that is the subject of an indemnification by the Trust pursuant to Article XXV.</w:t>
      </w:r>
    </w:p>
    <w:p>
      <w:pPr>
        <w:pStyle w:val="Normal"/>
        <w:keepNext w:val="true"/>
        <w:keepLines/>
        <w:bidi w:val="0"/>
        <w:jc w:val="both"/>
        <w:rPr>
          <w:sz w:val="24"/>
        </w:rPr>
      </w:pPr>
      <w:r>
        <w:rPr>
          <w:sz w:val="24"/>
        </w:rPr>
        <w:tab/>
      </w:r>
      <w:r>
        <w:fldChar w:fldCharType="begin"/>
      </w:r>
      <w:r>
        <w:rPr>
          <w:sz w:val="24"/>
        </w:rPr>
        <w:instrText xml:space="preserve"> TC "Section  14.9   Termination and Resignation of Agency; Appointment of Successor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The Agent may resign its appointment at any time by giving notice to the Lenders and the Trust.</w:t>
      </w:r>
    </w:p>
    <w:p>
      <w:pPr>
        <w:pStyle w:val="Normal"/>
        <w:bidi w:val="0"/>
        <w:spacing w:before="0" w:after="240"/>
        <w:jc w:val="both"/>
        <w:rPr>
          <w:sz w:val="24"/>
        </w:rPr>
      </w:pPr>
      <w:r>
        <w:rPr>
          <w:sz w:val="24"/>
        </w:rPr>
        <w:tab/>
        <w:t>(b)</w:t>
        <w:tab/>
        <w:t>A successor Agent shall be selected:</w:t>
      </w:r>
    </w:p>
    <w:p>
      <w:pPr>
        <w:pStyle w:val="Normal"/>
        <w:bidi w:val="0"/>
        <w:spacing w:before="0" w:after="240"/>
        <w:ind w:hanging="0" w:start="720"/>
        <w:jc w:val="both"/>
        <w:rPr>
          <w:sz w:val="24"/>
        </w:rPr>
      </w:pPr>
      <w:r>
        <w:rPr>
          <w:sz w:val="24"/>
        </w:rPr>
        <w:tab/>
        <w:t>(i)</w:t>
        <w:tab/>
        <w:t>by the retiring Agent with the consent of the Trust (which consent will not be unreasonably withheld) nominating one of its Affiliates as successor Agent in its notice of resignation; or</w:t>
      </w:r>
    </w:p>
    <w:p>
      <w:pPr>
        <w:pStyle w:val="Normal"/>
        <w:bidi w:val="0"/>
        <w:spacing w:before="0" w:after="240"/>
        <w:ind w:hanging="0" w:start="720"/>
        <w:jc w:val="both"/>
        <w:rPr>
          <w:sz w:val="24"/>
        </w:rPr>
      </w:pPr>
      <w:r>
        <w:rPr>
          <w:sz w:val="24"/>
        </w:rPr>
        <w:tab/>
        <w:t>(ii)</w:t>
        <w:tab/>
        <w:t>if the retiring Agent makes no such nomination, by the Majority Lenders with the consent of the Trust (which consent will not be unreasonably withheld); or</w:t>
      </w:r>
    </w:p>
    <w:p>
      <w:pPr>
        <w:pStyle w:val="Normal"/>
        <w:bidi w:val="0"/>
        <w:spacing w:before="0" w:after="240"/>
        <w:ind w:hanging="0" w:start="720"/>
        <w:jc w:val="both"/>
        <w:rPr>
          <w:sz w:val="24"/>
        </w:rPr>
      </w:pPr>
      <w:r>
        <w:rPr>
          <w:sz w:val="24"/>
        </w:rPr>
        <w:tab/>
        <w:t>(iii)</w:t>
        <w:tab/>
        <w:t>if the Majority Lenders have failed to nominate a successor Agent within thirty days of the date of the retiring Agent’s notice of resignation, by the retiring Agent nominating a financial institution of good standing to be the successor Agent, with the consent of the Trust (which consent will not be unreasonably withheld).</w:t>
      </w:r>
    </w:p>
    <w:p>
      <w:pPr>
        <w:pStyle w:val="Normal"/>
        <w:bidi w:val="0"/>
        <w:spacing w:before="0" w:after="240"/>
        <w:jc w:val="both"/>
        <w:rPr>
          <w:sz w:val="24"/>
        </w:rPr>
      </w:pPr>
      <w:r>
        <w:rPr>
          <w:sz w:val="24"/>
        </w:rPr>
        <w:tab/>
        <w:t>(c)</w:t>
        <w:tab/>
        <w:t>The resignation of the retiring Agent and the appointment of the successor Agent will only become effective upon the successor Agent accepting its appointment as Agent in writing at which time:</w:t>
      </w:r>
    </w:p>
    <w:p>
      <w:pPr>
        <w:pStyle w:val="Normal"/>
        <w:bidi w:val="0"/>
        <w:spacing w:before="0" w:after="240"/>
        <w:ind w:hanging="0" w:start="720"/>
        <w:jc w:val="both"/>
        <w:rPr>
          <w:sz w:val="24"/>
        </w:rPr>
      </w:pPr>
      <w:r>
        <w:rPr>
          <w:sz w:val="24"/>
        </w:rPr>
        <w:tab/>
        <w:t>(i)</w:t>
        <w:tab/>
        <w:t>the successor Agent will become bound by all the obligations of the Agent and become entitled to all the rights, privileges, powers, authorities and discretions of the Agent hereunder;</w:t>
      </w:r>
    </w:p>
    <w:p>
      <w:pPr>
        <w:pStyle w:val="Normal"/>
        <w:bidi w:val="0"/>
        <w:spacing w:before="0" w:after="240"/>
        <w:ind w:hanging="0" w:start="720"/>
        <w:jc w:val="both"/>
        <w:rPr>
          <w:sz w:val="24"/>
        </w:rPr>
      </w:pPr>
      <w:r>
        <w:rPr>
          <w:sz w:val="24"/>
        </w:rPr>
        <w:tab/>
        <w:t>(ii)</w:t>
        <w:tab/>
        <w:t xml:space="preserve">the agency of the retiring Agent will terminate but without prejudice to any liabilities which the retiring Agent may have incurred or the indemnities to which the retiring Agent may be entitled prior to the termination of its agency; and </w:t>
      </w:r>
    </w:p>
    <w:p>
      <w:pPr>
        <w:pStyle w:val="Normal"/>
        <w:bidi w:val="0"/>
        <w:spacing w:before="0" w:after="240"/>
        <w:ind w:hanging="0" w:start="720"/>
        <w:jc w:val="both"/>
        <w:rPr>
          <w:sz w:val="24"/>
        </w:rPr>
      </w:pPr>
      <w:r>
        <w:rPr>
          <w:sz w:val="24"/>
        </w:rPr>
        <w:tab/>
        <w:t>(iii)</w:t>
        <w:tab/>
        <w:t>the retiring Agent will be discharged from any further liability or obligation under or in connection with the Operative Documents.</w:t>
      </w:r>
    </w:p>
    <w:p>
      <w:pPr>
        <w:pStyle w:val="Normal"/>
        <w:bidi w:val="0"/>
        <w:spacing w:before="0" w:after="240"/>
        <w:jc w:val="both"/>
        <w:rPr>
          <w:sz w:val="24"/>
        </w:rPr>
      </w:pPr>
      <w:r>
        <w:rPr>
          <w:sz w:val="24"/>
        </w:rPr>
        <w:tab/>
        <w:t>(d)</w:t>
        <w:tab/>
        <w:t>The retiring Agent will cooperate with the successor Agent in order to ensure that its functions are transferred to the successor Agent without disruption to the service provided to the Trust and the Lenders and will promptly make available to the successor Agent such documents and records as have been maintained in connection with this Agreement in order that the successor Agent is able to discharge its functions.</w:t>
      </w:r>
    </w:p>
    <w:p>
      <w:pPr>
        <w:pStyle w:val="Normal"/>
        <w:keepNext w:val="true"/>
        <w:bidi w:val="0"/>
        <w:spacing w:before="0" w:after="240"/>
        <w:jc w:val="both"/>
        <w:rPr>
          <w:sz w:val="24"/>
        </w:rPr>
      </w:pPr>
      <w:r>
        <w:rPr>
          <w:sz w:val="24"/>
        </w:rPr>
        <w:tab/>
        <w:t>(e)</w:t>
        <w:tab/>
        <w:t>The provisions of this Agreement will continue in effect for the benefit of any retiring Agent in respect of any actions taken or omitted to be taken by it or any event occurring before the termination of its agency.</w:t>
      </w:r>
    </w:p>
    <w:p>
      <w:pPr>
        <w:pStyle w:val="Normal"/>
        <w:keepNext w:val="true"/>
        <w:keepLines/>
        <w:bidi w:val="0"/>
        <w:jc w:val="both"/>
        <w:rPr>
          <w:sz w:val="24"/>
        </w:rPr>
      </w:pPr>
      <w:r>
        <w:rPr>
          <w:sz w:val="24"/>
        </w:rPr>
        <w:tab/>
      </w:r>
      <w:r>
        <w:fldChar w:fldCharType="begin"/>
      </w:r>
      <w:r>
        <w:rPr>
          <w:sz w:val="24"/>
        </w:rPr>
        <w:instrText xml:space="preserve"> TC "Section  14.10   Payments to Finance Parties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The Agent will account to the other Finance Parties for their due proportion of all sums received by the Agent for such Finance Parties, whether by way of repayment of principal, or payment of interest, fees, payments received under the Trust Agreement or otherwise.</w:t>
      </w:r>
    </w:p>
    <w:p>
      <w:pPr>
        <w:pStyle w:val="Normal"/>
        <w:keepNext w:val="true"/>
        <w:bidi w:val="0"/>
        <w:spacing w:before="0" w:after="240"/>
        <w:jc w:val="both"/>
        <w:rPr>
          <w:sz w:val="24"/>
        </w:rPr>
      </w:pPr>
      <w:r>
        <w:rPr>
          <w:sz w:val="24"/>
        </w:rPr>
        <w:tab/>
        <w:t>(b)</w:t>
        <w:tab/>
        <w:t>Except as provided under Section 14.9(c)(iii) or otherwise specifically agreed between the Agent, the Arranger and the other Finance Parties in the case of any arrangement fee, the Agent or the Arranger, as the case may be, may retain for its own use and benefit, and shall not be liable to account to the other Finance Parties for all or any part of, any amounts received by it by way of agency fee or any other fee or by way of reimbursement of expenses incurred by it.</w:t>
      </w:r>
    </w:p>
    <w:p>
      <w:pPr>
        <w:pStyle w:val="Normal"/>
        <w:keepLines/>
        <w:bidi w:val="0"/>
        <w:jc w:val="both"/>
        <w:rPr>
          <w:sz w:val="24"/>
        </w:rPr>
      </w:pPr>
      <w:r>
        <w:rPr>
          <w:sz w:val="24"/>
        </w:rPr>
        <w:tab/>
      </w:r>
      <w:r>
        <w:fldChar w:fldCharType="begin"/>
      </w:r>
      <w:r>
        <w:rPr>
          <w:sz w:val="24"/>
        </w:rPr>
        <w:instrText xml:space="preserve"> TC "Section  14.11   Change of Office of Agent or Arranger " \l 1 </w:instrText>
      </w:r>
      <w:r>
        <w:rPr>
          <w:sz w:val="24"/>
        </w:rPr>
        <w:fldChar w:fldCharType="separate"/>
      </w:r>
      <w:r>
        <w:rPr>
          <w:sz w:val="24"/>
        </w:rPr>
      </w:r>
      <w:r>
        <w:rPr>
          <w:sz w:val="24"/>
        </w:rPr>
        <w:fldChar w:fldCharType="end"/>
      </w:r>
      <w:r>
        <w:rPr>
          <w:sz w:val="24"/>
        </w:rPr>
        <w:t>.    The Agent or Arranger may at any time and from time to time in their respective sole discretion by written notice to the Trust and each of the other Finance Parties designate a different office from which their respective duties as Agent or Arranger will thereafter be performed.</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14.12   The Co‑Arrangers, Syndication Agent, Arranger and Documentation Agent " \l 1 </w:instrText>
      </w:r>
      <w:r>
        <w:rPr>
          <w:sz w:val="24"/>
        </w:rPr>
        <w:fldChar w:fldCharType="separate"/>
      </w:r>
      <w:r>
        <w:rPr>
          <w:sz w:val="24"/>
        </w:rPr>
      </w:r>
      <w:r>
        <w:rPr>
          <w:sz w:val="24"/>
        </w:rPr>
        <w:fldChar w:fldCharType="end"/>
      </w:r>
      <w:r>
        <w:rPr>
          <w:sz w:val="24"/>
        </w:rPr>
        <w:t>.    First Union National Bank and San Paolo IMI S.p.A. shall have no rights, obligations or duties solely in their capacity as Co</w:t>
        <w:noBreakHyphen/>
        <w:t xml:space="preserve">Arrangers hereunder, </w:t>
      </w:r>
      <w:ins w:id="701" w:author="">
        <w:r>
          <w:rPr>
            <w:b/>
            <w:sz w:val="24"/>
            <w:u w:val="double"/>
          </w:rPr>
          <w:t>BNP</w:t>
        </w:r>
      </w:ins>
      <w:r>
        <w:rPr>
          <w:sz w:val="24"/>
        </w:rPr>
        <w:t xml:space="preserve"> Paribas shall have no rights, obligations or duties solely in its capacity as Syndication Agent hereunder, CIBC World Markets Corp. shall have no rights, obligations or duties solely in its capacity as Arranger hereunder and Bayerische Landesbank shall have no rights, obligations or duties solely as Documentation Agent hereunder.</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XVEVIDENCE OF INDEBTEDNESS"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t xml:space="preserve">In any proceedings relating to this Agreement, a statement as to any amount due to any Finance Party under this Agreement which is certified as being correct by an officer of the Agent shall in the absence of manifest error, unless otherwise provided in this Agreement, be </w:t>
      </w:r>
      <w:r>
        <w:rPr>
          <w:i/>
          <w:sz w:val="24"/>
        </w:rPr>
        <w:t>prima facie</w:t>
      </w:r>
      <w:r>
        <w:rPr>
          <w:sz w:val="24"/>
        </w:rPr>
        <w:t xml:space="preserve"> evidence of the amount so due.</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XVIAPPLICATION OF MONEYS"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16.1   Priority of Payments " \l 1 </w:instrText>
      </w:r>
      <w:r>
        <w:rPr>
          <w:sz w:val="24"/>
        </w:rPr>
        <w:fldChar w:fldCharType="separate"/>
      </w:r>
      <w:r>
        <w:rPr>
          <w:sz w:val="24"/>
        </w:rPr>
      </w:r>
      <w:r>
        <w:rPr>
          <w:sz w:val="24"/>
        </w:rPr>
        <w:fldChar w:fldCharType="end"/>
      </w:r>
      <w:r>
        <w:rPr>
          <w:sz w:val="24"/>
        </w:rPr>
        <w:t>.    If any sum paid or recovered in respect of the liabilities of the Trust under any of    the Finance Documents is less than the amount then due, the Agent shall apply that sum in the following order:</w:t>
      </w:r>
    </w:p>
    <w:p>
      <w:pPr>
        <w:pStyle w:val="Normal"/>
        <w:keepLines/>
        <w:bidi w:val="0"/>
        <w:jc w:val="both"/>
        <w:rPr>
          <w:sz w:val="24"/>
        </w:rPr>
      </w:pPr>
      <w:r>
        <w:rPr>
          <w:sz w:val="24"/>
        </w:rPr>
      </w:r>
    </w:p>
    <w:p>
      <w:pPr>
        <w:pStyle w:val="Normal"/>
        <w:bidi w:val="0"/>
        <w:spacing w:before="0" w:after="240"/>
        <w:jc w:val="both"/>
        <w:rPr>
          <w:sz w:val="24"/>
        </w:rPr>
      </w:pPr>
      <w:r>
        <w:rPr>
          <w:sz w:val="24"/>
        </w:rPr>
        <w:tab/>
        <w:t>(a)</w:t>
        <w:tab/>
        <w:t>first, to any unpaid fees and reimbursement of unpaid expenses of the Agent;</w:t>
      </w:r>
    </w:p>
    <w:p>
      <w:pPr>
        <w:pStyle w:val="Normal"/>
        <w:bidi w:val="0"/>
        <w:spacing w:before="0" w:after="240"/>
        <w:jc w:val="both"/>
        <w:rPr>
          <w:sz w:val="24"/>
        </w:rPr>
      </w:pPr>
      <w:r>
        <w:rPr>
          <w:sz w:val="24"/>
        </w:rPr>
        <w:tab/>
        <w:t>(b)</w:t>
        <w:tab/>
        <w:t>second, to any unpaid fees and reimbursement of unpaid expenses of the    Lenders;</w:t>
      </w:r>
    </w:p>
    <w:p>
      <w:pPr>
        <w:pStyle w:val="Normal"/>
        <w:bidi w:val="0"/>
        <w:spacing w:before="0" w:after="240"/>
        <w:jc w:val="both"/>
        <w:rPr>
          <w:sz w:val="24"/>
        </w:rPr>
      </w:pPr>
      <w:r>
        <w:rPr>
          <w:sz w:val="24"/>
        </w:rPr>
        <w:tab/>
        <w:t>(c)</w:t>
        <w:tab/>
        <w:t>third, to unpaid interest on the Notes;</w:t>
      </w:r>
    </w:p>
    <w:p>
      <w:pPr>
        <w:pStyle w:val="Normal"/>
        <w:bidi w:val="0"/>
        <w:spacing w:before="0" w:after="240"/>
        <w:jc w:val="both"/>
        <w:rPr>
          <w:sz w:val="24"/>
        </w:rPr>
      </w:pPr>
      <w:r>
        <w:rPr>
          <w:sz w:val="24"/>
        </w:rPr>
        <w:tab/>
        <w:t>(d)</w:t>
        <w:tab/>
        <w:t>fourth, to unpaid principal on the Notes; and</w:t>
      </w:r>
    </w:p>
    <w:p>
      <w:pPr>
        <w:pStyle w:val="Normal"/>
        <w:bidi w:val="0"/>
        <w:spacing w:before="0" w:after="240"/>
        <w:jc w:val="both"/>
        <w:rPr>
          <w:sz w:val="24"/>
        </w:rPr>
      </w:pPr>
      <w:r>
        <w:rPr>
          <w:sz w:val="24"/>
        </w:rPr>
        <w:tab/>
        <w:t>(e)</w:t>
        <w:tab/>
        <w:t>last, to other amounts due under the Finance Documents;</w:t>
      </w:r>
    </w:p>
    <w:p>
      <w:pPr>
        <w:pStyle w:val="Normal"/>
        <w:bidi w:val="0"/>
        <w:jc w:val="both"/>
        <w:rPr>
          <w:sz w:val="24"/>
        </w:rPr>
      </w:pPr>
      <w:r>
        <w:rPr>
          <w:sz w:val="24"/>
        </w:rPr>
        <w:t xml:space="preserve">in each case </w:t>
      </w:r>
      <w:r>
        <w:rPr>
          <w:sz w:val="24"/>
          <w:u w:val="single"/>
        </w:rPr>
        <w:t>pro</w:t>
      </w:r>
      <w:r>
        <w:rPr>
          <w:sz w:val="24"/>
        </w:rPr>
        <w:t xml:space="preserve"> </w:t>
      </w:r>
      <w:r>
        <w:rPr>
          <w:sz w:val="24"/>
          <w:u w:val="single"/>
        </w:rPr>
        <w:t>rata</w:t>
      </w:r>
      <w:r>
        <w:rPr>
          <w:sz w:val="24"/>
        </w:rPr>
        <w:t xml:space="preserve"> to the outstanding amounts owing to the Finance Parties under the Finance Documents taking into account any applications under this Article XVI.</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XVIIPRO RATA PAYMENTS"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17.1   Recoveries by Lenders " \l 1 </w:instrText>
      </w:r>
      <w:r>
        <w:rPr>
          <w:sz w:val="24"/>
        </w:rPr>
        <w:fldChar w:fldCharType="separate"/>
      </w:r>
      <w:r>
        <w:rPr>
          <w:sz w:val="24"/>
        </w:rPr>
      </w:r>
      <w:r>
        <w:rPr>
          <w:sz w:val="24"/>
        </w:rPr>
        <w:fldChar w:fldCharType="end"/>
      </w:r>
      <w:r>
        <w:rPr>
          <w:sz w:val="24"/>
        </w:rPr>
        <w:t>.    If any amount owing by the Trust under any Finance Document to any Lender is discharged by payment, set</w:t>
        <w:noBreakHyphen/>
        <w:t xml:space="preserve">off, use of cash collateral or any other manner other than through the Agent in accordance with Section 9.1(a) (such amount being referred to in this Article XVII as the </w:t>
      </w:r>
      <w:r>
        <w:rPr>
          <w:b/>
          <w:sz w:val="24"/>
        </w:rPr>
        <w:t>“</w:t>
      </w:r>
      <w:r>
        <w:rPr>
          <w:b/>
          <w:sz w:val="24"/>
          <w:u w:val="single"/>
        </w:rPr>
        <w:t>Recovery</w:t>
      </w:r>
      <w:r>
        <w:rPr>
          <w:b/>
          <w:sz w:val="24"/>
        </w:rPr>
        <w:t>”</w:t>
      </w:r>
      <w:r>
        <w:rPr>
          <w:sz w:val="24"/>
        </w:rPr>
        <w:t>), then:</w:t>
      </w:r>
    </w:p>
    <w:p>
      <w:pPr>
        <w:pStyle w:val="Normal"/>
        <w:bidi w:val="0"/>
        <w:jc w:val="both"/>
        <w:rPr>
          <w:sz w:val="24"/>
        </w:rPr>
      </w:pPr>
      <w:r>
        <w:rPr>
          <w:sz w:val="24"/>
        </w:rPr>
      </w:r>
    </w:p>
    <w:p>
      <w:pPr>
        <w:pStyle w:val="Normal"/>
        <w:bidi w:val="0"/>
        <w:spacing w:before="0" w:after="240"/>
        <w:jc w:val="both"/>
        <w:rPr>
          <w:sz w:val="24"/>
        </w:rPr>
      </w:pPr>
      <w:r>
        <w:rPr>
          <w:sz w:val="24"/>
        </w:rPr>
        <w:tab/>
        <w:t>(a)</w:t>
        <w:tab/>
        <w:t>within two Business Days of receipt of the Recovery, such Lender shall pay to the Agent an amount equal (or equivalent) to such Recovery, provided that the Agent shall repay such amount to such Lender in the event that the Recovery is required by law to be refunded to the Trust or Enron;</w:t>
      </w:r>
    </w:p>
    <w:p>
      <w:pPr>
        <w:pStyle w:val="Normal"/>
        <w:bidi w:val="0"/>
        <w:spacing w:before="0" w:after="240"/>
        <w:jc w:val="both"/>
        <w:rPr>
          <w:sz w:val="24"/>
        </w:rPr>
      </w:pPr>
      <w:r>
        <w:rPr>
          <w:sz w:val="24"/>
        </w:rPr>
        <w:tab/>
        <w:t>(b)</w:t>
        <w:tab/>
        <w:t>the Agent shall treat such payment as if it were part of the payment to be made by the Trust to the Lenders ratably in accordance with their respective Commitments; and</w:t>
      </w:r>
    </w:p>
    <w:p>
      <w:pPr>
        <w:pStyle w:val="Normal"/>
        <w:keepNext w:val="true"/>
        <w:bidi w:val="0"/>
        <w:spacing w:before="0" w:after="240"/>
        <w:jc w:val="both"/>
        <w:rPr>
          <w:sz w:val="24"/>
        </w:rPr>
      </w:pPr>
      <w:r>
        <w:rPr>
          <w:sz w:val="24"/>
        </w:rPr>
        <w:tab/>
        <w:t>(c)</w:t>
        <w:tab/>
        <w:t>except for any receipt by such Lender as a result of the operation of paragraph (b) above, as between the Trust and such Lender, the Recovery shall be treated and deemed as not having been paid.</w:t>
      </w:r>
    </w:p>
    <w:p>
      <w:pPr>
        <w:pStyle w:val="Normal"/>
        <w:keepNext w:val="true"/>
        <w:keepLines/>
        <w:bidi w:val="0"/>
        <w:jc w:val="both"/>
        <w:rPr>
          <w:sz w:val="24"/>
        </w:rPr>
      </w:pPr>
      <w:r>
        <w:rPr>
          <w:sz w:val="24"/>
        </w:rPr>
        <w:tab/>
      </w:r>
      <w:r>
        <w:fldChar w:fldCharType="begin"/>
      </w:r>
      <w:r>
        <w:rPr>
          <w:sz w:val="24"/>
        </w:rPr>
        <w:instrText xml:space="preserve"> TC "Section  17.2   Notification to Agent of Recoveries to Lender " \l 1 </w:instrText>
      </w:r>
      <w:r>
        <w:rPr>
          <w:sz w:val="24"/>
        </w:rPr>
        <w:fldChar w:fldCharType="separate"/>
      </w:r>
      <w:r>
        <w:rPr>
          <w:sz w:val="24"/>
        </w:rPr>
      </w:r>
      <w:r>
        <w:rPr>
          <w:sz w:val="24"/>
        </w:rPr>
        <w:fldChar w:fldCharType="end"/>
      </w:r>
      <w:r>
        <w:rPr>
          <w:sz w:val="24"/>
        </w:rPr>
        <w:t>.    Each Lender shall notify the Agent promptly of any such Recovery by such Lender other than by payment through the Agent.</w:t>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17.3   Lender to Supply Agent with Specified Information " \l 1 </w:instrText>
      </w:r>
      <w:r>
        <w:rPr>
          <w:sz w:val="24"/>
        </w:rPr>
        <w:fldChar w:fldCharType="separate"/>
      </w:r>
      <w:r>
        <w:rPr>
          <w:sz w:val="24"/>
        </w:rPr>
      </w:r>
      <w:r>
        <w:rPr>
          <w:sz w:val="24"/>
        </w:rPr>
        <w:fldChar w:fldCharType="end"/>
      </w:r>
      <w:r>
        <w:rPr>
          <w:sz w:val="24"/>
        </w:rPr>
        <w:t>.    Each Lender shall on request supply to the Agent such information as the Agent may from time to time request for the purpose of this Article XVII.    Notwithstanding the foregoing provisions of this Article XVII, no Lender shall be required to share with another Person any Recovery which it receives pursuant to legal proceedings taken by it to recover any sums owing to it under the Finance Documents where such other Person has a legal right to, but does not, either join in such proceedings or commence and diligently pursue separate proceedings to enforce its rights in the same or another court (unless the proceedings instituted by such Lender are instituted by it without prior notice having been given to such other Person through the Agent).</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17.4   Agreement to Use Reasonable Efforts " \l 1 </w:instrText>
      </w:r>
      <w:r>
        <w:rPr>
          <w:sz w:val="24"/>
        </w:rPr>
        <w:fldChar w:fldCharType="separate"/>
      </w:r>
      <w:r>
        <w:rPr>
          <w:sz w:val="24"/>
        </w:rPr>
      </w:r>
      <w:r>
        <w:rPr>
          <w:sz w:val="24"/>
        </w:rPr>
        <w:fldChar w:fldCharType="end"/>
      </w:r>
      <w:r>
        <w:rPr>
          <w:sz w:val="24"/>
        </w:rPr>
        <w:t>.    Each party to this Agreement agrees to take all steps required of it pursuant to Section 17.1, and to use its reasonable efforts to obtain any consents or authorizations which may at any relevant time be required, for any payment by it pursuant to this Article XVII.</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17.5   No Lien Against Lender " \l 1 </w:instrText>
      </w:r>
      <w:r>
        <w:rPr>
          <w:sz w:val="24"/>
        </w:rPr>
        <w:fldChar w:fldCharType="separate"/>
      </w:r>
      <w:r>
        <w:rPr>
          <w:sz w:val="24"/>
        </w:rPr>
      </w:r>
      <w:r>
        <w:rPr>
          <w:sz w:val="24"/>
        </w:rPr>
        <w:fldChar w:fldCharType="end"/>
      </w:r>
      <w:r>
        <w:rPr>
          <w:sz w:val="24"/>
        </w:rPr>
        <w:t>.    The provisions of this Article XVII shall not, and shall not be construed so as to, constitute a Lien against any Lender over all or any part of a sum received or recovered by it in the circumstances mentioned in this Article XVII.</w:t>
      </w:r>
    </w:p>
    <w:p>
      <w:pPr>
        <w:pStyle w:val="Normal"/>
        <w:keepNext w:val="true"/>
        <w:keepLines/>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XVIIISET‑OFF"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t xml:space="preserve">Upon (i) the occurrence and during the continuance of any Event of Default and (ii) the making of a request by the Majority Lenders, or the Agent’s declaration, that the Advances shall be due and payable pursuant to Section 13.2 hereof, any Finance Party may upon notice to the Trust and upon notice to the Agent, combine, consolidate or merge all or any of the accounts of the Trust with, and liabilities to, that Finance Party and may set off or transfer any sum standing to the credit of any such accounts in or towards the satisfaction of any of the liabilities of the Trust or Enron to that Finance Party under the Finance Documents (whether or not such liabilities are then due for payment) (but so that nothing in this Article XVIII shall be effective to create a Lien), and may do so notwithstanding that the balances on such accounts and the liabilities may not be expressed in the same currency, and each Finance Party is hereby authorized to effect any necessary conversions at the Finance Party’s own rate of exchange then prevailing.    Each Finance Party agrees promptly to notify the Trust after such set off or transfer by such Finance Party, </w:t>
      </w:r>
      <w:r>
        <w:rPr>
          <w:sz w:val="24"/>
          <w:u w:val="single"/>
        </w:rPr>
        <w:t>provided</w:t>
      </w:r>
      <w:r>
        <w:rPr>
          <w:sz w:val="24"/>
        </w:rPr>
        <w:t xml:space="preserve"> that the failure to give such notice shall not affect the validity of such set off or transfer.</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XIXNOTICES"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19.1   Addresses and Method of Notice " \l 1 </w:instrText>
      </w:r>
      <w:r>
        <w:rPr>
          <w:sz w:val="24"/>
        </w:rPr>
        <w:fldChar w:fldCharType="separate"/>
      </w:r>
      <w:r>
        <w:rPr>
          <w:sz w:val="24"/>
        </w:rPr>
      </w:r>
      <w:r>
        <w:rPr>
          <w:sz w:val="24"/>
        </w:rPr>
        <w:fldChar w:fldCharType="end"/>
      </w:r>
      <w:r>
        <w:rPr>
          <w:sz w:val="24"/>
        </w:rPr>
        <w:t>.    Except as specifically otherwise provided in this Agreement or agreed with the Agent, any notice, demand or other communication to be served under this Agreement may be served upon any party hereto only by first class (or air) mail or by delivering the same in person or by courier or sending the same by facsimile transmission to the party to be served at its address or facsimile number given in the relevant Finance Document or at such other address or number as it may from time to time notify in writing to the other parties hereto.    The respective addresses and numbers of the initial parties to this Agreement are set out under their respective names on Schedule 1.</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19.2   Timing of Notice " \l 1 </w:instrText>
      </w:r>
      <w:r>
        <w:rPr>
          <w:sz w:val="24"/>
        </w:rPr>
        <w:fldChar w:fldCharType="separate"/>
      </w:r>
      <w:r>
        <w:rPr>
          <w:sz w:val="24"/>
        </w:rPr>
      </w:r>
      <w:r>
        <w:rPr>
          <w:sz w:val="24"/>
        </w:rPr>
        <w:fldChar w:fldCharType="end"/>
      </w:r>
      <w:r>
        <w:rPr>
          <w:sz w:val="24"/>
        </w:rPr>
        <w:t>.    A notice or demand served by first class (or air) mail shall be deemed duly served upon receipt, a notice or demand served in person or by courier shall be deemed duly served when delivered and a notice or demand sent by facsimile transmission shall be deemed to have been served at the time of transmission unless served on a non</w:t>
        <w:noBreakHyphen/>
        <w:t>Business Day or after 5:00 p.m. at the place in which the recipient is located in which case it will be deemed served at 9:00 a.m. at the place in which the recipient is located on the following Business Day.</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19.3   Proving Service of Notice " \l 1 </w:instrText>
      </w:r>
      <w:r>
        <w:rPr>
          <w:sz w:val="24"/>
        </w:rPr>
        <w:fldChar w:fldCharType="separate"/>
      </w:r>
      <w:r>
        <w:rPr>
          <w:sz w:val="24"/>
        </w:rPr>
      </w:r>
      <w:r>
        <w:rPr>
          <w:sz w:val="24"/>
        </w:rPr>
        <w:fldChar w:fldCharType="end"/>
      </w:r>
      <w:r>
        <w:rPr>
          <w:sz w:val="24"/>
        </w:rPr>
        <w:t>.    In proving service of any notice or demand it will be sufficient to prove, in the case of a letter, that such letter was properly stamped or marked first class (or with appropriate air mail postage), addressed and placed in the mail, in the case of a notice or demand served by courier that it was delivered by the courier company and, in the case of a facsimile transmission, that such facsimile was duty transmitted to a current facsimile number of the addressee at the address referred to above and the transmission report indicates that it was correctly sent and received.</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XXNO IMPLIED WAIVERS"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20.1   No Waiver " \l 1 </w:instrText>
      </w:r>
      <w:r>
        <w:rPr>
          <w:sz w:val="24"/>
        </w:rPr>
        <w:fldChar w:fldCharType="separate"/>
      </w:r>
      <w:r>
        <w:rPr>
          <w:sz w:val="24"/>
        </w:rPr>
      </w:r>
      <w:r>
        <w:rPr>
          <w:sz w:val="24"/>
        </w:rPr>
        <w:fldChar w:fldCharType="end"/>
      </w:r>
      <w:r>
        <w:rPr>
          <w:sz w:val="24"/>
        </w:rPr>
        <w:t>. No failure or delay by the Agent, the Syndication Agent, Documentation Agent, Co</w:t>
        <w:noBreakHyphen/>
        <w:t>Arrangers or the Arranger or any other Finance Party in exercising any right, power or privilege under any of the Finance Documents shall operate as a waiver thereof nor shall any single or partial exercise of any right, power or privilege preclude any further exercise thereof or the exercise of any other right, power or privilege.</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20.2   Rights and Remedies Cumulative " \l 1 </w:instrText>
      </w:r>
      <w:r>
        <w:rPr>
          <w:sz w:val="24"/>
        </w:rPr>
        <w:fldChar w:fldCharType="separate"/>
      </w:r>
      <w:r>
        <w:rPr>
          <w:sz w:val="24"/>
        </w:rPr>
      </w:r>
      <w:r>
        <w:rPr>
          <w:sz w:val="24"/>
        </w:rPr>
        <w:fldChar w:fldCharType="end"/>
      </w:r>
      <w:r>
        <w:rPr>
          <w:sz w:val="24"/>
        </w:rPr>
        <w:t>.    The rights and remedies provided in the Finance Documents are cumulative and not exclusive of any rights and remedies provided by law and all such rights and remedies howsoever arising will, except where expressly provided to the contrary therein, be available to the Finance Parties severally and any Finance Party shall be entitled to commence proceedings in connection therewith in its own name.</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XXIINVALIDITY OF ANY PROVISION"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t>If any of the provisions of this Agreement become invalid, illegal or unenforceable in any respect under any law, the validity, legality and enforceability of the remaining provisions shall not in any way be affected or impaired.</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XXIICONFIDENTIALITY"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22.1   Confidential Information " \l 1 </w:instrText>
      </w:r>
      <w:r>
        <w:rPr>
          <w:sz w:val="24"/>
        </w:rPr>
        <w:fldChar w:fldCharType="separate"/>
      </w:r>
      <w:r>
        <w:rPr>
          <w:sz w:val="24"/>
        </w:rPr>
      </w:r>
      <w:r>
        <w:rPr>
          <w:sz w:val="24"/>
        </w:rPr>
        <w:fldChar w:fldCharType="end"/>
      </w:r>
      <w:r>
        <w:rPr>
          <w:sz w:val="24"/>
        </w:rPr>
        <w:t>.    Each Finance Party agrees that it will use reasonable efforts not to disclose without the prior consent of the Trust (other than to its Affiliates in the ordinary course of business in connection with any Finance Document, the administration thereof or any transaction contemplated hereby, employees, auditors or counsel or to another Finance Party if the disclosing Finance Party or the disclosing Finance Party’s holding or parent company in its sole discretion determines that any such party should have access to such information) any information with respect to Enron or its Subsidiaries which is furnished pursuant to this Agreement or any other Finance Document and which is designated by the Trust to the Finance Parties in writing as confidential; (“</w:t>
      </w:r>
      <w:r>
        <w:rPr>
          <w:b/>
          <w:sz w:val="24"/>
          <w:u w:val="single"/>
        </w:rPr>
        <w:t>Confidential Information</w:t>
      </w:r>
      <w:r>
        <w:rPr>
          <w:sz w:val="24"/>
        </w:rPr>
        <w:t xml:space="preserve">”) </w:t>
      </w:r>
      <w:r>
        <w:rPr>
          <w:sz w:val="24"/>
          <w:u w:val="single"/>
        </w:rPr>
        <w:t>provided</w:t>
      </w:r>
      <w:r>
        <w:rPr>
          <w:sz w:val="24"/>
        </w:rPr>
        <w:t xml:space="preserve"> that any Finance Party may disclose any such Confidential Information (a) as has become generally available to the public, (b) as may be required or appropriate in any report, statement or testimony submitted to any regulatory body having or claiming to have jurisdiction over such Finance Party or to the Federal Reserve Board or the Federal Deposit Insurance Corporation or similar organizations, (c) as may be required or appropriate in respect to any summons or subpoena or in connection with any litigation or proceedings, (d) in order to comply with any law, order, regulation or ruling applicable to such Finance Party, and (e) to the prospective transferee or participant in connection with any contemplated transfer or participation of any of the Notes or any interest therein by such Finance Party; </w:t>
      </w:r>
      <w:r>
        <w:rPr>
          <w:sz w:val="24"/>
          <w:u w:val="single"/>
        </w:rPr>
        <w:t>provided</w:t>
      </w:r>
      <w:r>
        <w:rPr>
          <w:sz w:val="24"/>
        </w:rPr>
        <w:t xml:space="preserve"> that such prospective assignee agrees to be bound by the confidentiality provisions set forth in this Section 22.1. </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22.2   Public Announcements " \l 1 </w:instrText>
      </w:r>
      <w:r>
        <w:rPr>
          <w:sz w:val="24"/>
        </w:rPr>
        <w:fldChar w:fldCharType="separate"/>
      </w:r>
      <w:r>
        <w:rPr>
          <w:sz w:val="24"/>
        </w:rPr>
      </w:r>
      <w:r>
        <w:rPr>
          <w:sz w:val="24"/>
        </w:rPr>
        <w:fldChar w:fldCharType="end"/>
      </w:r>
      <w:r>
        <w:rPr>
          <w:sz w:val="24"/>
        </w:rPr>
        <w:t>.    Except to the extent required by law, all public announcements (if any) in relation to this Agreement shall be made through the Agent.    The Agent will not make any written public announcement in relation to this Agreement without first having the text of the announcement approved by the Trust (such approval not to be unreasonably withheld or delayed).</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XXIIICHANGES TO PARTIES" \l 1 </w:instrText>
      </w:r>
      <w:r>
        <w:rPr/>
        <w:fldChar w:fldCharType="separate"/>
      </w:r>
      <w:r>
        <w:rPr/>
      </w:r>
      <w:r>
        <w:rPr/>
        <w:fldChar w:fldCharType="end"/>
      </w:r>
    </w:p>
    <w:p>
      <w:pPr>
        <w:pStyle w:val="Normal"/>
        <w:keepNext w:val="true"/>
        <w:keepLines/>
        <w:bidi w:val="0"/>
        <w:jc w:val="both"/>
        <w:rPr>
          <w:b/>
          <w:sz w:val="24"/>
        </w:rPr>
      </w:pPr>
      <w:r>
        <w:rPr>
          <w:b/>
          <w:sz w:val="24"/>
        </w:rPr>
      </w:r>
    </w:p>
    <w:p>
      <w:pPr>
        <w:pStyle w:val="Normal"/>
        <w:keepNext w:val="true"/>
        <w:keepLines/>
        <w:bidi w:val="0"/>
        <w:jc w:val="both"/>
        <w:rPr>
          <w:sz w:val="24"/>
        </w:rPr>
      </w:pPr>
      <w:r>
        <w:rPr>
          <w:sz w:val="24"/>
        </w:rPr>
        <w:tab/>
      </w:r>
      <w:r>
        <w:fldChar w:fldCharType="begin"/>
      </w:r>
      <w:r>
        <w:rPr>
          <w:sz w:val="24"/>
        </w:rPr>
        <w:instrText xml:space="preserve"> TC "Section  23.1   Assignment by the Trust " \l 1 </w:instrText>
      </w:r>
      <w:r>
        <w:rPr>
          <w:sz w:val="24"/>
        </w:rPr>
        <w:fldChar w:fldCharType="separate"/>
      </w:r>
      <w:r>
        <w:rPr>
          <w:sz w:val="24"/>
        </w:rPr>
      </w:r>
      <w:r>
        <w:rPr>
          <w:sz w:val="24"/>
        </w:rPr>
        <w:fldChar w:fldCharType="end"/>
      </w:r>
      <w:r>
        <w:rPr>
          <w:sz w:val="24"/>
        </w:rPr>
        <w:t>.    The Trust may not assign or transfer all or any part of its rights or obligations under this Agreement or any of the other Finance Documents without the prior written consent of all of the Lenders.</w:t>
      </w:r>
    </w:p>
    <w:p>
      <w:pPr>
        <w:pStyle w:val="Normal"/>
        <w:keepNext w:val="true"/>
        <w:keepLines/>
        <w:bidi w:val="0"/>
        <w:jc w:val="both"/>
        <w:rPr>
          <w:b/>
          <w:sz w:val="24"/>
        </w:rPr>
      </w:pPr>
      <w:r>
        <w:rPr>
          <w:b/>
          <w:sz w:val="24"/>
        </w:rPr>
      </w:r>
    </w:p>
    <w:p>
      <w:pPr>
        <w:pStyle w:val="Normal"/>
        <w:keepNext w:val="true"/>
        <w:keepLines/>
        <w:bidi w:val="0"/>
        <w:jc w:val="both"/>
        <w:rPr>
          <w:sz w:val="24"/>
        </w:rPr>
      </w:pPr>
      <w:r>
        <w:rPr>
          <w:sz w:val="24"/>
        </w:rPr>
        <w:tab/>
      </w:r>
      <w:r>
        <w:fldChar w:fldCharType="begin"/>
      </w:r>
      <w:r>
        <w:rPr>
          <w:sz w:val="24"/>
        </w:rPr>
        <w:instrText xml:space="preserve"> TC "Section  23.2   Transfers and Assignment of Notes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b/>
          <w:sz w:val="24"/>
        </w:rPr>
      </w:pPr>
      <w:r>
        <w:rPr>
          <w:b/>
          <w:sz w:val="24"/>
        </w:rPr>
      </w:r>
    </w:p>
    <w:p>
      <w:pPr>
        <w:pStyle w:val="Normal"/>
        <w:keepLines/>
        <w:bidi w:val="0"/>
        <w:spacing w:before="0" w:after="240"/>
        <w:jc w:val="both"/>
        <w:rPr>
          <w:sz w:val="24"/>
        </w:rPr>
      </w:pPr>
      <w:r>
        <w:rPr>
          <w:sz w:val="24"/>
        </w:rPr>
        <w:tab/>
        <w:t>(a)</w:t>
        <w:tab/>
        <w:t xml:space="preserve">Each Lender may assign to one or more Eligible Assignees all or a portion of the Note held by it and its rights and obligations under such Note and under the other Finance Documents:    </w:t>
      </w:r>
      <w:r>
        <w:rPr>
          <w:sz w:val="24"/>
          <w:u w:val="single"/>
        </w:rPr>
        <w:t>provided</w:t>
      </w:r>
      <w:r>
        <w:rPr>
          <w:sz w:val="24"/>
        </w:rPr>
        <w:t xml:space="preserve"> that (i) each assignment shall be of a constant, and not a varying, percentage of all such rights and obligations; (ii) the aggregate principal amount of the Note being assigned pursuant to each such assignment shall in no event be less than $5,000,000; </w:t>
      </w:r>
      <w:ins w:id="702" w:author="">
        <w:r>
          <w:rPr>
            <w:strike/>
            <w:sz w:val="24"/>
          </w:rPr>
          <w:t>and</w:t>
        </w:r>
      </w:ins>
      <w:r>
        <w:rPr>
          <w:sz w:val="24"/>
        </w:rPr>
        <w:t>(iii) no Lender may assign its Note if, after giving effect to such assignment there would be more than 30 holders of all of the Notes</w:t>
      </w:r>
      <w:ins w:id="703" w:author="">
        <w:r>
          <w:rPr>
            <w:b/>
            <w:sz w:val="24"/>
            <w:u w:val="double"/>
          </w:rPr>
          <w:t>; and (iv) any Lender assigning all or a portion of the Note held by it shall also assign the same portion of the note held by it pursuant to the Hawaii II Facility Agreement to the same assignee</w:t>
        </w:r>
      </w:ins>
      <w:r>
        <w:rPr>
          <w:sz w:val="24"/>
        </w:rPr>
        <w:t>.    The required amounts for portions of any Notes being assigned under this Section 23.2(a) shall not be construed to prevent an assignment of the entire principal amount of the Note then held by a Lender.</w:t>
      </w:r>
    </w:p>
    <w:p>
      <w:pPr>
        <w:pStyle w:val="Normal"/>
        <w:bidi w:val="0"/>
        <w:spacing w:before="0" w:after="240"/>
        <w:jc w:val="both"/>
        <w:rPr>
          <w:sz w:val="24"/>
        </w:rPr>
      </w:pPr>
      <w:r>
        <w:rPr>
          <w:sz w:val="24"/>
        </w:rPr>
        <w:tab/>
        <w:t>(b)</w:t>
        <w:tab/>
        <w:t xml:space="preserve">The parties to each assignment pursuant to this Section 23.2(b) shall execute and deliver to the Trust and the Agent an Instrument of Assignment (for the Agent’s acceptance and recording in the Record).    Upon such execution, delivery and acceptance by the Trust and the Agent, and recording from and after the effective date specified in each Instrument of Assignment (which effective date shall be at least five Business Days after the execution of such Assignment), (i) the assignee thereunder (the </w:t>
      </w:r>
      <w:r>
        <w:rPr>
          <w:b/>
          <w:sz w:val="24"/>
        </w:rPr>
        <w:t>“</w:t>
      </w:r>
      <w:r>
        <w:rPr>
          <w:b/>
          <w:sz w:val="24"/>
          <w:u w:val="single"/>
        </w:rPr>
        <w:t>Assignee</w:t>
      </w:r>
      <w:r>
        <w:rPr>
          <w:b/>
          <w:sz w:val="24"/>
        </w:rPr>
        <w:t>”</w:t>
      </w:r>
      <w:r>
        <w:rPr>
          <w:sz w:val="24"/>
        </w:rPr>
        <w:t xml:space="preserve">) shall be a party to this Agreement and (ii) to the extent that rights and obligations hereunder have been assigned by the assignor thereunder (the </w:t>
      </w:r>
      <w:r>
        <w:rPr>
          <w:b/>
          <w:sz w:val="24"/>
        </w:rPr>
        <w:t>“</w:t>
      </w:r>
      <w:r>
        <w:rPr>
          <w:b/>
          <w:sz w:val="24"/>
          <w:u w:val="single"/>
        </w:rPr>
        <w:t>Assignor</w:t>
      </w:r>
      <w:r>
        <w:rPr>
          <w:b/>
          <w:sz w:val="24"/>
        </w:rPr>
        <w:t>”</w:t>
      </w:r>
      <w:r>
        <w:rPr>
          <w:sz w:val="24"/>
        </w:rPr>
        <w:t xml:space="preserve">), relinquish its rights (other than any rights to indemnification it may have under the Finance Documents) and be released from its obligations under the Finance Documents with respect to all or such portion (as applicable) of its Note (and, in the case of an assignment covering all or the remaining portion of the Assignor’s rights and obligations under the Finance Documents, such Assignor shall, except as set forth above, cease to be a party hereto). </w:t>
      </w:r>
    </w:p>
    <w:p>
      <w:pPr>
        <w:pStyle w:val="Normal"/>
        <w:bidi w:val="0"/>
        <w:spacing w:before="0" w:after="240"/>
        <w:jc w:val="both"/>
        <w:rPr>
          <w:sz w:val="24"/>
        </w:rPr>
      </w:pPr>
      <w:r>
        <w:rPr>
          <w:sz w:val="24"/>
        </w:rPr>
        <w:tab/>
        <w:t>(c)</w:t>
        <w:tab/>
        <w:t>By executing and delivering an Instrument of Assignment, the Assignor and the Assignee thereunder confirm to and agree with each other and the other parties hereto as follows: (i) other than as provided in such Instrument of Assignment, the Assignor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hereto; (ii) the Assignor makes no representation or warranty and assumes no responsibility with respect to the financial condition of the Trust, the Asset LLCs, the Transferors, Enron, or any other Person or the performance or observance by such Persons of any of their obligations under any Finance Document or any other instrument or document furnished pursuant thereto or thereto; (iii) such Assignee confirms that it has received a copy of this Agreement and such other documents and information as it has deemed appropriate to make its own credit analysis and decision with respect to entering into such Instrument of Assignment; (iv) such Assignee will, independently and without reliance upon the Agent, the Syndication Agent, the Documentation Agent, the Arranger, the Co</w:t>
        <w:noBreakHyphen/>
        <w:t>Arrangers, such Assignor, or any other Person and based on such documents and information as it shall deem appropriate at the time, continue to make its own credit decisions in taking or not taking action under any Finance Document; (v) such Assignee confirms that it is an Eligible Assignee; (vi) such Assignee appoints and authorizes the Agent to take such action as agent on its behalf and to exercise such powers under the Finance Documents as are delegated to the Agent by the terms hereof and thereof, together with such powers as are reasonably incidental thereto; (vii) such Assignee makes the representations set forth in this Section 23.2(c); (viii) such Assignee agrees that it will perform in accordance with their terms all of the obligations which by the terms of any Finance Documents are required to be performed by it as a Lender and (ix) such Assignor or such Assignee must also pay a processing fee to the Agent upon delivery of any Instrument of Assignment in the amount of $3,500.</w:t>
      </w:r>
    </w:p>
    <w:p>
      <w:pPr>
        <w:pStyle w:val="Normal"/>
        <w:bidi w:val="0"/>
        <w:spacing w:before="0" w:after="240"/>
        <w:jc w:val="both"/>
        <w:rPr>
          <w:sz w:val="24"/>
        </w:rPr>
      </w:pPr>
      <w:r>
        <w:rPr>
          <w:sz w:val="24"/>
        </w:rPr>
        <w:tab/>
        <w:t>(d)</w:t>
        <w:tab/>
        <w:t>The Agent shall maintain at its address listed on Schedule 1 a copy of each Instrument of Assignment delivered to and accented by it and a register for the recordation of the names and addresses of the Lenders and the amounts outstanding under the Note of each Lender from time to time (the “</w:t>
      </w:r>
      <w:r>
        <w:rPr>
          <w:b/>
          <w:sz w:val="24"/>
          <w:u w:val="single"/>
        </w:rPr>
        <w:t>Record</w:t>
      </w:r>
      <w:r>
        <w:rPr>
          <w:sz w:val="24"/>
        </w:rPr>
        <w:t>”).    The entries in the Record shall be conclusive and binding for all purposes, absent manifest error, and the Agent may treat each Person whose name is recorded in the Record as a Lender hereunder for all purposes of the Finance Documents.    The Record shall be available for inspection by any Lender at any reasonable time during business hours and from time to time upon reasonable prior notice.</w:t>
      </w:r>
    </w:p>
    <w:p>
      <w:pPr>
        <w:pStyle w:val="Normal"/>
        <w:bidi w:val="0"/>
        <w:spacing w:before="0" w:after="240"/>
        <w:jc w:val="both"/>
        <w:rPr>
          <w:sz w:val="24"/>
        </w:rPr>
      </w:pPr>
      <w:r>
        <w:rPr>
          <w:sz w:val="24"/>
        </w:rPr>
        <w:tab/>
        <w:t>(e)</w:t>
        <w:tab/>
        <w:t>Upon its receipt of an Instrument of Assignment executed by an Assignor and the Assignee (including the confirmation by the Assignee that it is an Eligible Assignee) the Agent shall, provided the Assignee is reasonably acceptable to the Agent (i) accept such Instrument of Assignment (without any act or signature of the Trust required) and (ii) record the information contained therein in the Record.</w:t>
      </w:r>
    </w:p>
    <w:p>
      <w:pPr>
        <w:pStyle w:val="Normal"/>
        <w:bidi w:val="0"/>
        <w:spacing w:before="0" w:after="240"/>
        <w:jc w:val="both"/>
        <w:rPr>
          <w:sz w:val="24"/>
        </w:rPr>
      </w:pPr>
      <w:r>
        <w:rPr>
          <w:sz w:val="24"/>
        </w:rPr>
        <w:tab/>
        <w:t>(f)</w:t>
        <w:tab/>
        <w:t>Any Lender may, in connection with any assignment pursuant to this Section 23.2, disclose to the proposed assignee any Confidential Information furnished to such Lender; provided that prior to any such disclosure, the proposed assignee or participant agrees in writing to be obligated to comply with the confidentiality and non</w:t>
        <w:noBreakHyphen/>
        <w:t>disclosure provisions set forth in Section 22.1 of this Agreement.</w:t>
      </w:r>
    </w:p>
    <w:p>
      <w:pPr>
        <w:pStyle w:val="Normal"/>
        <w:bidi w:val="0"/>
        <w:spacing w:before="0" w:after="240"/>
        <w:jc w:val="both"/>
        <w:rPr>
          <w:sz w:val="24"/>
        </w:rPr>
      </w:pPr>
      <w:r>
        <w:rPr>
          <w:sz w:val="24"/>
        </w:rPr>
        <w:tab/>
        <w:t>(g)</w:t>
        <w:tab/>
        <w:t xml:space="preserve">Notwithstanding the provisions of this Section 23.2 to the contrary, any Lender may assign and pledge, as collateral or otherwise, and without notice to or consent to the Trust, any Note held by it and any of its rights (including rights to payment of the principal of and interest on such Note) under the Finance Documents to any Federal Reserve Bank, the United States Treasury or to any other financial institution as collateral security pursuant to Regulation A and any operating circular issued by the Federal Reserve System or the Federal Reserve Bank or otherwise; </w:t>
      </w:r>
      <w:r>
        <w:rPr>
          <w:sz w:val="24"/>
          <w:u w:val="single"/>
        </w:rPr>
        <w:t>provided</w:t>
      </w:r>
      <w:r>
        <w:rPr>
          <w:sz w:val="24"/>
        </w:rPr>
        <w:t xml:space="preserve"> that any payment made for the benefit of such assigning or pledging Lender in accordance with the terms of the Finance Documents shall satisfy all obligations under the Finance Document in respect thereof to the extent of such payment.</w:t>
      </w:r>
    </w:p>
    <w:p>
      <w:pPr>
        <w:pStyle w:val="Normal"/>
        <w:bidi w:val="0"/>
        <w:spacing w:before="0" w:after="240"/>
        <w:jc w:val="both"/>
        <w:rPr>
          <w:sz w:val="24"/>
        </w:rPr>
      </w:pPr>
      <w:r>
        <w:rPr>
          <w:sz w:val="24"/>
        </w:rPr>
        <w:tab/>
        <w:t>(h)</w:t>
        <w:tab/>
        <w:t>Upon the effectiveness of each assignment effected pursuant to this Section 23.2 the Trust shall deliver to each of the Assignor and the Assignee, in exchange for the Note previously delivered by the Trust to the Assignor, appropriately completed Notes dated the Effective Date (as defined in the applicable Instrument of Assignment), payable to each of the Assignor and the Assignee in an aggregate amount equal to their respective Advance outstanding hereunder, after giving effect to such assignment, and otherwise duly completed.</w:t>
      </w:r>
    </w:p>
    <w:p>
      <w:pPr>
        <w:pStyle w:val="Normal"/>
        <w:keepNext w:val="true"/>
        <w:bidi w:val="0"/>
        <w:spacing w:before="0" w:after="240"/>
        <w:jc w:val="both"/>
        <w:rPr>
          <w:sz w:val="24"/>
        </w:rPr>
      </w:pPr>
      <w:r>
        <w:rPr>
          <w:sz w:val="24"/>
        </w:rPr>
        <w:tab/>
        <w:t>(i)</w:t>
        <w:tab/>
        <w:t xml:space="preserve">Each Lender, in accordance with applicable law, may sell participations to one or more banks or other entities (other than the Trust or any of its Affiliates) in or to all or a portion of its rights and obligations under this Agreement (including, without limitation, all, or a portion of, its Commitment, the Advances owing to it and the Notes held by it); </w:t>
      </w:r>
      <w:r>
        <w:rPr>
          <w:sz w:val="24"/>
          <w:u w:val="single"/>
        </w:rPr>
        <w:t>provided</w:t>
      </w:r>
      <w:r>
        <w:rPr>
          <w:sz w:val="24"/>
        </w:rPr>
        <w:t xml:space="preserve">, </w:t>
      </w:r>
      <w:r>
        <w:rPr>
          <w:sz w:val="24"/>
          <w:u w:val="single"/>
        </w:rPr>
        <w:t>however</w:t>
      </w:r>
      <w:r>
        <w:rPr>
          <w:sz w:val="24"/>
        </w:rPr>
        <w:t>, that (i) such Lender's obligations under this Agree</w:t>
        <w:softHyphen/>
        <w:t>ment (including, without limitation, its Commitment to the Trust hereunder) shall remain unchanged, (ii) such Lender shall remain solely responsible to the other parties hereto for the performance of such obligations, (iii) such Lender shall remain the holder of any such Notes for all purposes of this Agreement, (iv) the Trust, the Agent and the other Lenders shall continue to deal solely and directly with such Lender in connection with such Lender's rights and obligations under this Agreement, (v) the terms of any such partici</w:t>
        <w:softHyphen/>
        <w:t>pation shall not restrict such Lender's ability to make any amendment or waiver of this Agreement or any Note or such Lender’s ability to consent to any departure by the Trust therefrom without the approval of the participant, except that the approval of the participant may be required to the extent that such amendment, waiver or consent would reduce the principal of, or interest on, the Notes or any fees or other amounts payable hereunder, in each case to the extent subject to such participation, or postpone any date fixed for any payment of principal of, or interest on, the Notes or any fees or other amounts payable hereunder, in each case to the extent subject to such participation, and (vi) no such participant shall be entitled to receive any greater payment pursuant to Sections 8.4, 8.6 and 8.8 than such Lender would have been entitled to receive with respect to the rights assigned to such participant by such Lender except as a result of circumstances arising after the date of such participation to the extent that such circumstances affect other Lenders and participants generally.</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XXIVLENDER DECISIONS"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24.1   Lender Decisions " \l 1 </w:instrText>
      </w:r>
      <w:r>
        <w:rPr>
          <w:sz w:val="24"/>
        </w:rPr>
        <w:fldChar w:fldCharType="separate"/>
      </w:r>
      <w:r>
        <w:rPr>
          <w:sz w:val="24"/>
        </w:rPr>
      </w:r>
      <w:r>
        <w:rPr>
          <w:sz w:val="24"/>
        </w:rPr>
        <w:fldChar w:fldCharType="end"/>
      </w:r>
      <w:r>
        <w:rPr>
          <w:sz w:val="24"/>
        </w:rPr>
        <w:t xml:space="preserve">.    Any provision of this Agreement or any of the other Operative Documents may be amended, waived, varied or modified with the agreement of the Majority Lenders; </w:t>
      </w:r>
      <w:r>
        <w:rPr>
          <w:sz w:val="24"/>
          <w:u w:val="single"/>
        </w:rPr>
        <w:t>provided</w:t>
      </w:r>
      <w:r>
        <w:rPr>
          <w:sz w:val="24"/>
        </w:rPr>
        <w:t>, that the following matters shall require the unanimous agreement of all of the Lenders:</w:t>
      </w:r>
    </w:p>
    <w:p>
      <w:pPr>
        <w:pStyle w:val="Normal"/>
        <w:bidi w:val="0"/>
        <w:jc w:val="both"/>
        <w:rPr>
          <w:sz w:val="24"/>
        </w:rPr>
      </w:pPr>
      <w:r>
        <w:rPr>
          <w:sz w:val="24"/>
        </w:rPr>
      </w:r>
    </w:p>
    <w:p>
      <w:pPr>
        <w:pStyle w:val="Normal"/>
        <w:bidi w:val="0"/>
        <w:spacing w:before="0" w:after="240"/>
        <w:jc w:val="both"/>
        <w:rPr>
          <w:sz w:val="24"/>
        </w:rPr>
      </w:pPr>
      <w:r>
        <w:rPr>
          <w:sz w:val="24"/>
        </w:rPr>
        <w:tab/>
        <w:t>(a)</w:t>
        <w:tab/>
        <w:t>except as provided in Section 3.3, any increase in any Commitment of any Lender;</w:t>
      </w:r>
    </w:p>
    <w:p>
      <w:pPr>
        <w:pStyle w:val="Normal"/>
        <w:bidi w:val="0"/>
        <w:spacing w:before="0" w:after="240"/>
        <w:jc w:val="both"/>
        <w:rPr>
          <w:sz w:val="24"/>
        </w:rPr>
      </w:pPr>
      <w:r>
        <w:rPr>
          <w:sz w:val="24"/>
        </w:rPr>
        <w:tab/>
        <w:t>(b)</w:t>
        <w:tab/>
        <w:t xml:space="preserve">any extension of any scheduled date for payment of any sum due, owing or payable to the Lenders </w:t>
      </w:r>
      <w:ins w:id="704" w:author="">
        <w:r>
          <w:rPr>
            <w:strike/>
            <w:sz w:val="24"/>
          </w:rPr>
          <w:t>or any amendment to the definition of Second Closing Date</w:t>
        </w:r>
      </w:ins>
      <w:r>
        <w:rPr>
          <w:sz w:val="24"/>
        </w:rPr>
        <w:t>;</w:t>
      </w:r>
    </w:p>
    <w:p>
      <w:pPr>
        <w:pStyle w:val="Normal"/>
        <w:bidi w:val="0"/>
        <w:spacing w:before="0" w:after="240"/>
        <w:jc w:val="both"/>
        <w:rPr>
          <w:sz w:val="24"/>
        </w:rPr>
      </w:pPr>
      <w:r>
        <w:rPr>
          <w:sz w:val="24"/>
        </w:rPr>
        <w:tab/>
        <w:t>(c)</w:t>
        <w:tab/>
        <w:t>any reduction in the amount of any payment of principal, interest, fees for the account of the Lenders, or commissions or other amounts payable hereunder by any party, including without limitation mandatory prepayments;</w:t>
      </w:r>
    </w:p>
    <w:p>
      <w:pPr>
        <w:pStyle w:val="Normal"/>
        <w:bidi w:val="0"/>
        <w:spacing w:before="0" w:after="240"/>
        <w:jc w:val="both"/>
        <w:rPr>
          <w:sz w:val="24"/>
        </w:rPr>
      </w:pPr>
      <w:r>
        <w:rPr>
          <w:sz w:val="24"/>
        </w:rPr>
        <w:tab/>
        <w:t>(d)</w:t>
        <w:tab/>
        <w:t>any amendment, waiver, variation or modification of this Article XXIV, Article XVII, Article XVIII, Section 23.1, Section 12.2(g), Section 12.2(h) or to the definition of Majority Lenders;</w:t>
      </w:r>
    </w:p>
    <w:p>
      <w:pPr>
        <w:pStyle w:val="Normal"/>
        <w:bidi w:val="0"/>
        <w:spacing w:before="0" w:after="240"/>
        <w:jc w:val="both"/>
        <w:rPr>
          <w:sz w:val="24"/>
        </w:rPr>
      </w:pPr>
      <w:r>
        <w:rPr>
          <w:sz w:val="24"/>
        </w:rPr>
        <w:tab/>
        <w:t>(e)</w:t>
        <w:tab/>
        <w:t xml:space="preserve">any release or discharge of, or any amendment which will or is reasonably likely to permit the release or discharge of, </w:t>
      </w:r>
      <w:ins w:id="705" w:author="">
        <w:r>
          <w:rPr>
            <w:strike/>
            <w:sz w:val="24"/>
          </w:rPr>
          <w:t>the</w:t>
        </w:r>
      </w:ins>
      <w:r>
        <w:rPr>
          <w:sz w:val="24"/>
        </w:rPr>
        <w:t xml:space="preserve"> </w:t>
      </w:r>
      <w:ins w:id="706" w:author="">
        <w:r>
          <w:rPr>
            <w:b/>
            <w:sz w:val="24"/>
            <w:u w:val="double"/>
          </w:rPr>
          <w:t>any</w:t>
        </w:r>
      </w:ins>
      <w:r>
        <w:rPr>
          <w:sz w:val="24"/>
        </w:rPr>
        <w:t xml:space="preserve"> Total Return Swap Agreement</w:t>
      </w:r>
      <w:ins w:id="707" w:author="">
        <w:r>
          <w:rPr>
            <w:b/>
            <w:sz w:val="24"/>
            <w:u w:val="double"/>
          </w:rPr>
          <w:t>, the Enron Guaranty</w:t>
        </w:r>
      </w:ins>
      <w:r>
        <w:rPr>
          <w:sz w:val="24"/>
        </w:rPr>
        <w:t xml:space="preserve"> or any Put Option Agreement or </w:t>
      </w:r>
      <w:ins w:id="708" w:author="">
        <w:r>
          <w:rPr>
            <w:b/>
            <w:sz w:val="24"/>
            <w:u w:val="double"/>
          </w:rPr>
          <w:t>Put Option Assignment or</w:t>
        </w:r>
      </w:ins>
      <w:r>
        <w:rPr>
          <w:sz w:val="24"/>
        </w:rPr>
        <w:t xml:space="preserve"> any Demand Note </w:t>
      </w:r>
      <w:ins w:id="709" w:author="">
        <w:r>
          <w:rPr>
            <w:b/>
            <w:sz w:val="24"/>
            <w:u w:val="double"/>
          </w:rPr>
          <w:t>or Demand Note Assignment</w:t>
        </w:r>
      </w:ins>
      <w:r>
        <w:rPr>
          <w:sz w:val="24"/>
        </w:rPr>
        <w:t xml:space="preserve"> other than in accordance with their respective terms; and</w:t>
      </w:r>
    </w:p>
    <w:p>
      <w:pPr>
        <w:pStyle w:val="Normal"/>
        <w:keepNext w:val="true"/>
        <w:bidi w:val="0"/>
        <w:spacing w:before="0" w:after="240"/>
        <w:jc w:val="both"/>
        <w:rPr>
          <w:sz w:val="24"/>
        </w:rPr>
      </w:pPr>
      <w:r>
        <w:rPr>
          <w:sz w:val="24"/>
        </w:rPr>
        <w:tab/>
        <w:t>(f)</w:t>
        <w:tab/>
        <w:t xml:space="preserve">any instructions to the Trust to consent to the assignment of </w:t>
      </w:r>
      <w:ins w:id="710" w:author="">
        <w:r>
          <w:rPr>
            <w:strike/>
            <w:sz w:val="24"/>
          </w:rPr>
          <w:t>the</w:t>
        </w:r>
      </w:ins>
      <w:r>
        <w:rPr>
          <w:sz w:val="24"/>
        </w:rPr>
        <w:t xml:space="preserve"> </w:t>
      </w:r>
      <w:ins w:id="711" w:author="">
        <w:r>
          <w:rPr>
            <w:b/>
            <w:sz w:val="24"/>
            <w:u w:val="double"/>
          </w:rPr>
          <w:t>any</w:t>
        </w:r>
      </w:ins>
      <w:r>
        <w:rPr>
          <w:sz w:val="24"/>
        </w:rPr>
        <w:t xml:space="preserve"> Total Return Swap Agreement</w:t>
      </w:r>
      <w:ins w:id="712" w:author="">
        <w:r>
          <w:rPr>
            <w:b/>
            <w:sz w:val="24"/>
            <w:u w:val="double"/>
          </w:rPr>
          <w:t>, the Enron Guaranty</w:t>
        </w:r>
      </w:ins>
      <w:r>
        <w:rPr>
          <w:sz w:val="24"/>
        </w:rPr>
        <w:t xml:space="preserve"> or any Put Option Agreement or to deliver any Put Notice or to instruct the Trust to direct any Asset LLC to exercise rights with respect to any Demand Note.</w:t>
      </w:r>
    </w:p>
    <w:p>
      <w:pPr>
        <w:pStyle w:val="Normal"/>
        <w:keepLines/>
        <w:bidi w:val="0"/>
        <w:jc w:val="both"/>
        <w:rPr>
          <w:sz w:val="24"/>
        </w:rPr>
      </w:pPr>
      <w:r>
        <w:rPr>
          <w:sz w:val="24"/>
        </w:rPr>
        <w:tab/>
      </w:r>
      <w:r>
        <w:fldChar w:fldCharType="begin"/>
      </w:r>
      <w:r>
        <w:rPr>
          <w:sz w:val="24"/>
        </w:rPr>
        <w:instrText xml:space="preserve"> TC "Section  24.2   Other Unanimous Actions " \l 1 </w:instrText>
      </w:r>
      <w:r>
        <w:rPr>
          <w:sz w:val="24"/>
        </w:rPr>
        <w:fldChar w:fldCharType="separate"/>
      </w:r>
      <w:r>
        <w:rPr>
          <w:sz w:val="24"/>
        </w:rPr>
      </w:r>
      <w:r>
        <w:rPr>
          <w:sz w:val="24"/>
        </w:rPr>
        <w:fldChar w:fldCharType="end"/>
      </w:r>
      <w:r>
        <w:rPr>
          <w:sz w:val="24"/>
        </w:rPr>
        <w:t>.    Any matter which, by the terms of this Agreement as of the date hereof, is stated to be subject to the consent of all Lenders shall not be amended, varied or modified save with the consent of all the Lenders.    Any amendment, waiver, variation or modification of this Article XXIV may not be effected without the agreement of the Agent.</w:t>
      </w:r>
    </w:p>
    <w:p>
      <w:pPr>
        <w:pStyle w:val="Normal"/>
        <w:bidi w:val="0"/>
        <w:jc w:val="both"/>
        <w:rPr>
          <w:sz w:val="24"/>
        </w:rPr>
      </w:pPr>
      <w:r>
        <w:rPr>
          <w:sz w:val="24"/>
        </w:rPr>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XXVINDEMNITIES"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25.1   General Indemnity and Breakage Costs " \l 1 </w:instrText>
      </w:r>
      <w:r>
        <w:rPr>
          <w:sz w:val="24"/>
        </w:rPr>
        <w:fldChar w:fldCharType="separate"/>
      </w:r>
      <w:r>
        <w:rPr>
          <w:sz w:val="24"/>
        </w:rPr>
      </w:r>
      <w:r>
        <w:rPr>
          <w:sz w:val="24"/>
        </w:rPr>
        <w:fldChar w:fldCharType="end"/>
      </w:r>
      <w:r>
        <w:rPr>
          <w:sz w:val="24"/>
        </w:rPr>
        <w:t xml:space="preserve">.    The Trust will, to the fullest extent permitted under applicable law, indemnify each of the Finance Parties, and their respective subsidiaries and Affiliates and the officers, directors, employees and agents of each of the foregoing (collectively the </w:t>
      </w:r>
      <w:r>
        <w:rPr>
          <w:b/>
          <w:sz w:val="24"/>
        </w:rPr>
        <w:t>“</w:t>
      </w:r>
      <w:r>
        <w:rPr>
          <w:b/>
          <w:sz w:val="24"/>
          <w:u w:val="single"/>
        </w:rPr>
        <w:t>Finance Indemnitees</w:t>
      </w:r>
      <w:r>
        <w:rPr>
          <w:b/>
          <w:sz w:val="24"/>
        </w:rPr>
        <w:t>”</w:t>
      </w:r>
      <w:r>
        <w:rPr>
          <w:sz w:val="24"/>
        </w:rPr>
        <w:t>) from and against any liability (including, without limitation, reasonable fees and disbursements of counsel but excluding any Taxes except as provided in Section 8.8) which any of the Finance Indemnitees may incur as a consequence of or in connection with (i) the making of the Advances or the use of proceeds thereof or (ii) the execution, delivery performance or enforcement of any of the Operative Documents other than, in the case of a Finance Indemnitee, any such expense, loss, damage or liability which results from the gross negligence or willful misconduct of such Finance Indemnitee or which is otherwise reimbursed by the Trust under the Operative Documents.    The Trust will further fully indemnify each of the Finance Indemnitees from and against any expense, loss, damage or liability (including, without limitation, costs of enforcement but excluding loss of anticipated profits or other consequential damages) which they may reasonably incur as a consequence of any breach of this Agreement by the Trust or any Event of Default, any failure to pay any sum due pursuant to the Operative Documents when due, or any failure to borrow when obliged to do so in accordance with this Agreement (including, without limitation, failure to satisfy any conditions precedent to such borrowings), failing to borrow an Advance requested in the Drawdown Notice on the Drawdown Date or repaying the LIBOR Advances otherwise than on the last day of an Interest Period, any Interest Period ending before its scheduled end date in the circumstances specified in Section 8.2(a)(ii), or in connection with any breach by the Trust of this Agreement or of any Operative Document, as the case may be, except where it is otherwise reimbursed by the Trust under the Operative Documents.    Without prejudice to its generality, the indemnity in the preceding sentence extends to any interest, fees or other sums on account of any funds borrowed in order to carry any amount which the Trust fails to pay in breach of any Operative Document and to any loss (excluding loss of anticipated profits or other consequential damages), premium, penalty or expenses which may be reasonably incurred in liquidating or employing deposits from third parties acquired to make, maintain or fund the outstanding Advances or any other amount due or to become due under this Agreement.    Nothing in this Article XXV shall limit the right of any Finance Indemnitee to damages at law.    The Trust shall have no obligation under this Section 25.1 in respect of any claim of any liability, notice of which is not given to the Trust in writing by such Finance Indemnitee within 90 days of such Finance Indemnitee first receiving written notice thereof.    Notwithstanding any other provision of this Section 25.1, the indemnity of the Finance Indemnitees in respect of liabilities arising in connection with the negotiation, preparation and execution of the Operative Documents shall extend only to the reasonable fees and disbursements of Mayer, Brown &amp; Platt, counsel to the Agent.</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XXVIGOVERNING LAW"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t>THIS AGREEMENT SHALL BE GOVERNED BY AND CONSTRUED IN ACCORDANCE WITH THE LAWS OF THE STATE OF NEW YORK.</w:t>
      </w:r>
    </w:p>
    <w:p>
      <w:pPr>
        <w:pStyle w:val="Normal"/>
        <w:keepNext w:val="true"/>
        <w:keepLines/>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XXVIICOUNTERPARTS"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t>This Agreement may be executed in any number of counterparts and all of such counterparts taken together shall be deemed to constitute one and the same instrument.</w:t>
      </w:r>
    </w:p>
    <w:p>
      <w:pPr>
        <w:pStyle w:val="Normal"/>
        <w:keepNext w:val="true"/>
        <w:keepLines/>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XXVIIITHE TRUST INSTITUTION"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t>It is expressly understood and agreed by the parties hereto that (a) this Agreement is executed and delivered by Wilmington Trust Company (</w:t>
      </w:r>
      <w:r>
        <w:rPr>
          <w:b/>
          <w:sz w:val="24"/>
        </w:rPr>
        <w:t>“</w:t>
      </w:r>
      <w:r>
        <w:rPr>
          <w:b/>
          <w:sz w:val="24"/>
          <w:u w:val="single"/>
        </w:rPr>
        <w:t>Wilmington</w:t>
      </w:r>
      <w:r>
        <w:rPr>
          <w:b/>
          <w:sz w:val="24"/>
        </w:rPr>
        <w:t>”</w:t>
      </w:r>
      <w:r>
        <w:rPr>
          <w:sz w:val="24"/>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Agreement.</w:t>
      </w:r>
    </w:p>
    <w:p>
      <w:pPr>
        <w:pStyle w:val="Normal"/>
        <w:bidi w:val="0"/>
        <w:jc w:val="both"/>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ins w:id="713" w:author="">
        <w:r>
          <w:rPr>
            <w:strike/>
            <w:sz w:val="24"/>
          </w:rPr>
          <w:t>[Remainder of Page Intentionally Left Blank]</w:t>
        </w:r>
      </w:ins>
    </w:p>
    <w:p>
      <w:pPr>
        <w:pStyle w:val="Normal"/>
        <w:bidi w:val="0"/>
        <w:jc w:val="start"/>
        <w:rPr>
          <w:sz w:val="24"/>
        </w:rPr>
      </w:pPr>
      <w:r>
        <w:rPr>
          <w:sz w:val="24"/>
        </w:rPr>
      </w: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b/>
        <w:tab/>
        <w:tab/>
        <w:tab/>
        <w:tab/>
        <w:tab/>
      </w:r>
      <w:r>
        <w:rPr>
          <w:b/>
          <w:sz w:val="24"/>
          <w:u w:val="single"/>
        </w:rPr>
        <w:t>THE TRUST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b/>
        <w:tab/>
        <w:tab/>
        <w:tab/>
        <w:tab/>
        <w:tab/>
      </w:r>
      <w:r>
        <w:rPr>
          <w:b/>
          <w:sz w:val="24"/>
        </w:rPr>
        <w:t xml:space="preserve">Hawaii </w:t>
      </w:r>
      <w:ins w:id="714" w:author="">
        <w:r>
          <w:rPr>
            <w:b/>
            <w:sz w:val="24"/>
            <w:u w:val="double"/>
          </w:rPr>
          <w:t>I</w:t>
        </w:r>
      </w:ins>
      <w:r>
        <w:rPr>
          <w:b/>
          <w:sz w:val="24"/>
        </w:rPr>
        <w:t xml:space="preserve"> 125</w:t>
        <w:noBreakHyphen/>
        <w:t>0 Trust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start"/>
        <w:rPr>
          <w:sz w:val="24"/>
        </w:rPr>
      </w:pPr>
      <w:r>
        <w:rPr>
          <w:sz w:val="24"/>
        </w:rPr>
        <w:tab/>
        <w:tab/>
        <w:tab/>
        <w:tab/>
        <w:tab/>
        <w:tab/>
        <w:t>By:</w:t>
        <w:tab/>
        <w:t>Wilmington Trust Company, not in its individual capacity, but solely as Owner Trustee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trike/>
          <w:sz w:val="24"/>
          <w:ins w:id="716" w:author=""/>
        </w:rPr>
      </w:pPr>
      <w:r>
        <w:rPr>
          <w:sz w:val="24"/>
        </w:rPr>
        <w:tab/>
        <w:tab/>
        <w:tab/>
        <w:tab/>
        <w:tab/>
        <w:tab/>
      </w:r>
      <w:ins w:id="715" w:author="">
        <w:r>
          <w:rPr>
            <w:b/>
            <w:strike/>
            <w:sz w:val="24"/>
          </w:rPr>
          <w:t>A LENDER</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trike/>
          <w:sz w:val="24"/>
          <w:ins w:id="718" w:author=""/>
        </w:rPr>
      </w:pPr>
      <w:ins w:id="717" w:author="">
        <w:r>
          <w:rPr>
            <w:b/>
            <w:strike/>
            <w:sz w:val="24"/>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ins w:id="719" w:author="">
        <w:r>
          <w:rPr>
            <w:b/>
            <w:strike/>
            <w:sz w:val="24"/>
          </w:rPr>
          <w:t>CANADIAN IMPERIAL BANK OF COMMERCE</w:t>
        </w:r>
      </w:ins>
      <w:ins w:id="720" w:author="">
        <w:r>
          <w:rPr>
            <w:b/>
            <w:sz w:val="24"/>
            <w:u w:val="double"/>
          </w:rPr>
          <w:t>____________________________________________</w:t>
        </w:r>
      </w:ins>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rPr>
        <w:tab/>
        <w:tab/>
        <w:tab/>
        <w:tab/>
        <w:tab/>
        <w:tab/>
        <w:t>in its capacity as a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b/>
        <w:tab/>
        <w:tab/>
        <w:tab/>
        <w:tab/>
        <w:tab/>
      </w:r>
      <w:ins w:id="721" w:author="">
        <w:r>
          <w:rPr>
            <w:b/>
            <w:strike/>
            <w:sz w:val="24"/>
          </w:rPr>
          <w:t>BAYERISCHE LANDESBANK</w:t>
        </w:r>
      </w:ins>
      <w:ins w:id="722" w:author="">
        <w:r>
          <w:rPr>
            <w:b/>
            <w:sz w:val="24"/>
            <w:u w:val="double"/>
          </w:rPr>
          <w:t>____________________________________________</w:t>
        </w:r>
      </w:ins>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b/>
        <w:tab/>
        <w:tab/>
        <w:tab/>
        <w:tab/>
        <w:tab/>
      </w:r>
      <w:ins w:id="723" w:author="">
        <w:r>
          <w:rPr>
            <w:b/>
            <w:strike/>
            <w:sz w:val="24"/>
          </w:rPr>
          <w:t>FIRST UNION NATIONAL BANK</w:t>
        </w:r>
      </w:ins>
      <w:ins w:id="724" w:author="">
        <w:r>
          <w:rPr>
            <w:b/>
            <w:sz w:val="24"/>
            <w:u w:val="double"/>
          </w:rPr>
          <w:t>____________________________________________</w:t>
        </w:r>
      </w:ins>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b/>
        <w:tab/>
        <w:tab/>
        <w:tab/>
        <w:tab/>
        <w:tab/>
      </w:r>
      <w:ins w:id="725" w:author="">
        <w:r>
          <w:rPr>
            <w:b/>
            <w:strike/>
            <w:sz w:val="24"/>
          </w:rPr>
          <w:t>BNP PARIBAS</w:t>
        </w:r>
      </w:ins>
      <w:ins w:id="726" w:author="">
        <w:r>
          <w:rPr>
            <w:b/>
            <w:sz w:val="24"/>
            <w:u w:val="double"/>
          </w:rPr>
          <w:t>____________________________________________</w:t>
        </w:r>
      </w:ins>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960" w:start="3960"/>
        <w:jc w:val="start"/>
        <w:rPr>
          <w:sz w:val="24"/>
        </w:rPr>
      </w:pPr>
      <w:r>
        <w:rPr>
          <w:sz w:val="24"/>
        </w:rPr>
        <w:tab/>
        <w:tab/>
        <w:tab/>
        <w:tab/>
        <w:tab/>
        <w:tab/>
      </w:r>
      <w:ins w:id="727" w:author="">
        <w:r>
          <w:rPr>
            <w:strike/>
            <w:sz w:val="24"/>
          </w:rPr>
          <w:t>SANPAOLO IMI S.p.A</w:t>
        </w:r>
      </w:ins>
      <w:ins w:id="728" w:author="">
        <w:r>
          <w:rPr>
            <w:b/>
            <w:sz w:val="24"/>
            <w:u w:val="double"/>
          </w:rPr>
          <w:t>__________________________________________,</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r>
      <w:r>
        <w:rPr>
          <w:b/>
          <w:sz w:val="24"/>
        </w:rPr>
        <w:t>in its capacity as Lender</w:t>
      </w:r>
      <w:ins w:id="729" w:author="">
        <w:r>
          <w:rPr>
            <w:b/>
            <w:sz w:val="24"/>
            <w:u w:val="double"/>
          </w:rPr>
          <w:t>,</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b/>
          <w:sz w:val="24"/>
        </w:rPr>
      </w:pPr>
      <w:r>
        <w:rPr>
          <w:sz w:val="24"/>
        </w:rPr>
        <w:tab/>
        <w:tab/>
        <w:tab/>
        <w:tab/>
        <w:tab/>
        <w:tab/>
      </w:r>
      <w:r>
        <w:rPr>
          <w:b/>
          <w:sz w:val="24"/>
          <w:u w:val="single"/>
        </w:rPr>
        <w:t>THE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b/>
          <w:sz w:val="24"/>
        </w:rPr>
      </w:pPr>
      <w:r>
        <w:rPr>
          <w:sz w:val="24"/>
        </w:rPr>
        <w:tab/>
        <w:tab/>
        <w:tab/>
        <w:tab/>
        <w:tab/>
        <w:tab/>
      </w:r>
      <w:r>
        <w:rPr>
          <w:b/>
          <w:sz w:val="24"/>
        </w:rPr>
        <w:t xml:space="preserve">CANADIAN IMPERIAL BANK OF COMMERCE,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b/>
          <w:sz w:val="24"/>
        </w:rPr>
        <w:tab/>
        <w:tab/>
        <w:tab/>
        <w:tab/>
        <w:tab/>
        <w:tab/>
        <w:t>in its capacity as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center"/>
        <w:rPr>
          <w:sz w:val="24"/>
        </w:rPr>
      </w:pPr>
      <w:r>
        <w:rPr>
          <w:b/>
          <w:sz w:val="24"/>
          <w:u w:val="single"/>
        </w:rPr>
        <w:t>SCHEDULE I</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b/>
          <w:sz w:val="24"/>
          <w:u w:val="single"/>
        </w:rPr>
        <w:t>Commitments and Funding Offices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tbl>
      <w:tblPr>
        <w:tblW w:w="9360" w:type="dxa"/>
        <w:jc w:val="start"/>
        <w:tblInd w:w="120" w:type="dxa"/>
        <w:tblLayout w:type="fixed"/>
        <w:tblCellMar>
          <w:top w:w="0" w:type="dxa"/>
          <w:start w:w="120" w:type="dxa"/>
          <w:bottom w:w="0" w:type="dxa"/>
          <w:end w:w="120" w:type="dxa"/>
        </w:tblCellMar>
      </w:tblPr>
      <w:tblGrid>
        <w:gridCol w:w="7020"/>
        <w:gridCol w:w="2339"/>
      </w:tblGrid>
      <w:tr>
        <w:trPr>
          <w:trHeight w:val="403" w:hRule="atLeast"/>
          <w:cantSplit w:val="true"/>
        </w:trPr>
        <w:tc>
          <w:tcPr>
            <w:tcW w:w="7020" w:type="dxa"/>
            <w:tcBorders/>
          </w:tcPr>
          <w:p>
            <w:pPr>
              <w:pStyle w:val="Normal"/>
              <w:tabs>
                <w:tab w:val="clear" w:pos="720"/>
              </w:tabs>
              <w:bidi w:val="0"/>
              <w:jc w:val="start"/>
              <w:rPr/>
            </w:pPr>
            <w:r>
              <w:rPr>
                <w:b/>
                <w:sz w:val="24"/>
              </w:rPr>
              <w:t>Names and Addresses (Funding Offices) of initial Lenders</w:t>
            </w:r>
          </w:p>
        </w:tc>
        <w:tc>
          <w:tcPr>
            <w:tcW w:w="2339" w:type="dxa"/>
            <w:tcBorders/>
          </w:tcPr>
          <w:p>
            <w:pPr>
              <w:pStyle w:val="Normal"/>
              <w:tabs>
                <w:tab w:val="clear" w:pos="720"/>
              </w:tabs>
              <w:bidi w:val="0"/>
              <w:jc w:val="center"/>
              <w:rPr/>
            </w:pPr>
            <w:r>
              <w:rPr>
                <w:b/>
                <w:sz w:val="24"/>
              </w:rPr>
              <w:t>Commitment</w:t>
            </w:r>
          </w:p>
        </w:tc>
      </w:tr>
      <w:tr>
        <w:trPr>
          <w:trHeight w:val="403" w:hRule="atLeast"/>
          <w:cantSplit w:val="true"/>
        </w:trPr>
        <w:tc>
          <w:tcPr>
            <w:tcW w:w="7020" w:type="dxa"/>
            <w:tcBorders/>
          </w:tcPr>
          <w:p>
            <w:pPr>
              <w:pStyle w:val="Normal"/>
              <w:tabs>
                <w:tab w:val="clear" w:pos="720"/>
              </w:tabs>
              <w:bidi w:val="0"/>
              <w:jc w:val="start"/>
              <w:rPr>
                <w:sz w:val="24"/>
              </w:rPr>
            </w:pPr>
            <w:r>
              <w:rPr>
                <w:sz w:val="24"/>
                <w:u w:val="single"/>
              </w:rPr>
              <w:t>Canadian Imperial Bank of Commerce</w:t>
            </w:r>
          </w:p>
          <w:p>
            <w:pPr>
              <w:pStyle w:val="Normal"/>
              <w:tabs>
                <w:tab w:val="clear" w:pos="720"/>
              </w:tabs>
              <w:bidi w:val="0"/>
              <w:jc w:val="start"/>
              <w:rPr>
                <w:sz w:val="24"/>
              </w:rPr>
            </w:pPr>
            <w:r>
              <w:rPr>
                <w:sz w:val="24"/>
              </w:rPr>
              <w:t>425 Lexington Avenue</w:t>
            </w:r>
          </w:p>
          <w:p>
            <w:pPr>
              <w:pStyle w:val="Normal"/>
              <w:tabs>
                <w:tab w:val="clear" w:pos="720"/>
              </w:tabs>
              <w:bidi w:val="0"/>
              <w:jc w:val="start"/>
              <w:rPr>
                <w:sz w:val="24"/>
              </w:rPr>
            </w:pPr>
            <w:r>
              <w:rPr>
                <w:sz w:val="24"/>
              </w:rPr>
              <w:t>New York, New York 10017</w:t>
            </w:r>
          </w:p>
          <w:p>
            <w:pPr>
              <w:pStyle w:val="Normal"/>
              <w:tabs>
                <w:tab w:val="clear" w:pos="720"/>
              </w:tabs>
              <w:bidi w:val="0"/>
              <w:jc w:val="start"/>
              <w:rPr>
                <w:sz w:val="24"/>
              </w:rPr>
            </w:pPr>
            <w:r>
              <w:rPr>
                <w:sz w:val="24"/>
              </w:rPr>
              <w:t>Attn:    Christine Aharonian</w:t>
            </w:r>
          </w:p>
          <w:p>
            <w:pPr>
              <w:pStyle w:val="Normal"/>
              <w:tabs>
                <w:tab w:val="clear" w:pos="720"/>
              </w:tabs>
              <w:bidi w:val="0"/>
              <w:jc w:val="start"/>
              <w:rPr>
                <w:sz w:val="24"/>
              </w:rPr>
            </w:pPr>
            <w:r>
              <w:rPr>
                <w:sz w:val="24"/>
              </w:rPr>
            </w:r>
          </w:p>
        </w:tc>
        <w:tc>
          <w:tcPr>
            <w:tcW w:w="2339" w:type="dxa"/>
            <w:tcBorders/>
          </w:tcPr>
          <w:p>
            <w:pPr>
              <w:pStyle w:val="Normal"/>
              <w:tabs>
                <w:tab w:val="clear" w:pos="720"/>
              </w:tabs>
              <w:bidi w:val="0"/>
              <w:jc w:val="end"/>
              <w:rPr/>
            </w:pPr>
            <w:ins w:id="730" w:author="">
              <w:r>
                <w:rPr>
                  <w:strike/>
                  <w:sz w:val="24"/>
                </w:rPr>
                <w:t>$35,000,000 Bayerische Landesbank</w:t>
              </w:r>
            </w:ins>
            <w:r>
              <w:rPr>
                <w:sz w:val="24"/>
              </w:rPr>
              <w:t xml:space="preserve"> </w:t>
            </w:r>
            <w:ins w:id="731" w:author="">
              <w:r>
                <w:rPr>
                  <w:b/>
                  <w:sz w:val="24"/>
                  <w:u w:val="double"/>
                </w:rPr>
                <w:t>$__________</w:t>
              </w:r>
            </w:ins>
          </w:p>
        </w:tc>
      </w:tr>
      <w:tr>
        <w:trPr>
          <w:trHeight w:val="403" w:hRule="atLeast"/>
          <w:cantSplit w:val="true"/>
        </w:trPr>
        <w:tc>
          <w:tcPr>
            <w:tcW w:w="7020" w:type="dxa"/>
            <w:tcBorders/>
          </w:tcPr>
          <w:p>
            <w:pPr>
              <w:pStyle w:val="Normal"/>
              <w:tabs>
                <w:tab w:val="clear" w:pos="720"/>
              </w:tabs>
              <w:bidi w:val="0"/>
              <w:jc w:val="start"/>
              <w:rPr>
                <w:sz w:val="24"/>
              </w:rPr>
            </w:pPr>
            <w:r>
              <w:rPr>
                <w:sz w:val="24"/>
              </w:rPr>
            </w:r>
          </w:p>
          <w:p>
            <w:pPr>
              <w:pStyle w:val="Normal"/>
              <w:tabs>
                <w:tab w:val="clear" w:pos="720"/>
              </w:tabs>
              <w:bidi w:val="0"/>
              <w:jc w:val="start"/>
              <w:rPr>
                <w:sz w:val="24"/>
              </w:rPr>
            </w:pPr>
            <w:r>
              <w:rPr>
                <w:sz w:val="24"/>
              </w:rPr>
            </w:r>
          </w:p>
        </w:tc>
        <w:tc>
          <w:tcPr>
            <w:tcW w:w="2339" w:type="dxa"/>
            <w:tcBorders/>
          </w:tcPr>
          <w:p>
            <w:pPr>
              <w:pStyle w:val="Normal"/>
              <w:tabs>
                <w:tab w:val="clear" w:pos="720"/>
              </w:tabs>
              <w:bidi w:val="0"/>
              <w:jc w:val="end"/>
              <w:rPr>
                <w:strike/>
                <w:sz w:val="24"/>
                <w:ins w:id="733" w:author=""/>
              </w:rPr>
            </w:pPr>
            <w:ins w:id="732" w:author="">
              <w:r>
                <w:rPr>
                  <w:strike/>
                  <w:sz w:val="24"/>
                </w:rPr>
                <w:t>560 Lexington Ave.</w:t>
              </w:r>
            </w:ins>
          </w:p>
          <w:p>
            <w:pPr>
              <w:pStyle w:val="Normal"/>
              <w:tabs>
                <w:tab w:val="clear" w:pos="720"/>
              </w:tabs>
              <w:bidi w:val="0"/>
              <w:jc w:val="end"/>
              <w:rPr>
                <w:strike/>
                <w:sz w:val="24"/>
                <w:ins w:id="735" w:author=""/>
              </w:rPr>
            </w:pPr>
            <w:ins w:id="734" w:author="">
              <w:r>
                <w:rPr>
                  <w:strike/>
                  <w:sz w:val="24"/>
                </w:rPr>
                <w:t>ßNew York, New York 10022</w:t>
              </w:r>
            </w:ins>
          </w:p>
          <w:p>
            <w:pPr>
              <w:pStyle w:val="Normal"/>
              <w:tabs>
                <w:tab w:val="clear" w:pos="720"/>
              </w:tabs>
              <w:bidi w:val="0"/>
              <w:jc w:val="end"/>
              <w:rPr>
                <w:strike/>
                <w:sz w:val="24"/>
                <w:ins w:id="737" w:author=""/>
              </w:rPr>
            </w:pPr>
            <w:ins w:id="736" w:author="">
              <w:r>
                <w:rPr>
                  <w:strike/>
                  <w:sz w:val="24"/>
                </w:rPr>
                <w:t>ßAttn: Edward J. Santos</w:t>
              </w:r>
            </w:ins>
          </w:p>
          <w:p>
            <w:pPr>
              <w:pStyle w:val="Normal"/>
              <w:tabs>
                <w:tab w:val="clear" w:pos="720"/>
              </w:tabs>
              <w:bidi w:val="0"/>
              <w:jc w:val="end"/>
              <w:rPr>
                <w:strike/>
                <w:sz w:val="24"/>
                <w:ins w:id="739" w:author=""/>
              </w:rPr>
            </w:pPr>
            <w:ins w:id="738" w:author="">
              <w:r>
                <w:rPr>
                  <w:strike/>
                  <w:sz w:val="24"/>
                </w:rPr>
                <w:t>ß $50,000,000 First Union National Bank</w:t>
              </w:r>
            </w:ins>
          </w:p>
          <w:p>
            <w:pPr>
              <w:pStyle w:val="Normal"/>
              <w:tabs>
                <w:tab w:val="clear" w:pos="720"/>
              </w:tabs>
              <w:bidi w:val="0"/>
              <w:jc w:val="end"/>
              <w:rPr>
                <w:strike/>
                <w:sz w:val="24"/>
                <w:ins w:id="741" w:author=""/>
              </w:rPr>
            </w:pPr>
            <w:ins w:id="740" w:author="">
              <w:r>
                <w:rPr>
                  <w:strike/>
                  <w:sz w:val="24"/>
                </w:rPr>
                <w:t>ß1001 Fannin, Suite 2255</w:t>
              </w:r>
            </w:ins>
          </w:p>
          <w:p>
            <w:pPr>
              <w:pStyle w:val="Normal"/>
              <w:tabs>
                <w:tab w:val="clear" w:pos="720"/>
              </w:tabs>
              <w:bidi w:val="0"/>
              <w:jc w:val="end"/>
              <w:rPr>
                <w:strike/>
                <w:sz w:val="24"/>
                <w:ins w:id="743" w:author=""/>
              </w:rPr>
            </w:pPr>
            <w:ins w:id="742" w:author="">
              <w:r>
                <w:rPr>
                  <w:strike/>
                  <w:sz w:val="24"/>
                </w:rPr>
                <w:t>ßHouston, Texas 77002</w:t>
              </w:r>
            </w:ins>
          </w:p>
          <w:p>
            <w:pPr>
              <w:pStyle w:val="Normal"/>
              <w:tabs>
                <w:tab w:val="clear" w:pos="720"/>
              </w:tabs>
              <w:bidi w:val="0"/>
              <w:jc w:val="end"/>
              <w:rPr>
                <w:strike/>
                <w:sz w:val="24"/>
                <w:ins w:id="745" w:author=""/>
              </w:rPr>
            </w:pPr>
            <w:ins w:id="744" w:author="">
              <w:r>
                <w:rPr>
                  <w:strike/>
                  <w:sz w:val="24"/>
                </w:rPr>
                <w:t>ßAttn: Russell Clingman</w:t>
              </w:r>
            </w:ins>
          </w:p>
          <w:p>
            <w:pPr>
              <w:pStyle w:val="Normal"/>
              <w:tabs>
                <w:tab w:val="clear" w:pos="720"/>
              </w:tabs>
              <w:bidi w:val="0"/>
              <w:jc w:val="end"/>
              <w:rPr>
                <w:strike/>
                <w:sz w:val="24"/>
                <w:ins w:id="747" w:author=""/>
              </w:rPr>
            </w:pPr>
            <w:ins w:id="746" w:author="">
              <w:r>
                <w:rPr>
                  <w:strike/>
                  <w:sz w:val="24"/>
                </w:rPr>
                <w:t>ß $50,000,000 PARIBAS</w:t>
              </w:r>
            </w:ins>
          </w:p>
          <w:p>
            <w:pPr>
              <w:pStyle w:val="Normal"/>
              <w:tabs>
                <w:tab w:val="clear" w:pos="720"/>
              </w:tabs>
              <w:bidi w:val="0"/>
              <w:jc w:val="end"/>
              <w:rPr>
                <w:strike/>
                <w:sz w:val="24"/>
                <w:ins w:id="749" w:author=""/>
              </w:rPr>
            </w:pPr>
            <w:ins w:id="748" w:author="">
              <w:r>
                <w:rPr>
                  <w:strike/>
                  <w:sz w:val="24"/>
                </w:rPr>
                <w:t>ß1200 Smith, Suite 3100</w:t>
              </w:r>
            </w:ins>
          </w:p>
          <w:p>
            <w:pPr>
              <w:pStyle w:val="Normal"/>
              <w:tabs>
                <w:tab w:val="clear" w:pos="720"/>
              </w:tabs>
              <w:bidi w:val="0"/>
              <w:jc w:val="end"/>
              <w:rPr>
                <w:strike/>
                <w:sz w:val="24"/>
                <w:ins w:id="751" w:author=""/>
              </w:rPr>
            </w:pPr>
            <w:ins w:id="750" w:author="">
              <w:r>
                <w:rPr>
                  <w:strike/>
                  <w:sz w:val="24"/>
                </w:rPr>
                <w:t>ßHouston, Texas 77002</w:t>
              </w:r>
            </w:ins>
          </w:p>
          <w:p>
            <w:pPr>
              <w:pStyle w:val="Normal"/>
              <w:tabs>
                <w:tab w:val="clear" w:pos="720"/>
              </w:tabs>
              <w:bidi w:val="0"/>
              <w:jc w:val="end"/>
              <w:rPr>
                <w:strike/>
                <w:sz w:val="24"/>
                <w:ins w:id="753" w:author=""/>
              </w:rPr>
            </w:pPr>
            <w:ins w:id="752" w:author="">
              <w:r>
                <w:rPr>
                  <w:strike/>
                  <w:sz w:val="24"/>
                </w:rPr>
                <w:t>ßAttn: John Roberts</w:t>
              </w:r>
            </w:ins>
          </w:p>
          <w:p>
            <w:pPr>
              <w:pStyle w:val="Normal"/>
              <w:tabs>
                <w:tab w:val="clear" w:pos="720"/>
              </w:tabs>
              <w:bidi w:val="0"/>
              <w:jc w:val="end"/>
              <w:rPr>
                <w:strike/>
                <w:sz w:val="24"/>
                <w:ins w:id="755" w:author=""/>
              </w:rPr>
            </w:pPr>
            <w:ins w:id="754" w:author="">
              <w:r>
                <w:rPr>
                  <w:strike/>
                  <w:sz w:val="24"/>
                </w:rPr>
                <w:t>ß $50,000,000 SANPAOLO IMI S.p.A.</w:t>
              </w:r>
            </w:ins>
          </w:p>
          <w:p>
            <w:pPr>
              <w:pStyle w:val="Normal"/>
              <w:tabs>
                <w:tab w:val="clear" w:pos="720"/>
              </w:tabs>
              <w:bidi w:val="0"/>
              <w:jc w:val="end"/>
              <w:rPr>
                <w:strike/>
                <w:sz w:val="24"/>
                <w:ins w:id="757" w:author=""/>
              </w:rPr>
            </w:pPr>
            <w:ins w:id="756" w:author="">
              <w:r>
                <w:rPr>
                  <w:strike/>
                  <w:sz w:val="24"/>
                </w:rPr>
                <w:t>ß295 Park Avenue</w:t>
              </w:r>
            </w:ins>
          </w:p>
          <w:p>
            <w:pPr>
              <w:pStyle w:val="Normal"/>
              <w:tabs>
                <w:tab w:val="clear" w:pos="720"/>
              </w:tabs>
              <w:bidi w:val="0"/>
              <w:jc w:val="end"/>
              <w:rPr>
                <w:strike/>
                <w:sz w:val="24"/>
                <w:ins w:id="759" w:author=""/>
              </w:rPr>
            </w:pPr>
            <w:ins w:id="758" w:author="">
              <w:r>
                <w:rPr>
                  <w:strike/>
                  <w:sz w:val="24"/>
                </w:rPr>
                <w:t>ßNew York, New York 10167</w:t>
              </w:r>
            </w:ins>
          </w:p>
          <w:p>
            <w:pPr>
              <w:pStyle w:val="Normal"/>
              <w:tabs>
                <w:tab w:val="clear" w:pos="720"/>
              </w:tabs>
              <w:bidi w:val="0"/>
              <w:jc w:val="end"/>
              <w:rPr>
                <w:strike/>
                <w:sz w:val="24"/>
                <w:ins w:id="761" w:author=""/>
              </w:rPr>
            </w:pPr>
            <w:ins w:id="760" w:author="">
              <w:r>
                <w:rPr>
                  <w:strike/>
                  <w:sz w:val="24"/>
                </w:rPr>
                <w:t>ßAttn: Glen Binder</w:t>
              </w:r>
            </w:ins>
          </w:p>
          <w:p>
            <w:pPr>
              <w:pStyle w:val="Normal"/>
              <w:tabs>
                <w:tab w:val="clear" w:pos="720"/>
              </w:tabs>
              <w:bidi w:val="0"/>
              <w:jc w:val="end"/>
              <w:rPr/>
            </w:pPr>
            <w:ins w:id="762" w:author="">
              <w:r>
                <w:rPr>
                  <w:strike/>
                  <w:sz w:val="24"/>
                </w:rPr>
                <w:t xml:space="preserve">ß $50,000,000 </w:t>
              </w:r>
            </w:ins>
            <w:ins w:id="763" w:author="">
              <w:r>
                <w:rPr>
                  <w:b/>
                  <w:sz w:val="24"/>
                  <w:u w:val="double"/>
                </w:rPr>
                <w:t>$__________</w:t>
              </w:r>
            </w:ins>
          </w:p>
        </w:tc>
      </w:tr>
      <w:tr>
        <w:trPr>
          <w:trHeight w:val="403" w:hRule="atLeast"/>
          <w:cantSplit w:val="true"/>
        </w:trPr>
        <w:tc>
          <w:tcPr>
            <w:tcW w:w="7020" w:type="dxa"/>
            <w:tcBorders/>
          </w:tcPr>
          <w:p>
            <w:pPr>
              <w:pStyle w:val="Normal"/>
              <w:tabs>
                <w:tab w:val="clear" w:pos="720"/>
              </w:tabs>
              <w:bidi w:val="0"/>
              <w:jc w:val="start"/>
              <w:rPr>
                <w:sz w:val="24"/>
              </w:rPr>
            </w:pPr>
            <w:r>
              <w:rPr>
                <w:sz w:val="24"/>
              </w:rPr>
            </w:r>
          </w:p>
        </w:tc>
        <w:tc>
          <w:tcPr>
            <w:tcW w:w="2339" w:type="dxa"/>
            <w:tcBorders/>
          </w:tcPr>
          <w:p>
            <w:pPr>
              <w:pStyle w:val="Normal"/>
              <w:tabs>
                <w:tab w:val="clear" w:pos="720"/>
              </w:tabs>
              <w:bidi w:val="0"/>
              <w:jc w:val="end"/>
              <w:rPr/>
            </w:pPr>
            <w:ins w:id="764" w:author="">
              <w:r>
                <w:rPr>
                  <w:b/>
                  <w:sz w:val="24"/>
                  <w:u w:val="double"/>
                </w:rPr>
                <w:t>$__________</w:t>
              </w:r>
            </w:ins>
          </w:p>
        </w:tc>
      </w:tr>
      <w:tr>
        <w:trPr>
          <w:trHeight w:val="403" w:hRule="atLeast"/>
          <w:cantSplit w:val="true"/>
        </w:trPr>
        <w:tc>
          <w:tcPr>
            <w:tcW w:w="7020" w:type="dxa"/>
            <w:tcBorders/>
          </w:tcPr>
          <w:p>
            <w:pPr>
              <w:pStyle w:val="Normal"/>
              <w:tabs>
                <w:tab w:val="clear" w:pos="720"/>
              </w:tabs>
              <w:bidi w:val="0"/>
              <w:jc w:val="start"/>
              <w:rPr>
                <w:sz w:val="24"/>
              </w:rPr>
            </w:pPr>
            <w:r>
              <w:rPr>
                <w:sz w:val="24"/>
              </w:rPr>
            </w:r>
          </w:p>
        </w:tc>
        <w:tc>
          <w:tcPr>
            <w:tcW w:w="2339" w:type="dxa"/>
            <w:tcBorders/>
          </w:tcPr>
          <w:p>
            <w:pPr>
              <w:pStyle w:val="Normal"/>
              <w:tabs>
                <w:tab w:val="clear" w:pos="720"/>
              </w:tabs>
              <w:bidi w:val="0"/>
              <w:jc w:val="end"/>
              <w:rPr/>
            </w:pPr>
            <w:ins w:id="765" w:author="">
              <w:r>
                <w:rPr>
                  <w:b/>
                  <w:sz w:val="24"/>
                  <w:u w:val="double"/>
                </w:rPr>
                <w:t>$__________</w:t>
              </w:r>
            </w:ins>
          </w:p>
        </w:tc>
      </w:tr>
      <w:tr>
        <w:trPr>
          <w:trHeight w:val="403" w:hRule="atLeast"/>
          <w:cantSplit w:val="true"/>
        </w:trPr>
        <w:tc>
          <w:tcPr>
            <w:tcW w:w="7020" w:type="dxa"/>
            <w:tcBorders/>
          </w:tcPr>
          <w:p>
            <w:pPr>
              <w:pStyle w:val="Normal"/>
              <w:tabs>
                <w:tab w:val="clear" w:pos="720"/>
              </w:tabs>
              <w:bidi w:val="0"/>
              <w:jc w:val="start"/>
              <w:rPr>
                <w:sz w:val="24"/>
              </w:rPr>
            </w:pPr>
            <w:r>
              <w:rPr>
                <w:sz w:val="24"/>
              </w:rPr>
            </w:r>
          </w:p>
        </w:tc>
        <w:tc>
          <w:tcPr>
            <w:tcW w:w="2339" w:type="dxa"/>
            <w:tcBorders/>
          </w:tcPr>
          <w:p>
            <w:pPr>
              <w:pStyle w:val="Normal"/>
              <w:tabs>
                <w:tab w:val="clear" w:pos="720"/>
              </w:tabs>
              <w:bidi w:val="0"/>
              <w:jc w:val="end"/>
              <w:rPr/>
            </w:pPr>
            <w:ins w:id="766" w:author="">
              <w:r>
                <w:rPr>
                  <w:b/>
                  <w:sz w:val="24"/>
                  <w:u w:val="double"/>
                </w:rPr>
                <w:t>$__________</w:t>
              </w:r>
            </w:ins>
          </w:p>
        </w:tc>
      </w:tr>
    </w:tbl>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b/>
          <w:sz w:val="24"/>
        </w:rPr>
        <w:tab/>
      </w:r>
      <w:r>
        <w:rPr>
          <w:b/>
          <w:sz w:val="24"/>
          <w:u w:val="single"/>
        </w:rPr>
        <w:t>EXHIBIT 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center"/>
        <w:rPr>
          <w:sz w:val="24"/>
        </w:rPr>
      </w:pPr>
      <w:r>
        <w:rPr>
          <w:sz w:val="24"/>
        </w:rPr>
        <w:t> </w:t>
      </w:r>
      <w:r>
        <w:rPr>
          <w:b/>
          <w:sz w:val="24"/>
          <w:u w:val="single"/>
        </w:rPr>
        <w:t>Form of Drawdown Request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center"/>
        <w:rPr>
          <w:sz w:val="24"/>
        </w:rPr>
      </w:pPr>
      <w:ins w:id="767" w:author="">
        <w:r>
          <w:rPr>
            <w:b/>
            <w:sz w:val="24"/>
            <w:u w:val="double"/>
          </w:rPr>
          <w:t>Hawaii I 125</w:t>
          <w:noBreakHyphen/>
          <w:t>0</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To:</w:t>
        <w:tab/>
        <w:t>CANADIAN IMPERIAL BANK OF COMMERCE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u w:val="single"/>
        </w:rPr>
      </w:pPr>
      <w:ins w:id="768" w:author="">
        <w:r>
          <w:rPr>
            <w:strike/>
            <w:sz w:val="24"/>
            <w:u w:val="single"/>
          </w:rPr>
          <w:t>Amended and Restated</w:t>
        </w:r>
      </w:ins>
      <w:r>
        <w:rPr>
          <w:sz w:val="24"/>
          <w:u w:val="single"/>
        </w:rPr>
        <w:t xml:space="preserve"> Facility Agreement, dated as of </w:t>
      </w:r>
      <w:ins w:id="769" w:author="">
        <w:r>
          <w:rPr>
            <w:strike/>
            <w:sz w:val="24"/>
            <w:u w:val="single"/>
          </w:rPr>
          <w:t>May 31,</w:t>
        </w:r>
      </w:ins>
      <w:r>
        <w:rPr>
          <w:sz w:val="24"/>
          <w:u w:val="single"/>
        </w:rPr>
        <w:t xml:space="preserve"> </w:t>
      </w:r>
      <w:ins w:id="770" w:author="">
        <w:r>
          <w:rPr>
            <w:b/>
            <w:sz w:val="24"/>
            <w:u w:val="double"/>
          </w:rPr>
          <w:t>November [17],</w:t>
        </w:r>
      </w:ins>
      <w:r>
        <w:rPr>
          <w:sz w:val="24"/>
          <w:u w:val="single"/>
        </w:rPr>
        <w:t xml:space="preserve"> 2000</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 xml:space="preserve">We refer to the above agreement between, </w:t>
      </w:r>
      <w:r>
        <w:rPr>
          <w:i/>
          <w:sz w:val="24"/>
        </w:rPr>
        <w:t>inter alia</w:t>
      </w:r>
      <w:r>
        <w:rPr>
          <w:sz w:val="24"/>
        </w:rPr>
        <w:t>, ourselves, yourselves, as Agent, and the other financial institutions party thereto and CIBC World Markets Corp. as Arranger (the “</w:t>
      </w:r>
      <w:r>
        <w:rPr>
          <w:b/>
          <w:sz w:val="24"/>
          <w:u w:val="single"/>
        </w:rPr>
        <w:t>Facility Agreement</w:t>
      </w:r>
      <w:r>
        <w:rPr>
          <w:sz w:val="24"/>
        </w:rPr>
        <w:t>,” which expression includes any amendments or supplements thereto or restatements thereof).    Terms defined in the Facility Agreement have the same meaning in this notice.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36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Pursuant to Section 5.3 of the Facility Agreement, we hereby give you notice of the following proposed drawing of a Tranche: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1440" w:start="1440"/>
        <w:jc w:val="start"/>
        <w:rPr>
          <w:sz w:val="24"/>
        </w:rPr>
      </w:pPr>
      <w:r>
        <w:rPr>
          <w:sz w:val="24"/>
        </w:rPr>
        <w:tab/>
        <w:t>(a)</w:t>
        <w:tab/>
        <w:t>Name of Series: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(b)</w:t>
        <w:tab/>
        <w:t>Name of Asset LLC:</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(c)</w:t>
        <w:tab/>
        <w:t>Name of Sponsor: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(d)</w:t>
        <w:tab/>
        <w:t>Initial Certificate Balance of Series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(e)</w:t>
        <w:tab/>
        <w:t>Name of Transferor and Type of Entity: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(f)</w:t>
        <w:tab/>
        <w:t>Type of Underlying Asset (specify Danno, McGarret or Governor):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(g)</w:t>
        <w:tab/>
        <w:t>Proposed Drawdown Date (a Business Day):</w:t>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(h)</w:t>
        <w:tab/>
        <w:t>Amount of Tranche:</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(i)</w:t>
        <w:tab/>
        <w:t>Type of Advances: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(j)</w:t>
        <w:tab/>
        <w:t>Interest Period (if LIBOR advance):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1440" w:start="1440"/>
        <w:jc w:val="start"/>
        <w:rPr>
          <w:b/>
          <w:i/>
          <w:i/>
          <w:sz w:val="24"/>
        </w:rPr>
      </w:pPr>
      <w:r>
        <w:rPr>
          <w:sz w:val="24"/>
        </w:rPr>
        <w:tab/>
        <w:t>(k)</w:t>
        <w:tab/>
        <w:t xml:space="preserve">Repayment Date </w:t>
      </w:r>
      <w:r>
        <w:rPr>
          <w:b/>
          <w:sz w:val="24"/>
        </w:rPr>
        <w:t>[</w:t>
      </w:r>
      <w:r>
        <w:rPr>
          <w:b/>
          <w:i/>
          <w:sz w:val="24"/>
        </w:rPr>
        <w:t xml:space="preserve">Note: This may be two alternative dates if structure includes a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b/>
          <w:i/>
          <w:sz w:val="24"/>
        </w:rPr>
        <w:tab/>
        <w:tab/>
        <w:t>fixed price put</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(l)</w:t>
        <w:tab/>
        <w:t>Payment instructions: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1440" w:start="1440"/>
        <w:jc w:val="start"/>
        <w:rPr>
          <w:sz w:val="24"/>
        </w:rPr>
      </w:pPr>
      <w:r>
        <w:rPr>
          <w:sz w:val="24"/>
        </w:rPr>
        <w:tab/>
      </w:r>
      <w:ins w:id="771" w:author="">
        <w:r>
          <w:rPr>
            <w:b/>
            <w:sz w:val="24"/>
            <w:u w:val="double"/>
          </w:rPr>
          <w:t>(m)</w:t>
          <w:tab/>
          <w:t>Swap Provider (specify Enron or specific Permitted Swap Party):</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 xml:space="preserve">We confirm that we are entitled to deliver this Drawdown Request pursuant to </w:t>
      </w:r>
      <w:ins w:id="772" w:author="">
        <w:r>
          <w:rPr>
            <w:strike/>
            <w:sz w:val="24"/>
          </w:rPr>
          <w:t>Section5.2</w:t>
        </w:r>
      </w:ins>
      <w:r>
        <w:rPr>
          <w:sz w:val="24"/>
        </w:rPr>
        <w:t xml:space="preserve"> </w:t>
      </w:r>
      <w:ins w:id="773" w:author="">
        <w:r>
          <w:rPr>
            <w:b/>
            <w:sz w:val="24"/>
            <w:u w:val="double"/>
          </w:rPr>
          <w:t>Section 5.2</w:t>
        </w:r>
      </w:ins>
      <w:r>
        <w:rPr>
          <w:sz w:val="24"/>
        </w:rPr>
        <w:t xml:space="preserve"> of the Facility Agreement, no Event of Default or Default has occurred and is continuing unremedied or unwaived or will occur as a result of making the Advances comprising this Tranche that there has been no event and there exists no matter which has had a Material Adverse Effect, and that each of the representations and warranties required to be made in accordance with Section11.1(b) of the Facility Agreement is true and accurate on the date hereof.    The Trust agrees that if prior to the time of the Advances requested hereby any matter certified to herein by it will not be true and correct at such time as if then made, it will immediately so notify the Agent.    Each matter certified to herein shall be deemed once again to be certified as true and correct at the date of such Advance as if then made.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360"/>
        <w:jc w:val="start"/>
        <w:rPr>
          <w:sz w:val="24"/>
        </w:rPr>
      </w:pPr>
      <w:r>
        <w:rPr>
          <w:sz w:val="24"/>
        </w:rPr>
      </w:r>
    </w:p>
    <w:p>
      <w:pPr>
        <w:sectPr>
          <w:headerReference w:type="default" r:id="rId17"/>
          <w:footerReference w:type="even" r:id="rId18"/>
          <w:footerReference w:type="default" r:id="rId19"/>
          <w:footerReference w:type="first" r:id="rId20"/>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360"/>
        <w:jc w:val="start"/>
        <w:rPr>
          <w:sz w:val="24"/>
        </w:rPr>
      </w:pPr>
      <w:r>
        <w:rPr>
          <w:sz w:val="24"/>
        </w:rPr>
        <w:t>Dated: _________________</w:t>
      </w:r>
      <w:r>
        <w:br w:type="page"/>
      </w:r>
    </w:p>
    <w:p>
      <w:pPr>
        <w:pStyle w:val="Normal"/>
        <w:bidi w:val="0"/>
        <w:jc w:val="start"/>
        <w:rPr>
          <w:sz w:val="24"/>
        </w:rPr>
      </w:pPr>
      <w:r>
        <w:rPr>
          <w:sz w:val="24"/>
        </w:rPr>
      </w:r>
    </w:p>
    <w:p>
      <w:pPr>
        <w:sectPr>
          <w:headerReference w:type="default" r:id="rId21"/>
          <w:headerReference w:type="first" r:id="rId22"/>
          <w:footerReference w:type="even" r:id="rId23"/>
          <w:footerReference w:type="default" r:id="rId24"/>
          <w:footerReference w:type="first" r:id="rId25"/>
          <w:type w:val="nextPage"/>
          <w:pgSz w:w="12240" w:h="15840"/>
          <w:pgMar w:left="1440" w:right="1440" w:gutter="0" w:header="1440" w:top="1497" w:footer="1104" w:bottom="1161"/>
          <w:pgNumType w:fmt="decimal"/>
          <w:formProt w:val="false"/>
          <w:textDirection w:val="lrTb"/>
          <w:docGrid w:type="default" w:linePitch="312" w:charSpace="2047"/>
        </w:sectPr>
      </w:pP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36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360"/>
        <w:jc w:val="start"/>
        <w:rPr>
          <w:sz w:val="24"/>
        </w:rPr>
      </w:pPr>
      <w:r>
        <w:rPr>
          <w:sz w:val="24"/>
        </w:rPr>
        <w:t xml:space="preserve">Hawaii </w:t>
      </w:r>
      <w:ins w:id="774" w:author="">
        <w:r>
          <w:rPr>
            <w:b/>
            <w:sz w:val="24"/>
            <w:u w:val="double"/>
          </w:rPr>
          <w:t>I</w:t>
        </w:r>
      </w:ins>
      <w:r>
        <w:rPr>
          <w:sz w:val="24"/>
        </w:rPr>
        <w:t xml:space="preserve"> 125</w:t>
        <w:noBreakHyphen/>
        <w:t>0 Trust</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By:</w:t>
        <w:tab/>
        <w:t xml:space="preserve">Wilmington Trust Company, </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0" w:start="720"/>
        <w:jc w:val="start"/>
        <w:rPr>
          <w:sz w:val="24"/>
        </w:rPr>
      </w:pPr>
      <w:r>
        <w:rPr>
          <w:sz w:val="24"/>
        </w:rPr>
        <w:t xml:space="preserve">not in its individual capacity, </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0" w:start="720"/>
        <w:jc w:val="start"/>
        <w:rPr>
          <w:sz w:val="24"/>
        </w:rPr>
      </w:pPr>
      <w:r>
        <w:rPr>
          <w:sz w:val="24"/>
        </w:rPr>
        <w:t>but solely as Owner Trustee</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By:</w:t>
      </w:r>
      <w:r>
        <w:rPr>
          <w:sz w:val="24"/>
          <w:u w:val="single"/>
        </w:rPr>
        <w:tab/>
        <w:tab/>
        <w:tab/>
        <w:tab/>
        <w:tab/>
        <w:tab/>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Name:</w:t>
      </w:r>
      <w:r>
        <w:rPr>
          <w:sz w:val="24"/>
          <w:u w:val="single"/>
        </w:rPr>
        <w:tab/>
        <w:tab/>
        <w:tab/>
        <w:tab/>
        <w:tab/>
        <w:tab/>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Title:</w:t>
      </w:r>
      <w:r>
        <w:rPr>
          <w:sz w:val="24"/>
          <w:u w:val="single"/>
        </w:rPr>
        <w:tab/>
        <w:tab/>
        <w:tab/>
        <w:tab/>
        <w:tab/>
        <w:tab/>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sectPr>
          <w:type w:val="continuous"/>
          <w:pgSz w:w="12240" w:h="15840"/>
          <w:pgMar w:left="1440" w:right="1440" w:gutter="0" w:header="1440" w:top="1497" w:footer="1104" w:bottom="116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b/>
          <w:sz w:val="24"/>
        </w:rPr>
      </w:pPr>
      <w:r>
        <w:rPr>
          <w:b/>
          <w:sz w:val="24"/>
        </w:rPr>
        <w:tab/>
      </w:r>
      <w:r>
        <w:rPr>
          <w:b/>
          <w:sz w:val="24"/>
          <w:u w:val="single"/>
        </w:rPr>
        <w:t>EXHIBIT B</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center"/>
        <w:rPr>
          <w:sz w:val="24"/>
        </w:rPr>
      </w:pPr>
      <w:r>
        <w:rPr>
          <w:b/>
          <w:sz w:val="24"/>
          <w:u w:val="single"/>
        </w:rPr>
        <w:t>Form of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b/>
          <w:sz w:val="24"/>
        </w:rPr>
        <w:t>PROMISSORY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$_____________________</w:t>
        <w:tab/>
        <w:t>New York, New York</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end"/>
        <w:rPr>
          <w:sz w:val="24"/>
        </w:rPr>
      </w:pPr>
      <w:ins w:id="775" w:author="">
        <w:r>
          <w:rPr>
            <w:strike/>
            <w:sz w:val="24"/>
          </w:rPr>
          <w:t>_______________,</w:t>
        </w:r>
      </w:ins>
      <w:r>
        <w:rPr>
          <w:sz w:val="24"/>
        </w:rPr>
        <w:t xml:space="preserve"> </w:t>
      </w:r>
      <w:ins w:id="776" w:author="">
        <w:r>
          <w:rPr>
            <w:b/>
            <w:sz w:val="24"/>
            <w:u w:val="double"/>
          </w:rPr>
          <w:t>November [17],</w:t>
        </w:r>
      </w:ins>
      <w:r>
        <w:rPr>
          <w:sz w:val="24"/>
        </w:rPr>
        <w:t xml:space="preserve"> 2000</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 xml:space="preserve">FOR VALUE RECEIVED, Hawaii </w:t>
      </w:r>
      <w:ins w:id="777" w:author="">
        <w:r>
          <w:rPr>
            <w:b/>
            <w:sz w:val="24"/>
            <w:u w:val="double"/>
          </w:rPr>
          <w:t>I</w:t>
        </w:r>
      </w:ins>
      <w:r>
        <w:rPr>
          <w:sz w:val="24"/>
        </w:rPr>
        <w:t xml:space="preserve"> 125</w:t>
        <w:noBreakHyphen/>
        <w:t xml:space="preserve">0 Trust, a business trust formed under the laws of the State of Delaware whose principal place of business is at Rodney Square North, 1100 North Market Street, Wilmington, Delaware (the </w:t>
      </w:r>
      <w:r>
        <w:rPr>
          <w:b/>
          <w:sz w:val="24"/>
        </w:rPr>
        <w:t>“</w:t>
      </w:r>
      <w:r>
        <w:rPr>
          <w:b/>
          <w:sz w:val="24"/>
          <w:u w:val="single"/>
        </w:rPr>
        <w:t>Trust</w:t>
      </w:r>
      <w:r>
        <w:rPr>
          <w:b/>
          <w:sz w:val="24"/>
        </w:rPr>
        <w:t>”</w:t>
      </w:r>
      <w:r>
        <w:rPr>
          <w:sz w:val="24"/>
        </w:rPr>
        <w:t xml:space="preserve">) promises to pay to the order of </w:t>
      </w:r>
      <w:r>
        <w:rPr>
          <w:b/>
          <w:sz w:val="24"/>
        </w:rPr>
        <w:t>[</w:t>
      </w:r>
      <w:r>
        <w:rPr>
          <w:b/>
          <w:i/>
          <w:sz w:val="24"/>
        </w:rPr>
        <w:t>insert name of Lender in capital letters</w:t>
      </w:r>
      <w:r>
        <w:rPr>
          <w:b/>
          <w:sz w:val="24"/>
        </w:rPr>
        <w:t>]</w:t>
      </w:r>
      <w:r>
        <w:rPr>
          <w:sz w:val="24"/>
        </w:rPr>
        <w:t xml:space="preserve"> ( the </w:t>
      </w:r>
      <w:r>
        <w:rPr>
          <w:b/>
          <w:sz w:val="24"/>
        </w:rPr>
        <w:t>“</w:t>
      </w:r>
      <w:r>
        <w:rPr>
          <w:b/>
          <w:sz w:val="24"/>
          <w:u w:val="single"/>
        </w:rPr>
        <w:t>Payee</w:t>
      </w:r>
      <w:r>
        <w:rPr>
          <w:b/>
          <w:sz w:val="24"/>
        </w:rPr>
        <w:t>”</w:t>
      </w:r>
      <w:r>
        <w:rPr>
          <w:sz w:val="24"/>
        </w:rPr>
        <w:t xml:space="preserve">) on </w:t>
      </w:r>
      <w:ins w:id="778" w:author="">
        <w:r>
          <w:rPr>
            <w:strike/>
            <w:sz w:val="24"/>
          </w:rPr>
          <w:t>December 1, 2001 (as defined in the Facility Agreement referred to below)</w:t>
        </w:r>
      </w:ins>
      <w:r>
        <w:rPr>
          <w:sz w:val="24"/>
        </w:rPr>
        <w:t xml:space="preserve"> </w:t>
      </w:r>
      <w:ins w:id="779" w:author="">
        <w:r>
          <w:rPr>
            <w:b/>
            <w:sz w:val="24"/>
            <w:u w:val="double"/>
          </w:rPr>
          <w:t>July [16], 2002</w:t>
        </w:r>
      </w:ins>
      <w:r>
        <w:rPr>
          <w:sz w:val="24"/>
        </w:rPr>
        <w:t xml:space="preserve"> or on such earlier date or dates as are provided in or pursuant to the Facility Agreement, the lesser of (x) $_____________ and (y) the aggregate unpaid principal amount of the Advances made by Payee to the Trust under the Facility Agreement referred to below.</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 xml:space="preserve">The Trust also promises to pay interest on the aggregate unpaid principal amount of the Advances borrowed hereunder from the date hereof paid at the rates and at the times which shall be determined in accordance with the provisions of the </w:t>
      </w:r>
      <w:ins w:id="780" w:author="">
        <w:r>
          <w:rPr>
            <w:strike/>
            <w:sz w:val="24"/>
          </w:rPr>
          <w:t>Amended and Restated</w:t>
        </w:r>
      </w:ins>
      <w:r>
        <w:rPr>
          <w:sz w:val="24"/>
        </w:rPr>
        <w:t xml:space="preserve"> Facility Agreement dated as of </w:t>
      </w:r>
      <w:ins w:id="781" w:author="">
        <w:r>
          <w:rPr>
            <w:strike/>
            <w:sz w:val="24"/>
          </w:rPr>
          <w:t>May 31</w:t>
        </w:r>
      </w:ins>
      <w:r>
        <w:rPr>
          <w:sz w:val="24"/>
        </w:rPr>
        <w:t xml:space="preserve"> </w:t>
      </w:r>
      <w:ins w:id="782" w:author="">
        <w:r>
          <w:rPr>
            <w:b/>
            <w:sz w:val="24"/>
            <w:u w:val="double"/>
          </w:rPr>
          <w:t>November [17]</w:t>
        </w:r>
      </w:ins>
      <w:r>
        <w:rPr>
          <w:sz w:val="24"/>
        </w:rPr>
        <w:t xml:space="preserve">, 2000 (as such Facility Agreement may be amended from time to time, the </w:t>
      </w:r>
      <w:r>
        <w:rPr>
          <w:b/>
          <w:sz w:val="24"/>
        </w:rPr>
        <w:t>“</w:t>
      </w:r>
      <w:r>
        <w:rPr>
          <w:b/>
          <w:sz w:val="24"/>
          <w:u w:val="single"/>
        </w:rPr>
        <w:t>Facility Agreement</w:t>
      </w:r>
      <w:r>
        <w:rPr>
          <w:b/>
          <w:sz w:val="24"/>
        </w:rPr>
        <w:t>”</w:t>
      </w:r>
      <w:r>
        <w:rPr>
          <w:sz w:val="24"/>
        </w:rPr>
        <w:t>), among the Trust, Canadian Imperial Bank of Commerce, as Agent, and the financial institutions party thereto.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 xml:space="preserve">This Note is one of the </w:t>
      </w:r>
      <w:r>
        <w:rPr>
          <w:b/>
          <w:sz w:val="24"/>
        </w:rPr>
        <w:t>“</w:t>
      </w:r>
      <w:r>
        <w:rPr>
          <w:b/>
          <w:sz w:val="24"/>
          <w:u w:val="single"/>
        </w:rPr>
        <w:t>Notes</w:t>
      </w:r>
      <w:r>
        <w:rPr>
          <w:b/>
          <w:sz w:val="24"/>
        </w:rPr>
        <w:t>”</w:t>
      </w:r>
      <w:r>
        <w:rPr>
          <w:sz w:val="24"/>
        </w:rPr>
        <w:t xml:space="preserve"> under the Facility Agreement and is issued pursuant to and entitled to the benefits of the Facility Agreement to which reference is hereby made for a more complete statement of the terms and conditions under which the Advances evidenced hereby are made and are to be repaid.    Capitalized terms used herein without definition shall have the meanings set forth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For the purposes of Section 3.02(a) of the Trust Agreement, it is hereby acknowledged and accepted that, except as provided in Section 3.02(d) of the Trust Agreement, the Series Property of each Series shall only be available to repay the Advances comprising the Tranche made with respect    to that Series, together with interest thereon and any other amounts payable under the Facility Agreement with respect to such Tranche, and the Lenders shall have no recourse to the other Trust Property to recover such Advances, interest thereon or other amounts.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 xml:space="preserve">All payments of principal and interest in respect of this Note shall be made in Dollars in immediately available funds at the account specified in Section 9.1(a) of the Facility Agreement, or at such other place as shall be designated in writing for such purpose in accordance with the terms of the Facility Agreement.    Until notified in writing of the transfer of this Note, the Trust and the Agent shall be entitled to deem the Payee or such Person who has been so identified by the transferor in writing to the Trust and the Agent as the holder of this Note, as the owner and holder of this Note.    The Payee agrees, by its acceptance hereof, that before disposing of this Note or any part thereof it will make a notation hereon of all principal payments previously made hereunder and of the date to which interest hereon has been paid; </w:t>
      </w:r>
      <w:r>
        <w:rPr>
          <w:sz w:val="24"/>
          <w:u w:val="single"/>
        </w:rPr>
        <w:t>provided</w:t>
      </w:r>
      <w:r>
        <w:rPr>
          <w:sz w:val="24"/>
        </w:rPr>
        <w:t>, however, that the failure to make a notation of the Advance made under this Note or any payment made on this Note shall not limit or otherwise affect the obligations of the Trust under this Note with respect to the Advance and payments of principal or interest on this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Whenever any payment of this Note shall be stated to be due on a day which is not a Business Day, such payment shall be made on the next succeeding Business Day (and such extension of time shall be included in the computation of the payment of interest on this Note) unless that day falls in the next calendar month, in which case the payment shall become due on the preceding Business Day.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This Note is subject to mandatory prepayment as provided in Article VII of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THIS NOTE SHALL BE GOVERNED BY, AND SHALL BE CONSTRUED IN ACCORDANCE WITH, THE LAWS OF THE STATE OF NEW YORK.</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Upon the occurrence and during the continuance of an Event of Default, the unpaid balance of the principal amount of this Note may be declared to be due and payable in the manner, upon the conditions and with the effect provided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It is expressly understood and agreed that (a) this Note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Note.</w:t>
      </w:r>
      <w:r>
        <w:br w:type="page"/>
      </w: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IN WITNESS WHEREOF, the Trust has caused this Note to be executed and delivered by its duly authorized officer, as of the day and year and at the place first above written.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b/>
        <w:tab/>
        <w:tab/>
        <w:tab/>
        <w:tab/>
        <w:tab/>
      </w:r>
      <w:r>
        <w:rPr>
          <w:b/>
          <w:sz w:val="24"/>
        </w:rPr>
        <w:t xml:space="preserve">HAWAII </w:t>
      </w:r>
      <w:ins w:id="783" w:author="">
        <w:r>
          <w:rPr>
            <w:b/>
            <w:sz w:val="24"/>
            <w:u w:val="double"/>
          </w:rPr>
          <w:t>I</w:t>
        </w:r>
      </w:ins>
      <w:r>
        <w:rPr>
          <w:b/>
          <w:sz w:val="24"/>
        </w:rPr>
        <w:t xml:space="preserve"> 125</w:t>
        <w:noBreakHyphen/>
        <w:t>0 TRUST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860" w:start="4860"/>
        <w:jc w:val="start"/>
        <w:rPr>
          <w:sz w:val="24"/>
        </w:rPr>
      </w:pPr>
      <w:r>
        <w:rPr>
          <w:sz w:val="24"/>
        </w:rPr>
        <w:tab/>
        <w:tab/>
        <w:tab/>
        <w:tab/>
        <w:tab/>
        <w:tab/>
        <w:t>By:</w:t>
        <w:tab/>
        <w:t>Wilmington Trust Company, not in its individual capacity, but solely as Owner Trustee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 xml:space="preserve">By: </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rPr>
        <w:t>TRANSACTIONS ON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tbl>
      <w:tblPr>
        <w:tblW w:w="9359" w:type="dxa"/>
        <w:jc w:val="start"/>
        <w:tblInd w:w="57" w:type="dxa"/>
        <w:tblLayout w:type="fixed"/>
        <w:tblCellMar>
          <w:top w:w="0" w:type="dxa"/>
          <w:start w:w="57" w:type="dxa"/>
          <w:bottom w:w="0" w:type="dxa"/>
          <w:end w:w="57" w:type="dxa"/>
        </w:tblCellMar>
      </w:tblPr>
      <w:tblGrid>
        <w:gridCol w:w="1560"/>
        <w:gridCol w:w="1560"/>
        <w:gridCol w:w="1492"/>
        <w:gridCol w:w="1627"/>
        <w:gridCol w:w="1559"/>
        <w:gridCol w:w="1560"/>
      </w:tblGrid>
      <w:tr>
        <w:trPr>
          <w:trHeight w:val="403" w:hRule="atLeast"/>
          <w:cantSplit w:val="true"/>
        </w:trPr>
        <w:tc>
          <w:tcPr>
            <w:tcW w:w="1560" w:type="dxa"/>
            <w:tcBorders>
              <w:bottom w:val="single" w:sz="6" w:space="0" w:color="000000"/>
            </w:tcBorders>
          </w:tcPr>
          <w:p>
            <w:pPr>
              <w:pStyle w:val="Normal"/>
              <w:tabs>
                <w:tab w:val="clear" w:pos="720"/>
              </w:tabs>
              <w:bidi w:val="0"/>
              <w:jc w:val="center"/>
              <w:rPr/>
            </w:pPr>
            <w:r>
              <w:rPr>
                <w:b/>
                <w:sz w:val="24"/>
              </w:rPr>
              <w:t>Date</w:t>
            </w:r>
          </w:p>
        </w:tc>
        <w:tc>
          <w:tcPr>
            <w:tcW w:w="1560" w:type="dxa"/>
            <w:tcBorders>
              <w:bottom w:val="single" w:sz="6" w:space="0" w:color="000000"/>
            </w:tcBorders>
          </w:tcPr>
          <w:p>
            <w:pPr>
              <w:pStyle w:val="Normal"/>
              <w:tabs>
                <w:tab w:val="clear" w:pos="720"/>
              </w:tabs>
              <w:bidi w:val="0"/>
              <w:jc w:val="center"/>
              <w:rPr>
                <w:b/>
                <w:sz w:val="24"/>
              </w:rPr>
            </w:pPr>
            <w:r>
              <w:rPr>
                <w:b/>
                <w:sz w:val="24"/>
              </w:rPr>
              <w:t>Amount of</w:t>
            </w:r>
          </w:p>
          <w:p>
            <w:pPr>
              <w:pStyle w:val="Normal"/>
              <w:tabs>
                <w:tab w:val="clear" w:pos="720"/>
              </w:tabs>
              <w:bidi w:val="0"/>
              <w:jc w:val="center"/>
              <w:rPr>
                <w:b/>
                <w:sz w:val="24"/>
              </w:rPr>
            </w:pPr>
            <w:r>
              <w:rPr>
                <w:b/>
                <w:sz w:val="24"/>
              </w:rPr>
              <w:t>Advance Made</w:t>
            </w:r>
          </w:p>
          <w:p>
            <w:pPr>
              <w:pStyle w:val="Normal"/>
              <w:tabs>
                <w:tab w:val="clear" w:pos="720"/>
              </w:tabs>
              <w:bidi w:val="0"/>
              <w:jc w:val="center"/>
              <w:rPr/>
            </w:pPr>
            <w:r>
              <w:rPr>
                <w:b/>
                <w:sz w:val="24"/>
              </w:rPr>
              <w:t>This Date</w:t>
            </w:r>
          </w:p>
        </w:tc>
        <w:tc>
          <w:tcPr>
            <w:tcW w:w="1492" w:type="dxa"/>
            <w:tcBorders>
              <w:bottom w:val="single" w:sz="6" w:space="0" w:color="000000"/>
            </w:tcBorders>
          </w:tcPr>
          <w:p>
            <w:pPr>
              <w:pStyle w:val="Normal"/>
              <w:tabs>
                <w:tab w:val="clear" w:pos="720"/>
              </w:tabs>
              <w:bidi w:val="0"/>
              <w:jc w:val="center"/>
              <w:rPr>
                <w:b/>
                <w:sz w:val="24"/>
              </w:rPr>
            </w:pPr>
            <w:r>
              <w:rPr>
                <w:b/>
                <w:sz w:val="24"/>
              </w:rPr>
              <w:t>Maturity</w:t>
            </w:r>
          </w:p>
          <w:p>
            <w:pPr>
              <w:pStyle w:val="Normal"/>
              <w:tabs>
                <w:tab w:val="clear" w:pos="720"/>
              </w:tabs>
              <w:bidi w:val="0"/>
              <w:jc w:val="center"/>
              <w:rPr/>
            </w:pPr>
            <w:r>
              <w:rPr>
                <w:b/>
                <w:sz w:val="24"/>
              </w:rPr>
              <w:t>of Advance</w:t>
            </w:r>
          </w:p>
        </w:tc>
        <w:tc>
          <w:tcPr>
            <w:tcW w:w="1627" w:type="dxa"/>
            <w:tcBorders>
              <w:bottom w:val="single" w:sz="6" w:space="0" w:color="000000"/>
            </w:tcBorders>
          </w:tcPr>
          <w:p>
            <w:pPr>
              <w:pStyle w:val="Normal"/>
              <w:tabs>
                <w:tab w:val="clear" w:pos="720"/>
              </w:tabs>
              <w:bidi w:val="0"/>
              <w:jc w:val="center"/>
              <w:rPr>
                <w:b/>
                <w:sz w:val="24"/>
              </w:rPr>
            </w:pPr>
            <w:r>
              <w:rPr>
                <w:b/>
                <w:sz w:val="24"/>
              </w:rPr>
              <w:t>Amount of</w:t>
            </w:r>
          </w:p>
          <w:p>
            <w:pPr>
              <w:pStyle w:val="Normal"/>
              <w:tabs>
                <w:tab w:val="clear" w:pos="720"/>
              </w:tabs>
              <w:bidi w:val="0"/>
              <w:jc w:val="center"/>
              <w:rPr>
                <w:b/>
                <w:sz w:val="24"/>
              </w:rPr>
            </w:pPr>
            <w:r>
              <w:rPr>
                <w:b/>
                <w:sz w:val="24"/>
              </w:rPr>
              <w:t>Principal Paid</w:t>
            </w:r>
          </w:p>
          <w:p>
            <w:pPr>
              <w:pStyle w:val="Normal"/>
              <w:tabs>
                <w:tab w:val="clear" w:pos="720"/>
              </w:tabs>
              <w:bidi w:val="0"/>
              <w:jc w:val="center"/>
              <w:rPr/>
            </w:pPr>
            <w:r>
              <w:rPr>
                <w:b/>
                <w:sz w:val="24"/>
              </w:rPr>
              <w:t>This Date</w:t>
            </w:r>
          </w:p>
        </w:tc>
        <w:tc>
          <w:tcPr>
            <w:tcW w:w="1559" w:type="dxa"/>
            <w:tcBorders>
              <w:bottom w:val="single" w:sz="6" w:space="0" w:color="000000"/>
            </w:tcBorders>
          </w:tcPr>
          <w:p>
            <w:pPr>
              <w:pStyle w:val="Normal"/>
              <w:tabs>
                <w:tab w:val="clear" w:pos="720"/>
              </w:tabs>
              <w:bidi w:val="0"/>
              <w:jc w:val="center"/>
              <w:rPr>
                <w:b/>
                <w:sz w:val="24"/>
              </w:rPr>
            </w:pPr>
            <w:r>
              <w:rPr>
                <w:b/>
                <w:sz w:val="24"/>
              </w:rPr>
              <w:t>Outstanding</w:t>
            </w:r>
          </w:p>
          <w:p>
            <w:pPr>
              <w:pStyle w:val="Normal"/>
              <w:tabs>
                <w:tab w:val="clear" w:pos="720"/>
              </w:tabs>
              <w:bidi w:val="0"/>
              <w:jc w:val="center"/>
              <w:rPr>
                <w:b/>
                <w:sz w:val="24"/>
              </w:rPr>
            </w:pPr>
            <w:r>
              <w:rPr>
                <w:b/>
                <w:sz w:val="24"/>
              </w:rPr>
              <w:t>Principal</w:t>
            </w:r>
          </w:p>
          <w:p>
            <w:pPr>
              <w:pStyle w:val="Normal"/>
              <w:tabs>
                <w:tab w:val="clear" w:pos="720"/>
              </w:tabs>
              <w:bidi w:val="0"/>
              <w:jc w:val="center"/>
              <w:rPr>
                <w:b/>
                <w:sz w:val="24"/>
              </w:rPr>
            </w:pPr>
            <w:r>
              <w:rPr>
                <w:b/>
                <w:sz w:val="24"/>
              </w:rPr>
              <w:t>Balance</w:t>
            </w:r>
          </w:p>
          <w:p>
            <w:pPr>
              <w:pStyle w:val="Normal"/>
              <w:tabs>
                <w:tab w:val="clear" w:pos="720"/>
              </w:tabs>
              <w:bidi w:val="0"/>
              <w:jc w:val="center"/>
              <w:rPr/>
            </w:pPr>
            <w:r>
              <w:rPr>
                <w:b/>
                <w:sz w:val="24"/>
              </w:rPr>
              <w:t>This Date</w:t>
            </w:r>
          </w:p>
        </w:tc>
        <w:tc>
          <w:tcPr>
            <w:tcW w:w="1560" w:type="dxa"/>
            <w:tcBorders>
              <w:bottom w:val="single" w:sz="6" w:space="0" w:color="000000"/>
            </w:tcBorders>
          </w:tcPr>
          <w:p>
            <w:pPr>
              <w:pStyle w:val="Normal"/>
              <w:tabs>
                <w:tab w:val="clear" w:pos="720"/>
              </w:tabs>
              <w:bidi w:val="0"/>
              <w:jc w:val="center"/>
              <w:rPr>
                <w:b/>
                <w:sz w:val="24"/>
              </w:rPr>
            </w:pPr>
            <w:r>
              <w:rPr>
                <w:b/>
                <w:sz w:val="24"/>
              </w:rPr>
              <w:t>Notation</w:t>
            </w:r>
          </w:p>
          <w:p>
            <w:pPr>
              <w:pStyle w:val="Normal"/>
              <w:tabs>
                <w:tab w:val="clear" w:pos="720"/>
              </w:tabs>
              <w:bidi w:val="0"/>
              <w:jc w:val="center"/>
              <w:rPr/>
            </w:pPr>
            <w:r>
              <w:rPr>
                <w:b/>
                <w:sz w:val="24"/>
              </w:rPr>
              <w:t>Made By</w:t>
            </w:r>
          </w:p>
        </w:tc>
      </w:tr>
      <w:tr>
        <w:trPr>
          <w:trHeight w:val="403" w:hRule="atLeast"/>
          <w:cantSplit w:val="true"/>
        </w:trPr>
        <w:tc>
          <w:tcPr>
            <w:tcW w:w="1560"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c>
          <w:tcPr>
            <w:tcW w:w="1492" w:type="dxa"/>
            <w:tcBorders/>
          </w:tcPr>
          <w:p>
            <w:pPr>
              <w:pStyle w:val="Normal"/>
              <w:tabs>
                <w:tab w:val="clear" w:pos="720"/>
              </w:tabs>
              <w:bidi w:val="0"/>
              <w:jc w:val="start"/>
              <w:rPr>
                <w:sz w:val="24"/>
              </w:rPr>
            </w:pPr>
            <w:r>
              <w:rPr>
                <w:sz w:val="24"/>
              </w:rPr>
            </w:r>
          </w:p>
        </w:tc>
        <w:tc>
          <w:tcPr>
            <w:tcW w:w="1627" w:type="dxa"/>
            <w:tcBorders/>
          </w:tcPr>
          <w:p>
            <w:pPr>
              <w:pStyle w:val="Normal"/>
              <w:tabs>
                <w:tab w:val="clear" w:pos="720"/>
              </w:tabs>
              <w:bidi w:val="0"/>
              <w:jc w:val="start"/>
              <w:rPr>
                <w:sz w:val="24"/>
              </w:rPr>
            </w:pPr>
            <w:r>
              <w:rPr>
                <w:sz w:val="24"/>
              </w:rPr>
            </w:r>
          </w:p>
        </w:tc>
        <w:tc>
          <w:tcPr>
            <w:tcW w:w="1559"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r>
      <w:tr>
        <w:trPr>
          <w:trHeight w:val="403" w:hRule="atLeast"/>
          <w:cantSplit w:val="true"/>
        </w:trPr>
        <w:tc>
          <w:tcPr>
            <w:tcW w:w="1560"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c>
          <w:tcPr>
            <w:tcW w:w="1492" w:type="dxa"/>
            <w:tcBorders/>
          </w:tcPr>
          <w:p>
            <w:pPr>
              <w:pStyle w:val="Normal"/>
              <w:tabs>
                <w:tab w:val="clear" w:pos="720"/>
              </w:tabs>
              <w:bidi w:val="0"/>
              <w:jc w:val="start"/>
              <w:rPr>
                <w:sz w:val="24"/>
              </w:rPr>
            </w:pPr>
            <w:r>
              <w:rPr>
                <w:sz w:val="24"/>
              </w:rPr>
            </w:r>
          </w:p>
        </w:tc>
        <w:tc>
          <w:tcPr>
            <w:tcW w:w="1627" w:type="dxa"/>
            <w:tcBorders/>
          </w:tcPr>
          <w:p>
            <w:pPr>
              <w:pStyle w:val="Normal"/>
              <w:tabs>
                <w:tab w:val="clear" w:pos="720"/>
              </w:tabs>
              <w:bidi w:val="0"/>
              <w:jc w:val="start"/>
              <w:rPr>
                <w:sz w:val="24"/>
              </w:rPr>
            </w:pPr>
            <w:r>
              <w:rPr>
                <w:sz w:val="24"/>
              </w:rPr>
            </w:r>
          </w:p>
        </w:tc>
        <w:tc>
          <w:tcPr>
            <w:tcW w:w="1559"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r>
      <w:tr>
        <w:trPr>
          <w:trHeight w:val="403" w:hRule="atLeast"/>
          <w:cantSplit w:val="true"/>
        </w:trPr>
        <w:tc>
          <w:tcPr>
            <w:tcW w:w="1560"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c>
          <w:tcPr>
            <w:tcW w:w="1492" w:type="dxa"/>
            <w:tcBorders/>
          </w:tcPr>
          <w:p>
            <w:pPr>
              <w:pStyle w:val="Normal"/>
              <w:tabs>
                <w:tab w:val="clear" w:pos="720"/>
              </w:tabs>
              <w:bidi w:val="0"/>
              <w:jc w:val="start"/>
              <w:rPr>
                <w:sz w:val="24"/>
              </w:rPr>
            </w:pPr>
            <w:r>
              <w:rPr>
                <w:sz w:val="24"/>
              </w:rPr>
            </w:r>
          </w:p>
        </w:tc>
        <w:tc>
          <w:tcPr>
            <w:tcW w:w="1627" w:type="dxa"/>
            <w:tcBorders/>
          </w:tcPr>
          <w:p>
            <w:pPr>
              <w:pStyle w:val="Normal"/>
              <w:tabs>
                <w:tab w:val="clear" w:pos="720"/>
              </w:tabs>
              <w:bidi w:val="0"/>
              <w:jc w:val="start"/>
              <w:rPr>
                <w:sz w:val="24"/>
              </w:rPr>
            </w:pPr>
            <w:r>
              <w:rPr>
                <w:sz w:val="24"/>
              </w:rPr>
            </w:r>
          </w:p>
        </w:tc>
        <w:tc>
          <w:tcPr>
            <w:tcW w:w="1559"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r>
      <w:tr>
        <w:trPr>
          <w:trHeight w:val="403" w:hRule="atLeast"/>
          <w:cantSplit w:val="true"/>
        </w:trPr>
        <w:tc>
          <w:tcPr>
            <w:tcW w:w="1560"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c>
          <w:tcPr>
            <w:tcW w:w="1492" w:type="dxa"/>
            <w:tcBorders/>
          </w:tcPr>
          <w:p>
            <w:pPr>
              <w:pStyle w:val="Normal"/>
              <w:tabs>
                <w:tab w:val="clear" w:pos="720"/>
              </w:tabs>
              <w:bidi w:val="0"/>
              <w:jc w:val="start"/>
              <w:rPr>
                <w:sz w:val="24"/>
              </w:rPr>
            </w:pPr>
            <w:r>
              <w:rPr>
                <w:sz w:val="24"/>
              </w:rPr>
            </w:r>
          </w:p>
        </w:tc>
        <w:tc>
          <w:tcPr>
            <w:tcW w:w="1627" w:type="dxa"/>
            <w:tcBorders/>
          </w:tcPr>
          <w:p>
            <w:pPr>
              <w:pStyle w:val="Normal"/>
              <w:tabs>
                <w:tab w:val="clear" w:pos="720"/>
              </w:tabs>
              <w:bidi w:val="0"/>
              <w:jc w:val="start"/>
              <w:rPr>
                <w:sz w:val="24"/>
              </w:rPr>
            </w:pPr>
            <w:r>
              <w:rPr>
                <w:sz w:val="24"/>
              </w:rPr>
            </w:r>
          </w:p>
        </w:tc>
        <w:tc>
          <w:tcPr>
            <w:tcW w:w="1559"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r>
    </w:tbl>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sectPr>
          <w:headerReference w:type="default" r:id="rId26"/>
          <w:footerReference w:type="even" r:id="rId27"/>
          <w:footerReference w:type="default" r:id="rId28"/>
          <w:footerReference w:type="first" r:id="rId29"/>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EXHIBIT C</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Form 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INSTRUMENT OF ASSIGNMENT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 xml:space="preserve">Dated as of </w:t>
      </w:r>
      <w:ins w:id="784" w:author="">
        <w:r>
          <w:rPr>
            <w:b/>
            <w:strike/>
            <w:sz w:val="24"/>
          </w:rPr>
          <w:t>[_____________, 2000]</w:t>
        </w:r>
      </w:ins>
      <w:ins w:id="785" w:author="">
        <w:r>
          <w:rPr>
            <w:b/>
            <w:sz w:val="24"/>
            <w:u w:val="double"/>
          </w:rPr>
          <w:t>_______________</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Reference is made to the </w:t>
      </w:r>
      <w:ins w:id="786" w:author="">
        <w:r>
          <w:rPr>
            <w:strike/>
            <w:sz w:val="24"/>
          </w:rPr>
          <w:t>Amended and Restated</w:t>
        </w:r>
      </w:ins>
      <w:r>
        <w:rPr>
          <w:sz w:val="24"/>
        </w:rPr>
        <w:t xml:space="preserve"> Facility Agreement, dated as of </w:t>
      </w:r>
      <w:ins w:id="787" w:author="">
        <w:r>
          <w:rPr>
            <w:strike/>
            <w:sz w:val="24"/>
          </w:rPr>
          <w:t>May 31</w:t>
        </w:r>
      </w:ins>
      <w:r>
        <w:rPr>
          <w:sz w:val="24"/>
        </w:rPr>
        <w:t xml:space="preserve"> </w:t>
      </w:r>
      <w:ins w:id="788" w:author="">
        <w:r>
          <w:rPr>
            <w:b/>
            <w:sz w:val="24"/>
            <w:u w:val="double"/>
          </w:rPr>
          <w:t>November [17]</w:t>
        </w:r>
      </w:ins>
      <w:r>
        <w:rPr>
          <w:sz w:val="24"/>
        </w:rPr>
        <w:t xml:space="preserve">, 2000 (as the same may hereafter be amended or otherwise modified from time to time, the </w:t>
      </w:r>
      <w:r>
        <w:rPr>
          <w:b/>
          <w:sz w:val="24"/>
        </w:rPr>
        <w:t>“</w:t>
      </w:r>
      <w:r>
        <w:rPr>
          <w:b/>
          <w:sz w:val="24"/>
          <w:u w:val="single"/>
        </w:rPr>
        <w:t>Facility Agreement</w:t>
      </w:r>
      <w:r>
        <w:rPr>
          <w:b/>
          <w:sz w:val="24"/>
        </w:rPr>
        <w:t>”</w:t>
      </w:r>
      <w:r>
        <w:rPr>
          <w:sz w:val="24"/>
        </w:rPr>
        <w:t>), among (</w:t>
      </w:r>
      <w:r>
        <w:rPr>
          <w:i/>
          <w:sz w:val="24"/>
        </w:rPr>
        <w:t>inter alia</w:t>
      </w:r>
      <w:r>
        <w:rPr>
          <w:sz w:val="24"/>
        </w:rPr>
        <w:t xml:space="preserve">) Hawaii </w:t>
      </w:r>
      <w:ins w:id="789" w:author="">
        <w:r>
          <w:rPr>
            <w:b/>
            <w:sz w:val="24"/>
            <w:u w:val="double"/>
          </w:rPr>
          <w:t>I</w:t>
        </w:r>
      </w:ins>
      <w:r>
        <w:rPr>
          <w:sz w:val="24"/>
        </w:rPr>
        <w:t xml:space="preserve"> 125</w:t>
        <w:noBreakHyphen/>
        <w:t xml:space="preserve">0 Trust, as issuer of the Notes and Canadian Imperial Bank of Commerce, as Agent, the Lenders named therein and CIBC World Markets Corp., as Arranger.    Pursuant to the Facility Agreement _________________ (the </w:t>
      </w:r>
      <w:r>
        <w:rPr>
          <w:b/>
          <w:sz w:val="24"/>
        </w:rPr>
        <w:t>“</w:t>
      </w:r>
      <w:r>
        <w:rPr>
          <w:b/>
          <w:sz w:val="24"/>
          <w:u w:val="single"/>
        </w:rPr>
        <w:t>Assignor</w:t>
      </w:r>
      <w:r>
        <w:rPr>
          <w:b/>
          <w:sz w:val="24"/>
        </w:rPr>
        <w:t>”</w:t>
      </w:r>
      <w:r>
        <w:rPr>
          <w:sz w:val="24"/>
        </w:rPr>
        <w:t xml:space="preserve">) has purchased the Note issued by the Trust to the Assignor.    Each capitalized term used herein and not otherwise defined herein shall have the meanings </w:t>
      </w:r>
      <w:ins w:id="790" w:author="">
        <w:r>
          <w:rPr>
            <w:strike/>
            <w:sz w:val="24"/>
          </w:rPr>
          <w:t>ascribed thereto</w:t>
        </w:r>
      </w:ins>
      <w:r>
        <w:rPr>
          <w:sz w:val="24"/>
        </w:rPr>
        <w:t xml:space="preserve"> </w:t>
      </w:r>
      <w:ins w:id="791" w:author="">
        <w:r>
          <w:rPr>
            <w:b/>
            <w:sz w:val="24"/>
            <w:u w:val="double"/>
          </w:rPr>
          <w:t>set forth</w:t>
        </w:r>
      </w:ins>
      <w:r>
        <w:rPr>
          <w:sz w:val="24"/>
        </w:rPr>
        <w:t xml:space="preserve">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The Assignor and _______________________ (the </w:t>
      </w:r>
      <w:r>
        <w:rPr>
          <w:b/>
          <w:sz w:val="24"/>
        </w:rPr>
        <w:t>“</w:t>
      </w:r>
      <w:r>
        <w:rPr>
          <w:b/>
          <w:sz w:val="24"/>
          <w:u w:val="single"/>
        </w:rPr>
        <w:t>Assignee</w:t>
      </w:r>
      <w:r>
        <w:rPr>
          <w:b/>
          <w:sz w:val="24"/>
        </w:rPr>
        <w:t>”</w:t>
      </w:r>
      <w:r>
        <w:rPr>
          <w:sz w:val="24"/>
        </w:rPr>
        <w:t>) agree as follows: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1.</w:t>
        <w:tab/>
        <w:t xml:space="preserve">The Assignor hereby sells and assigns, without recourse, to the Assignee, and the Assignee hereby purchases and assumes from the Assignor, without recourse to the Assignor and, except as expressly provided herein, with no representation or warranty, express or implied, a portion of the Assignor’s rights and obligations under the Assignor’s Note, the Facility Agreement and the other Finance Documents as of the Effective Date (as defined below), which portion represents the percentage interest specified on Schedule I hereto of all outstanding rights and obligations of the Assignor under the Assignor’s Note, the Facility Agreement and the other Finance Documents including, without limitation, such percentage interest in the Assignor’s Note and Advance outstanding on the Effective Date (the </w:t>
      </w:r>
      <w:r>
        <w:rPr>
          <w:b/>
          <w:sz w:val="24"/>
        </w:rPr>
        <w:t>“</w:t>
      </w:r>
      <w:r>
        <w:rPr>
          <w:b/>
          <w:sz w:val="24"/>
          <w:u w:val="single"/>
        </w:rPr>
        <w:t>Assigned Interest</w:t>
      </w:r>
      <w:r>
        <w:rPr>
          <w:b/>
          <w:sz w:val="24"/>
        </w:rPr>
        <w:t>”</w:t>
      </w:r>
      <w:r>
        <w:rPr>
          <w:sz w:val="24"/>
        </w:rPr>
        <w:t xml:space="preserve">).    After giving effect to such sale and assignment, the outstanding principal amount of the Advance owing to the Assignor will be as set forth in Section 2 of Schedule 1 hereto.    The effective date of this sale and assignment shall be the date specified on Schedule I hereto (the </w:t>
      </w:r>
      <w:r>
        <w:rPr>
          <w:b/>
          <w:sz w:val="24"/>
        </w:rPr>
        <w:t>“</w:t>
      </w:r>
      <w:r>
        <w:rPr>
          <w:b/>
          <w:sz w:val="24"/>
          <w:u w:val="single"/>
        </w:rPr>
        <w:t>Effective Date</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2.</w:t>
        <w:tab/>
        <w:t>On the Effective Date, the Assignee will pay to the Assignor, in same day funds, at such address and account as the Assignor shall advise the Assignee, the principal amount of the Assignor’s Note and Advance being assigned hereunder, and the sale and assignment contemplated hereby shall thereupon become effective.    From and after the Effective Date, the Assignor agrees that the Assignee shall be entitled to all rights, powers, and privileges of the Assignor under the Facility Agreement and the other Finance Documents, to the extent of the    Assigned Interest, including without limitation (i) the right to receive all payments in respect of the Assigned Interest for the period from and after the Effective Date, whether on account of principal, interest or current yield, fees, indemnities in respect of claims arising after the Effective Date, increased costs, additional amounts or otherwise; (ii) the right to vote and to instruct the Agent under the Finance Documents based on the Assigned Interest; and (iii) the right to receive notices, requests, demands, and other communications.    The Assignor agrees that it will promptly remit to the Assignee any amount received by it in respect of the Assigned Interest in the same funds in which such amount is received by the Assignor.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3.</w:t>
        <w:tab/>
        <w:t>The Assignor (i) represents and warrants that it is the legal and beneficial owner of the interest being assigned by it hereunder and that such interest is free and clear of any adverse claim; (ii)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thereto; (iii) makes no representation or warranty and assumes no responsibility with respect to the financial condition of the Trust, the Sponsors, the Asset LLCs, the Transferors, Enron or any other Person or the performance or observance by such Persons of any of their obligations under the Financing    Documents, or any other instrument or document furnished pursuant thereto; and (iv) attaches its Note and requests that the Trust issue new Notes in accordance with the terms of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4.</w:t>
        <w:tab/>
        <w:t>The Assignee (i) confirms that it is an Eligible Assignee, and it has received a copy of the Facility Agreement and such other documents and information as it has deemed appropriate to make its own credit analysis and decision to enter into this Instrument of Assignment; (ii) agrees that it will, independently and without reliance upon the Agent, the Arranger, the Syndication Agent, the Documentation Agent, the Co</w:t>
        <w:noBreakHyphen/>
        <w:t>Arrangers, the Assignor or any other Lender and based on such documents and information as it shall deem appropriate at the time, continue to make its own credit decisions in taking or not taking action under the Finance Documents; (iii) appoints or authorizes the Agent to take such action on its behalf and to exercise such powers under the Finance Documents as are delegated to the Agent by the terms thereof, together with such powers as are reasonably incidental thereto; (iv) agrees that it will perform in accordance with their terms all of the obligations which by the terms of the Finance Documents are required to be performed by it as a Lender; (v) specifies as its purchasing offices (and address for notices) the offices set forth beneath its name on the signature pages hereof; and (vi) attaches a completed Schedule 2 hereto.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5.</w:t>
        <w:tab/>
        <w:t>The Assignor and the Assignee hereby agree that the [Assignor] [Assignee] will pay to the Agent the processing fee referred to in Section 22.2(c)(ix) of the Facility Agreement upon the delivery hereof.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6.</w:t>
        <w:tab/>
        <w:t>Following the execution of this Instrument of Assignment, it will be delivered to the Agent for acceptance by the Agent and recording by the Agent.    Upon such acceptance and recording, receipt of the consent of the Agent required pursuant to the Facility Agreement, and delivery of a fully executed counterpart of this Instrument of Assignment to the Agent of the Effective Date, (i) the Assignee shall be a party to the Facility Agreement and, to the extent provided in this Instrument of Assignment, have the rights and obligations of a Lender thereunder and under the Note and the other Finance Documents and (ii) the Assignor shall, to the extent provided in this Instrument of Assignment, relinquish its rights in the Assigned Interest and be released from its obligations under the Facility Agreement, the Note and any other Transaction Documents.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7.</w:t>
        <w:tab/>
        <w:t>Upon such acceptance, recording, payment and consent, from and after the Effective Date, the Agent shall make all payments under the Finance Documents in respect of the Assigned Interest (including, without limitation, all payments of principal and interest or current yield, as applicable) to the Assignee.    The Assignor and the Assignee shall make all appropriate adjustments in payments under the Finance Documents for periods prior to the Effective Date directly between themselves.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8.</w:t>
        <w:tab/>
        <w:t>The Trust and each Finance Party shall be entitled to rely upon and enforce this Instrument of Assignment against the Assignor and the Assignee in all respects.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9.</w:t>
        <w:tab/>
        <w:t>This Instrument of Assignment shall be governed by and interpreted in accordance with the Laws of the State of New York, including Section 5</w:t>
        <w:noBreakHyphen/>
        <w:t>1401 of the New York General Obligations Law (or any similar successor provision thereto) but excluding all other conflict</w:t>
        <w:noBreakHyphen/>
        <w:t>of</w:t>
        <w:noBreakHyphen/>
        <w:t>laws rules.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headerReference w:type="default" r:id="rId30"/>
          <w:headerReference w:type="first" r:id="rId31"/>
          <w:footerReference w:type="even" r:id="rId32"/>
          <w:footerReference w:type="default" r:id="rId33"/>
          <w:footerReference w:type="first" r:id="rId34"/>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r>
        <w:br w:type="page"/>
      </w:r>
    </w:p>
    <w:p>
      <w:pPr>
        <w:pStyle w:val="Normal"/>
        <w:bidi w:val="0"/>
        <w:jc w:val="start"/>
        <w:rPr>
          <w:sz w:val="24"/>
        </w:rPr>
      </w:pPr>
      <w:r>
        <w:rPr>
          <w:sz w:val="24"/>
        </w:rPr>
      </w:r>
    </w:p>
    <w:p>
      <w:pPr>
        <w:sectPr>
          <w:headerReference w:type="default" r:id="rId35"/>
          <w:headerReference w:type="first" r:id="rId36"/>
          <w:footerReference w:type="even" r:id="rId37"/>
          <w:footerReference w:type="default" r:id="rId38"/>
          <w:footerReference w:type="first" r:id="rId39"/>
          <w:type w:val="nextPage"/>
          <w:pgSz w:w="12240" w:h="15840"/>
          <w:pgMar w:left="1440" w:right="1440" w:gutter="0" w:header="1440" w:top="1497" w:footer="1104" w:bottom="1161"/>
          <w:pgNumType w:fmt="decimal"/>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IN WITNESS WHEREOF, the parties hereto have caused this Instrument of Assignment to be executed by their respective officers thereunto duly authorized, as of the date first above written.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NAME OF ASSIGNOR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By:</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NAME OF ASSIGNEE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By:</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LENDING OFFICE (and address for notices):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Accepted this _____ day of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u w:val="single"/>
        </w:rPr>
        <w:t xml:space="preserve">                                                                                      </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CANADIAN IMPERIAL BANK 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COMMERCE, as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By:</w:t>
      </w:r>
      <w:r>
        <w:rPr>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Name:</w:t>
      </w:r>
      <w:r>
        <w:rPr>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Title:</w:t>
      </w:r>
      <w:r>
        <w:rPr>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24"/>
        </w:rPr>
      </w:pPr>
      <w:r>
        <w:rPr>
          <w:sz w:val="24"/>
        </w:rPr>
      </w:r>
    </w:p>
    <w:p>
      <w:pPr>
        <w:sectPr>
          <w:type w:val="continuous"/>
          <w:pgSz w:w="12240" w:h="15840"/>
          <w:pgMar w:left="1440" w:right="1440" w:gutter="0" w:header="1440" w:top="1497" w:footer="1104" w:bottom="1161"/>
          <w:formProt w:val="false"/>
          <w:textDirection w:val="lrTb"/>
          <w:docGrid w:type="default" w:linePitch="312" w:charSpace="2047"/>
        </w:sectPr>
      </w:pPr>
    </w:p>
    <w:p>
      <w:pPr>
        <w:pStyle w:val="Normal"/>
        <w:bidi w:val="0"/>
        <w:jc w:val="start"/>
        <w:rPr>
          <w:b/>
          <w:sz w:val="24"/>
        </w:rPr>
      </w:pPr>
      <w:r>
        <w:rPr>
          <w:b/>
          <w:sz w:val="24"/>
        </w:rPr>
        <w:tab/>
        <w:t>Schedule I</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Instrument of Assignment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Dated as of [</w:t>
      </w:r>
      <w:r>
        <w:rPr>
          <w:b/>
          <w:sz w:val="24"/>
          <w:u w:val="single"/>
        </w:rPr>
        <w:t xml:space="preserve">                                                  </w:t>
      </w:r>
      <w:r>
        <w:rPr>
          <w:b/>
          <w:sz w:val="24"/>
        </w:rPr>
        <w:t xml:space="preserve"> ___, 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Section 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w:t>
        <w:tab/>
        <w:t>Total Principal</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Amount of Assignor’s Outstanding Note</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(b)</w:t>
        <w:tab/>
        <w:t>Percentage Interest of Note Assigned*</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(c)</w:t>
        <w:tab/>
        <w:t>Amount of Assigned Interest with respect to Notes</w:t>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(d)</w:t>
        <w:tab/>
        <w:t>Percentage Interest of Notes Retained after giving effect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to all Notes Assigned</w:t>
        <w:tab/>
        <w:tab/>
        <w:tab/>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Section 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w:t>
        <w:tab/>
        <w:t>Assignor’s Note Amount (after Assignment)</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(b)</w:t>
        <w:tab/>
        <w:t>Assignee’s Note Amount (after Assignment)</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Section 3.</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Effective Date**</w:t>
        <w:tab/>
        <w:tab/>
        <w:tab/>
        <w:tab/>
        <w:tab/>
        <w:tab/>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 </w:t>
      </w:r>
      <w:r>
        <w:rPr>
          <w:sz w:val="24"/>
        </w:rPr>
        <w:t>*</w:t>
        <w:tab/>
        <w:t>Specify percentage to no more than 8 decimal points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rPr>
      </w:pPr>
      <w:r>
        <w:rPr>
          <w:sz w:val="24"/>
        </w:rPr>
        <w:t>**</w:t>
        <w:tab/>
        <w:t xml:space="preserve">See Section 23.2(b) of the Facility Agreement.    Such date shall be at least five Business </w:t>
        <w:tab/>
        <w:t>Days after the execution of this Instrument of Assignment.</w:t>
      </w:r>
    </w:p>
    <w:p>
      <w:pPr>
        <w:sectPr>
          <w:headerReference w:type="default" r:id="rId40"/>
          <w:footerReference w:type="default" r:id="rId41"/>
          <w:type w:val="nextPage"/>
          <w:pgSz w:w="12240" w:h="15840"/>
          <w:pgMar w:left="1440" w:right="1440" w:gutter="0" w:header="1440" w:top="1497" w:footer="1104" w:bottom="1161"/>
          <w:pgNumType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24"/>
        </w:rPr>
      </w:pPr>
      <w:r>
        <w:rPr>
          <w:sz w:val="24"/>
        </w:rPr>
      </w:r>
    </w:p>
    <w:p>
      <w:pPr>
        <w:pStyle w:val="Normal"/>
        <w:bidi w:val="0"/>
        <w:jc w:val="start"/>
        <w:rPr>
          <w:b/>
          <w:sz w:val="24"/>
        </w:rPr>
      </w:pPr>
      <w:r>
        <w:rPr>
          <w:b/>
          <w:sz w:val="24"/>
        </w:rPr>
        <w:tab/>
        <w:t>Schedule 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Instrument of Assignment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Dated as of [_____________ ___, 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MAILING AND PAYMENT INSTRUCTIONS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1)</w:t>
        <w:tab/>
        <w:t>Name of Entity for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2)</w:t>
        <w:tab/>
        <w:t>Name of Bank on any eventual Tombstone: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r>
      <w:r>
        <w:rPr>
          <w:sz w:val="24"/>
          <w:u w:val="single"/>
        </w:rPr>
        <w:t>CREDIT CONTACT</w:t>
      </w:r>
      <w:r>
        <w:rPr>
          <w:sz w:val="24"/>
        </w:rPr>
        <w:tab/>
        <w:tab/>
      </w:r>
      <w:r>
        <w:rPr>
          <w:sz w:val="24"/>
          <w:u w:val="single"/>
        </w:rPr>
        <w:t>OPERATIONS CONTACT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Name:</w:t>
        <w:tab/>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Title:</w:t>
        <w:tab/>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Address: 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(street): 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(city, state): 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(zip code): 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Phone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Fax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 </w:t>
      </w:r>
    </w:p>
    <w:p>
      <w:pPr>
        <w:sectPr>
          <w:headerReference w:type="default" r:id="rId42"/>
          <w:headerReference w:type="first" r:id="rId43"/>
          <w:footerReference w:type="default" r:id="rId44"/>
          <w:footerReference w:type="first" r:id="rId45"/>
          <w:type w:val="nextPage"/>
          <w:pgSz w:w="12240" w:h="15840"/>
          <w:pgMar w:left="1440" w:right="1440" w:gutter="0" w:header="1440" w:top="1497" w:footer="1104" w:bottom="1161"/>
          <w:pgNumType w:fmt="decimal"/>
          <w:formProt w:val="false"/>
          <w:textDirection w:val="lrTb"/>
          <w:docGrid w:type="default" w:linePitch="100" w:charSpace="0"/>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EXHIBIT 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rPr>
        <w:t>PAYMENT INSTRUCTIONS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Method of Payment:</w:t>
        <w:tab/>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Chips:</w:t>
        <w:tab/>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Pay to (Name of Bank): 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City, State: 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ABA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Account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Account Name: 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 </w:t>
      </w:r>
      <w:r>
        <w:rPr>
          <w:sz w:val="24"/>
        </w:rPr>
        <w:t xml:space="preserve">Reference: 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Attention: 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Operative Documents Sent: Yes _____ No 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 xml:space="preserve">Initial:    </w:t>
      </w:r>
      <w:r>
        <w:rPr>
          <w:sz w:val="24"/>
          <w:u w:val="single"/>
        </w:rPr>
        <w:t xml:space="preserve">                                  </w:t>
      </w:r>
      <w:r>
        <w:rPr>
          <w:sz w:val="24"/>
        </w:rPr>
        <w:t xml:space="preserve">      Date: 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center"/>
        <w:rPr>
          <w:sz w:val="24"/>
        </w:rPr>
      </w:pPr>
      <w:r>
        <w:rPr>
          <w:sz w:val="24"/>
        </w:rPr>
      </w:r>
    </w:p>
    <w:p>
      <w:pPr>
        <w:sectPr>
          <w:type w:val="continuous"/>
          <w:pgSz w:w="12240" w:h="15840"/>
          <w:pgMar w:left="1440" w:right="1440" w:gutter="0" w:header="1440" w:top="1497" w:footer="1104" w:bottom="1161"/>
          <w:formProt w:val="false"/>
          <w:textDirection w:val="lrTb"/>
          <w:docGrid w:type="default" w:linePitch="100" w:charSpace="0"/>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single"/>
        </w:rPr>
      </w:pPr>
      <w:r>
        <w:rPr>
          <w:b/>
          <w:sz w:val="24"/>
          <w:u w:val="single"/>
        </w:rPr>
        <w:t>EXHIBIT 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single"/>
        </w:rPr>
      </w:pPr>
      <w:r>
        <w:rPr>
          <w:sz w:val="24"/>
          <w:u w:val="single"/>
        </w:rPr>
        <w:t>Part 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Methodology for Asset Valuation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Three types of assets will be eligible to be included as Underlying Assets: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u w:val="single"/>
        </w:rPr>
        <w:t>Danno Assets</w:t>
      </w:r>
      <w:r>
        <w:rPr>
          <w:sz w:val="24"/>
        </w:rPr>
        <w:t xml:space="preserve"> </w:t>
        <w:noBreakHyphen/>
        <w:t xml:space="preserve"> cash flows from contractual obligations of third parties owed to Enron or one of its subsidiaries or majority owned affiliates; projected cash flows at levels calculated using Enron policies and procedures for similar assets.</w:t>
      </w:r>
      <w:ins w:id="792" w:author="">
        <w:r>
          <w:rPr>
            <w:b/>
            <w:sz w:val="24"/>
            <w:u w:val="double"/>
          </w:rPr>
          <w:t>    The long</w:t>
          <w:noBreakHyphen/>
          <w:t>term unsecured senior debt of the applicable third parties must either be rated “BBB” by S&amp;P or “Baa” by Moody’s or the applicable asset must have such additional credit support as may be approved by the Agent in writing.</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u w:val="single"/>
        </w:rPr>
        <w:t>Governor Assets</w:t>
      </w:r>
      <w:r>
        <w:rPr>
          <w:sz w:val="24"/>
        </w:rPr>
        <w:t xml:space="preserve"> </w:t>
        <w:noBreakHyphen/>
        <w:t xml:space="preserve"> Enron’s or one of its subsidiary’s or majority owned affiliate’s interest in cash flows from operating assets owned by an entity controlled by Enron.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u w:val="single"/>
        </w:rPr>
        <w:t>McGarret Assets</w:t>
      </w:r>
      <w:r>
        <w:rPr>
          <w:sz w:val="24"/>
        </w:rPr>
        <w:t xml:space="preserve"> </w:t>
        <w:noBreakHyphen/>
        <w:t xml:space="preserve"> equity interests in Enron subsidiaries, affiliates and third parties; provided that if any such interest is not a minority interest, the prior approval of the Agent is required.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Each asset must be free and clear of all Liens other than those disclosed to and approved by the Agent and the Subscriber.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Valuations of proposed Underlying Assets will be carried out as follows: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rPr>
      </w:pPr>
      <w:r>
        <w:rPr>
          <w:sz w:val="24"/>
        </w:rPr>
        <w:t>•</w:t>
      </w:r>
      <w:r>
        <w:rPr>
          <w:sz w:val="24"/>
        </w:rPr>
        <w:tab/>
        <w:t>where publicly traded, asset must be valued within trading range during most recent 90 day period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rPr>
      </w:pPr>
      <w:r>
        <w:rPr>
          <w:sz w:val="24"/>
        </w:rPr>
        <w:t>•</w:t>
      </w:r>
      <w:r>
        <w:rPr>
          <w:sz w:val="24"/>
        </w:rPr>
        <w:tab/>
        <w:t>for assets which constitute non</w:t>
        <w:noBreakHyphen/>
        <w:t>public investments of Enron and its subsidiaries the value (which must be satisfactory to the Agent) will be based on either (i) Enron’s internal procedures, (ii) an independent review from an expert (which is not a Lender or an affiliate of a Lender) satisfactory to the Agent, or (iii) for assets constituting Enron’s or its subsidiary’s or majority owned affiliate’s interest in Enron or one of its subsidiaries in which a third party has made an investment, the price paid by such third party in an arms</w:t>
        <w:noBreakHyphen/>
        <w:t>length transaction within the most recent 180 days, if applicable.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rPr>
      </w:pPr>
      <w:r>
        <w:rPr>
          <w:sz w:val="24"/>
        </w:rPr>
        <w:t>•</w:t>
      </w:r>
      <w:r>
        <w:rPr>
          <w:sz w:val="24"/>
        </w:rPr>
        <w:tab/>
        <w:t>valuation to be consistent with Enron’s internal procedures for valuation of similar assets and with the particular procedures of the Enron business unit responsible for similar assets.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rPr>
      </w:pPr>
      <w:r>
        <w:rPr>
          <w:sz w:val="24"/>
        </w:rPr>
        <w:t>•</w:t>
      </w:r>
      <w:r>
        <w:rPr>
          <w:sz w:val="24"/>
        </w:rPr>
        <w:tab/>
        <w:t>where value based upon third party derivative transaction, counterparty must have investment grade rating (unless deemed to be approved by the Lenders pursuant to Section 5.2).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single"/>
        </w:rPr>
      </w:pPr>
      <w:r>
        <w:rPr>
          <w:b/>
          <w:sz w:val="24"/>
          <w:u w:val="single"/>
        </w:rPr>
        <w:t>EXHIBIT 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fldChar w:fldCharType="begin"/>
      </w:r>
      <w:r>
        <w:rPr>
          <w:sz w:val="24"/>
          <w:u w:val="single"/>
        </w:rPr>
        <w:instrText xml:space="preserve"> TC "Part " \l 1 </w:instrText>
      </w:r>
      <w:r>
        <w:rPr>
          <w:sz w:val="24"/>
          <w:u w:val="single"/>
        </w:rPr>
        <w:fldChar w:fldCharType="separate"/>
      </w:r>
      <w:r>
        <w:rPr>
          <w:sz w:val="24"/>
          <w:u w:val="single"/>
        </w:rPr>
      </w:r>
      <w:r>
        <w:rPr>
          <w:sz w:val="24"/>
          <w:u w:val="single"/>
        </w:rPr>
        <w:fldChar w:fldCharType="end"/>
      </w:r>
      <w:r>
        <w:rPr>
          <w:sz w:val="24"/>
          <w:u w:val="single"/>
        </w:rPr>
        <w:t xml:space="preserve"> </w:t>
      </w:r>
      <w:r>
        <w:rPr>
          <w:sz w:val="24"/>
          <w:u w:val="single"/>
        </w:rPr>
        <w:t>B</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Model Structure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The Model Structure may be summarized as follows (the events specified below are deemed to occur simultaneously):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w:t>
        <w:tab/>
        <w:t xml:space="preserve">In respect of each Underlying Asset, a new Series is established pursuant to a Series Supplement (the </w:t>
      </w:r>
      <w:r>
        <w:rPr>
          <w:b/>
          <w:sz w:val="24"/>
        </w:rPr>
        <w:t>“</w:t>
      </w:r>
      <w:r>
        <w:rPr>
          <w:b/>
          <w:sz w:val="24"/>
          <w:u w:val="single"/>
        </w:rPr>
        <w:t>Applicable Series</w:t>
      </w:r>
      <w:r>
        <w:rPr>
          <w:b/>
          <w:sz w:val="24"/>
        </w:rPr>
        <w:t>”</w:t>
      </w:r>
      <w:r>
        <w:rPr>
          <w:sz w:val="24"/>
        </w:rPr>
        <w:t>), and a new Asset LLC and a new Transferor may be established as Delaware limited liability companies on the terms of an Asset LLC Agreement and a Transferor LLC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2.</w:t>
        <w:tab/>
        <w:t>(a)</w:t>
        <w:tab/>
        <w:t xml:space="preserve">If there is a new Asset LLC and a new Transferor with respect to the Applicable Series, pursuant to the terms of the Asset LLC Agreement, the Sponsor assigns the Underlying Asset to the applicable Asset LLC and such Asset LLC issues to the Sponsor a Class A member interest (representing 0.01% economic interest in Asset LLC and 100% voting control of Asset LLC). Asset LLC issues a Class B member interest (representing 99.99% of the economic interest in Asset LLC and no voting control) to Transferor in consideration of a Note issued by Transferor to Asset LLC for an amount equal to the proceeds of the Tranche referred to in paragraph 7, below and the equity contribution referred to in paragraph 6 below (the “Advanced Amount”). 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(b)</w:t>
        <w:tab/>
        <w:t>If there is a pre</w:t>
        <w:noBreakHyphen/>
        <w:t>existing Asset LLC and a pre</w:t>
        <w:noBreakHyphen/>
        <w:t>existing Transferor with respect to the Applicable Series, the Sponsor will have assigned the Underlying Asset to the applicable Asset LLC and such Asset LLC will have issued to the Sponsor a Class A member interest (representing 0.01% economic interest in Asset LLC and 100% voting control of Asset LLC). Asset LLC will have issued a Class B member interest (representing 99.99% of the economic interest in Asset LLC and no voting control) that is held by the Transferor.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3.</w:t>
        <w:tab/>
        <w:t>If there is a new Asset LLC and a new Transferor with respect to the Applicable Series, Transferor issues a member interest to the Sponsor representing 100% economic interest and 100% voting control.</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4.</w:t>
        <w:tab/>
        <w:t xml:space="preserve">The Sponsor, Transferor and the Trust enter into a </w:t>
      </w:r>
      <w:ins w:id="793" w:author="">
        <w:r>
          <w:rPr>
            <w:strike/>
            <w:sz w:val="24"/>
          </w:rPr>
          <w:t>Sale</w:t>
        </w:r>
      </w:ins>
      <w:r>
        <w:rPr>
          <w:sz w:val="24"/>
        </w:rPr>
        <w:t xml:space="preserve"> </w:t>
      </w:r>
      <w:ins w:id="794" w:author="">
        <w:r>
          <w:rPr>
            <w:b/>
            <w:sz w:val="24"/>
            <w:u w:val="double"/>
          </w:rPr>
          <w:t>Transfer</w:t>
        </w:r>
      </w:ins>
      <w:r>
        <w:rPr>
          <w:sz w:val="24"/>
        </w:rPr>
        <w:t xml:space="preserve"> and Auction Agreement.    Pursuant to the </w:t>
      </w:r>
      <w:ins w:id="795" w:author="">
        <w:r>
          <w:rPr>
            <w:strike/>
            <w:sz w:val="24"/>
          </w:rPr>
          <w:t>Sale</w:t>
        </w:r>
      </w:ins>
      <w:r>
        <w:rPr>
          <w:sz w:val="24"/>
        </w:rPr>
        <w:t xml:space="preserve"> </w:t>
      </w:r>
      <w:ins w:id="796" w:author="">
        <w:r>
          <w:rPr>
            <w:b/>
            <w:sz w:val="24"/>
            <w:u w:val="double"/>
          </w:rPr>
          <w:t>Transfer</w:t>
        </w:r>
      </w:ins>
      <w:r>
        <w:rPr>
          <w:sz w:val="24"/>
        </w:rPr>
        <w:t xml:space="preserve"> and Auction Agreement, Transferor transfers the Class B member interest in Asset LLC to the Trust in consideration of a payment by the Trust to the Transferor of an amount equal to the Advanced Amount, which, if there is a new Asset LLC and a new Transferor with respect to the Applicable Series, Transferor pays to Asset LLC in full satisfaction of the Note referred to in paragraph 2(a) above.      The Class B Member Interest will form part of the Series Property (as defined in the Trust Agreement) of the Applicable Series.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w:t>
        <w:tab/>
        <w:t>If there is a new Asset LLC and a new Transferor with respect to the Applicable Series, Asset LLC makes a special distribution to the Sponsor in an amount equal to the Advanced Amount.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6.</w:t>
        <w:tab/>
        <w:t>The Trust issues a Series Certificate in consideration of an equity contribution from the Series Certificate holder in an amount equal to the Certificate Base Amount of the Series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7.</w:t>
        <w:tab/>
        <w:t>The Trust draws down a Tranche pursuant to the Facility Agreement in an amount equal to the valuation of the Underlying Asset specified in the Asset Notice, less Certificate Base Amount of the Series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8.</w:t>
        <w:tab/>
        <w:t xml:space="preserve">The asset structure is given liquidity by    (a) Asset LLC and the Sponsor entering into a put option agreement whereby Asset LLC is granted certain rights to put the Underlying Asset or part thereof back to the Sponsor in consideration of a fixed purchase price; </w:t>
      </w:r>
      <w:r>
        <w:rPr>
          <w:i/>
          <w:sz w:val="24"/>
        </w:rPr>
        <w:t>or</w:t>
      </w:r>
      <w:r>
        <w:rPr>
          <w:sz w:val="24"/>
        </w:rPr>
        <w:t xml:space="preserve"> (b) the Sponsor capitalizing Asset LLC by issuing a demand note in favor of Asset LLC; </w:t>
      </w:r>
      <w:r>
        <w:rPr>
          <w:i/>
          <w:sz w:val="24"/>
        </w:rPr>
        <w:t xml:space="preserve">or </w:t>
      </w:r>
      <w:r>
        <w:rPr>
          <w:sz w:val="24"/>
        </w:rPr>
        <w:t>(c) a combination of (a) and (b), above,</w:t>
      </w:r>
      <w:r>
        <w:rPr>
          <w:i/>
          <w:sz w:val="24"/>
        </w:rPr>
        <w:t xml:space="preserve"> </w:t>
      </w:r>
      <w:r>
        <w:rPr>
          <w:sz w:val="24"/>
        </w:rPr>
        <w:t xml:space="preserve">in each case to be priced at such a level to ensure that it is reasonably likely that distributions from the Asset LLC to the Trust will be sufficient to enable the Trust to meet its obligations under the Facility Agreement with respect to the related Tranche.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sectPr>
          <w:headerReference w:type="default" r:id="rId46"/>
          <w:footerReference w:type="even" r:id="rId47"/>
          <w:footerReference w:type="default" r:id="rId48"/>
          <w:footerReference w:type="first" r:id="rId49"/>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9.</w:t>
        <w:tab/>
        <w:t xml:space="preserve">An Underlying Asset will not conform with the Model Structure if (a) following Drawdown of the Tranche requested in the related Asset Notice, </w:t>
      </w:r>
      <w:ins w:id="797" w:author="">
        <w:r>
          <w:rPr>
            <w:strike/>
            <w:sz w:val="24"/>
          </w:rPr>
          <w:t>Tranches of</w:t>
        </w:r>
      </w:ins>
      <w:r>
        <w:rPr>
          <w:sz w:val="24"/>
        </w:rPr>
        <w:t xml:space="preserve"> more than </w:t>
      </w:r>
      <w:ins w:id="798" w:author="">
        <w:r>
          <w:rPr>
            <w:strike/>
            <w:sz w:val="24"/>
          </w:rPr>
          <w:t>$150,000,000</w:t>
        </w:r>
      </w:ins>
      <w:r>
        <w:rPr>
          <w:sz w:val="24"/>
        </w:rPr>
        <w:t xml:space="preserve"> </w:t>
      </w:r>
      <w:ins w:id="799" w:author="">
        <w:r>
          <w:rPr>
            <w:b/>
            <w:sz w:val="24"/>
            <w:u w:val="double"/>
          </w:rPr>
          <w:t>$145,500,000</w:t>
        </w:r>
      </w:ins>
      <w:r>
        <w:rPr>
          <w:sz w:val="24"/>
        </w:rPr>
        <w:t xml:space="preserve"> in aggregate </w:t>
      </w:r>
      <w:ins w:id="800" w:author="">
        <w:r>
          <w:rPr>
            <w:b/>
            <w:sz w:val="24"/>
            <w:u w:val="double"/>
          </w:rPr>
          <w:t>(including all Hawaii II Tranches)</w:t>
        </w:r>
      </w:ins>
      <w:r>
        <w:rPr>
          <w:sz w:val="24"/>
        </w:rPr>
        <w:t xml:space="preserve"> would have been drawn down </w:t>
      </w:r>
      <w:ins w:id="801" w:author="">
        <w:r>
          <w:rPr>
            <w:strike/>
            <w:sz w:val="24"/>
          </w:rPr>
          <w:t>in any one quarter</w:t>
        </w:r>
      </w:ins>
      <w:r>
        <w:rPr>
          <w:sz w:val="24"/>
        </w:rPr>
        <w:t xml:space="preserve"> </w:t>
      </w:r>
      <w:ins w:id="802" w:author="">
        <w:r>
          <w:rPr>
            <w:b/>
            <w:sz w:val="24"/>
            <w:u w:val="double"/>
          </w:rPr>
          <w:t>under the Facility Agreement and the Hawaii II Facility Agreement in the aggregate</w:t>
        </w:r>
      </w:ins>
      <w:r>
        <w:rPr>
          <w:sz w:val="24"/>
        </w:rPr>
        <w:t xml:space="preserve"> with respect to    Underlying Assets consisting of the obligations of or ownership interests in a single Person; </w:t>
      </w:r>
      <w:ins w:id="803" w:author="">
        <w:r>
          <w:rPr>
            <w:strike/>
            <w:sz w:val="24"/>
          </w:rPr>
          <w:t xml:space="preserve">or (b) </w:t>
        </w:r>
      </w:ins>
      <w:ins w:id="804" w:author="">
        <w:r>
          <w:rPr>
            <w:b/>
            <w:sz w:val="24"/>
            <w:u w:val="double"/>
          </w:rPr>
          <w:t>(b) following Drawdown of</w:t>
        </w:r>
      </w:ins>
      <w:r>
        <w:rPr>
          <w:sz w:val="24"/>
        </w:rPr>
        <w:t xml:space="preserve"> the Tranche requested in the related Asset Notice </w:t>
      </w:r>
      <w:ins w:id="805" w:author="">
        <w:r>
          <w:rPr>
            <w:strike/>
            <w:sz w:val="24"/>
          </w:rPr>
          <w:t>is greater than $150,000,000 or less than $10,000,000</w:t>
        </w:r>
      </w:ins>
      <w:ins w:id="806" w:author="">
        <w:r>
          <w:rPr>
            <w:b/>
            <w:sz w:val="24"/>
            <w:u w:val="double"/>
          </w:rPr>
          <w:t>, more than $97,000,000 in aggregate would have been drawn down under the Facility Agreement with respect to Underlying Assets consisting of the obligations of or ownership interests in a single Person; or (c) the Tranche requested in the related Asset Notice is greater than $97,000,000 or less than $9,700,000</w:t>
        </w:r>
      </w:ins>
      <w:r>
        <w:rPr>
          <w:sz w:val="24"/>
        </w:rPr>
        <w:t>.    The foregoing is not a limitation on any other reason why an Underlying Asset might not conform with the Model Structure.</w:t>
      </w:r>
      <w:r>
        <w:br w:type="page"/>
      </w:r>
    </w:p>
    <w:p>
      <w:pPr>
        <w:pStyle w:val="Normal"/>
        <w:bidi w:val="0"/>
        <w:jc w:val="start"/>
        <w:rPr>
          <w:sz w:val="24"/>
        </w:rPr>
      </w:pPr>
      <w:r>
        <w:rPr>
          <w:sz w:val="24"/>
        </w:rPr>
      </w:r>
    </w:p>
    <w:p>
      <w:pPr>
        <w:sectPr>
          <w:headerReference w:type="default" r:id="rId50"/>
          <w:headerReference w:type="first" r:id="rId51"/>
          <w:footerReference w:type="even" r:id="rId52"/>
          <w:footerReference w:type="default" r:id="rId53"/>
          <w:footerReference w:type="first" r:id="rId54"/>
          <w:type w:val="nextPage"/>
          <w:pgSz w:w="12240" w:h="15840"/>
          <w:pgMar w:left="1440" w:right="1440" w:gutter="0" w:header="1440" w:top="1497" w:footer="1104" w:bottom="1161"/>
          <w:pgNumType w:fmt="decimal"/>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EXHIBIT 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Form of Independent Auctioneer Letter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center"/>
        <w:rPr>
          <w:sz w:val="24"/>
        </w:rPr>
      </w:pPr>
      <w:r>
        <w:rPr>
          <w:sz w:val="24"/>
        </w:rPr>
      </w:r>
    </w:p>
    <w:p>
      <w:pPr>
        <w:sectPr>
          <w:type w:val="continuous"/>
          <w:pgSz w:w="12240" w:h="15840"/>
          <w:pgMar w:left="1440" w:right="1440" w:gutter="0" w:header="1440" w:top="1497" w:footer="1104" w:bottom="116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EXHIBIT G</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Form of Swap Confirmation</w:t>
      </w:r>
    </w:p>
    <w:p>
      <w:pPr>
        <w:sectPr>
          <w:headerReference w:type="default" r:id="rId55"/>
          <w:footerReference w:type="even" r:id="rId56"/>
          <w:footerReference w:type="default" r:id="rId57"/>
          <w:footerReference w:type="first" r:id="rId58"/>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EXHIBIT H</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 xml:space="preserve">Form of </w:t>
      </w:r>
      <w:ins w:id="807" w:author="">
        <w:r>
          <w:rPr>
            <w:strike/>
            <w:sz w:val="24"/>
          </w:rPr>
          <w:t>Sale</w:t>
        </w:r>
      </w:ins>
      <w:r>
        <w:rPr>
          <w:sz w:val="24"/>
        </w:rPr>
        <w:t xml:space="preserve"> </w:t>
      </w:r>
      <w:ins w:id="808" w:author="">
        <w:r>
          <w:rPr>
            <w:b/>
            <w:sz w:val="24"/>
            <w:u w:val="double"/>
          </w:rPr>
          <w:t>Transfer</w:t>
        </w:r>
      </w:ins>
      <w:r>
        <w:rPr>
          <w:sz w:val="24"/>
        </w:rPr>
        <w:t xml:space="preserve"> and Auction Agreement</w:t>
      </w:r>
    </w:p>
    <w:p>
      <w:pPr>
        <w:sectPr>
          <w:headerReference w:type="default" r:id="rId59"/>
          <w:headerReference w:type="first" r:id="rId60"/>
          <w:footerReference w:type="even" r:id="rId61"/>
          <w:footerReference w:type="default" r:id="rId62"/>
          <w:footerReference w:type="first" r:id="rId63"/>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EXHIBIT I</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u w:val="single"/>
        </w:rPr>
        <w:t>Part 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Form of Asset LLC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r>
        <w:br w:type="page"/>
      </w:r>
    </w:p>
    <w:p>
      <w:pPr>
        <w:pStyle w:val="Normal"/>
        <w:bidi w:val="0"/>
        <w:jc w:val="start"/>
        <w:rPr>
          <w:sz w:val="24"/>
        </w:rPr>
      </w:pPr>
      <w:r>
        <w:rPr>
          <w:b/>
          <w:sz w:val="24"/>
          <w:u w:val="single"/>
        </w:rPr>
        <w:t>EXHIBIT I</w:t>
      </w:r>
    </w:p>
    <w:p>
      <w:pPr>
        <w:pStyle w:val="Normal"/>
        <w:bidi w:val="0"/>
        <w:jc w:val="start"/>
        <w:rPr>
          <w:sz w:val="24"/>
        </w:rPr>
      </w:pPr>
      <w:r>
        <w:rPr>
          <w:sz w:val="24"/>
        </w:rPr>
      </w:r>
    </w:p>
    <w:p>
      <w:pPr>
        <w:pStyle w:val="Normal"/>
        <w:bidi w:val="0"/>
        <w:jc w:val="start"/>
        <w:rPr>
          <w:sz w:val="24"/>
        </w:rPr>
      </w:pPr>
      <w:r>
        <w:rPr>
          <w:sz w:val="24"/>
          <w:u w:val="single"/>
        </w:rPr>
        <w:t>Part B</w:t>
      </w:r>
    </w:p>
    <w:p>
      <w:pPr>
        <w:pStyle w:val="Normal"/>
        <w:bidi w:val="0"/>
        <w:jc w:val="start"/>
        <w:rPr>
          <w:sz w:val="24"/>
        </w:rPr>
      </w:pPr>
      <w:r>
        <w:rPr>
          <w:sz w:val="24"/>
        </w:rPr>
      </w:r>
    </w:p>
    <w:p>
      <w:pPr>
        <w:pStyle w:val="Normal"/>
        <w:bidi w:val="0"/>
        <w:jc w:val="start"/>
        <w:rPr>
          <w:sz w:val="24"/>
        </w:rPr>
      </w:pPr>
      <w:r>
        <w:rPr>
          <w:sz w:val="24"/>
        </w:rPr>
        <w:t>Form of Transferor LLC Agreement</w:t>
      </w:r>
    </w:p>
    <w:p>
      <w:pPr>
        <w:sectPr>
          <w:headerReference w:type="default" r:id="rId64"/>
          <w:headerReference w:type="first" r:id="rId65"/>
          <w:footerReference w:type="even" r:id="rId66"/>
          <w:footerReference w:type="default" r:id="rId67"/>
          <w:footerReference w:type="first" r:id="rId68"/>
          <w:type w:val="nextPage"/>
          <w:pgSz w:w="12240" w:h="15840"/>
          <w:pgMar w:left="1440" w:right="1440" w:gutter="0" w:header="1440" w:top="1497" w:footer="1104" w:bottom="1161"/>
          <w:pgNumType w:start="1" w:fmt="decimal"/>
          <w:formProt w:val="false"/>
          <w:textDirection w:val="lrTb"/>
          <w:docGrid w:type="default" w:linePitch="100" w:charSpace="0"/>
        </w:sectPr>
        <w:pStyle w:val="Normal"/>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EXHIBIT J</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Form of Legal Opinions</w:t>
      </w:r>
    </w:p>
    <w:p>
      <w:pPr>
        <w:sectPr>
          <w:headerReference w:type="default" r:id="rId69"/>
          <w:headerReference w:type="first" r:id="rId70"/>
          <w:footerReference w:type="even" r:id="rId71"/>
          <w:footerReference w:type="default" r:id="rId72"/>
          <w:footerReference w:type="first" r:id="rId73"/>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 xml:space="preserve">EXHIBIT </w:t>
      </w:r>
      <w:ins w:id="809" w:author="">
        <w:r>
          <w:rPr>
            <w:b/>
            <w:strike/>
            <w:sz w:val="24"/>
            <w:u w:val="single"/>
          </w:rPr>
          <w:t>K</w:t>
          <w:noBreakHyphen/>
          <w:t>1</w:t>
        </w:r>
      </w:ins>
      <w:r>
        <w:rPr>
          <w:b/>
          <w:sz w:val="24"/>
          <w:u w:val="single"/>
        </w:rPr>
        <w:t xml:space="preserve"> </w:t>
      </w:r>
      <w:ins w:id="810" w:author="">
        <w:r>
          <w:rPr>
            <w:b/>
            <w:sz w:val="24"/>
            <w:u w:val="double"/>
          </w:rPr>
          <w:t>K1</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Form of Asset Notice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ins w:id="811" w:author="">
        <w:r>
          <w:rPr>
            <w:b/>
            <w:sz w:val="24"/>
            <w:u w:val="double"/>
          </w:rPr>
          <w:t>[Hawaii I]</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 xml:space="preserve">This is an Asset Notice referred to in Section 5.1 of the </w:t>
      </w:r>
      <w:ins w:id="812" w:author="">
        <w:r>
          <w:rPr>
            <w:strike/>
            <w:sz w:val="24"/>
          </w:rPr>
          <w:t>Amended and Restated</w:t>
        </w:r>
      </w:ins>
      <w:r>
        <w:rPr>
          <w:sz w:val="24"/>
        </w:rPr>
        <w:t xml:space="preserve"> Facility Agreement dated </w:t>
      </w:r>
      <w:ins w:id="813" w:author="">
        <w:r>
          <w:rPr>
            <w:strike/>
            <w:sz w:val="24"/>
          </w:rPr>
          <w:t>May 31</w:t>
        </w:r>
      </w:ins>
      <w:r>
        <w:rPr>
          <w:sz w:val="24"/>
        </w:rPr>
        <w:t xml:space="preserve"> </w:t>
      </w:r>
      <w:ins w:id="814" w:author="">
        <w:r>
          <w:rPr>
            <w:b/>
            <w:sz w:val="24"/>
            <w:u w:val="double"/>
          </w:rPr>
          <w:t>November [17]</w:t>
        </w:r>
      </w:ins>
      <w:r>
        <w:rPr>
          <w:sz w:val="24"/>
        </w:rPr>
        <w:t xml:space="preserve">, 2000 (the </w:t>
      </w:r>
      <w:r>
        <w:rPr>
          <w:b/>
          <w:sz w:val="24"/>
        </w:rPr>
        <w:t>“</w:t>
      </w:r>
      <w:r>
        <w:rPr>
          <w:b/>
          <w:sz w:val="24"/>
          <w:u w:val="single"/>
        </w:rPr>
        <w:t>Facility Agreement</w:t>
      </w:r>
      <w:r>
        <w:rPr>
          <w:b/>
          <w:sz w:val="24"/>
        </w:rPr>
        <w:t>”</w:t>
      </w:r>
      <w:r>
        <w:rPr>
          <w:sz w:val="24"/>
        </w:rPr>
        <w:t xml:space="preserve">) made between Hawaii </w:t>
      </w:r>
      <w:ins w:id="815" w:author="">
        <w:r>
          <w:rPr>
            <w:b/>
            <w:sz w:val="24"/>
            <w:u w:val="double"/>
          </w:rPr>
          <w:t>I</w:t>
        </w:r>
      </w:ins>
      <w:r>
        <w:rPr>
          <w:sz w:val="24"/>
        </w:rPr>
        <w:t xml:space="preserve"> 125</w:t>
        <w:noBreakHyphen/>
        <w:t xml:space="preserve">0 Trust, Canadian Imperial Bank of Commerce, as Agent, and the other financial institutions named therein. Under that Section, the Agent has five (5) Business Days from receipt of this Asset Notice to respond by signing and returning to us the acknowledgment set forth below to Enron Corp., 1400 Smith St, Houston, Texas 77002,    Attn: Charles DeLacey      Fax: 713 646 3422 </w:t>
      </w:r>
      <w:r>
        <w:rPr>
          <w:b/>
          <w:i/>
          <w:sz w:val="24"/>
        </w:rPr>
        <w:t>[please confirm]</w:t>
      </w:r>
      <w:r>
        <w:rPr>
          <w:sz w:val="24"/>
        </w:rPr>
        <w:t>.    Capitalized terms used but not defined herein shall have the respective meanings given to those terms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The Tranche and Underlying Asset to which this Asset Notice relates are as follows: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760" w:start="5760"/>
        <w:jc w:val="both"/>
        <w:rPr>
          <w:sz w:val="24"/>
        </w:rPr>
      </w:pPr>
      <w:r>
        <w:rPr>
          <w:sz w:val="24"/>
        </w:rPr>
        <w:tab/>
        <w:t>1.</w:t>
        <w:tab/>
        <w:t>Valuation of Underlying Asset:</w:t>
        <w:tab/>
        <w:tab/>
        <w:t>$</w:t>
      </w:r>
      <w:r>
        <w:rPr>
          <w:b/>
          <w:sz w:val="24"/>
        </w:rPr>
        <w:t>[</w:t>
      </w:r>
      <w:r>
        <w:rPr>
          <w:b/>
          <w:i/>
          <w:sz w:val="24"/>
        </w:rPr>
        <w:t>Amount</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760" w:start="5760"/>
        <w:jc w:val="both"/>
        <w:rPr>
          <w:sz w:val="24"/>
        </w:rPr>
      </w:pPr>
      <w:r>
        <w:rPr>
          <w:sz w:val="24"/>
        </w:rPr>
        <w:tab/>
        <w:t>2.</w:t>
        <w:tab/>
        <w:t xml:space="preserve">Amount of Debt Tranche: </w:t>
        <w:tab/>
        <w:tab/>
        <w:tab/>
        <w:t>$</w:t>
      </w:r>
      <w:r>
        <w:rPr>
          <w:b/>
          <w:sz w:val="24"/>
        </w:rPr>
        <w:t>[</w:t>
      </w:r>
      <w:r>
        <w:rPr>
          <w:b/>
          <w:i/>
          <w:sz w:val="24"/>
        </w:rPr>
        <w:t>Amount</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both"/>
        <w:rPr>
          <w:sz w:val="24"/>
        </w:rPr>
      </w:pPr>
      <w:r>
        <w:rPr>
          <w:sz w:val="24"/>
        </w:rPr>
        <w:tab/>
        <w:t>3.</w:t>
        <w:tab/>
        <w:t>Proposed Equity Amount:</w:t>
        <w:tab/>
      </w:r>
      <w:r>
        <w:rPr>
          <w:b/>
          <w:sz w:val="24"/>
        </w:rPr>
        <w:tab/>
        <w:tab/>
      </w:r>
      <w:r>
        <w:rPr>
          <w:sz w:val="24"/>
        </w:rPr>
        <w:t>$</w:t>
      </w:r>
      <w:r>
        <w:rPr>
          <w:b/>
          <w:sz w:val="24"/>
        </w:rPr>
        <w:t>[</w:t>
      </w:r>
      <w:r>
        <w:rPr>
          <w:b/>
          <w:i/>
          <w:sz w:val="24"/>
        </w:rPr>
        <w:t>Amount</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both"/>
        <w:rPr>
          <w:sz w:val="24"/>
        </w:rPr>
      </w:pPr>
      <w:r>
        <w:rPr>
          <w:sz w:val="24"/>
        </w:rPr>
        <w:tab/>
        <w:t>4.</w:t>
        <w:tab/>
        <w:t>Name of Series:</w:t>
        <w:tab/>
        <w:tab/>
      </w:r>
      <w:r>
        <w:rPr>
          <w:b/>
          <w:sz w:val="24"/>
        </w:rPr>
        <w:tab/>
        <w:tab/>
        <w:t>[</w:t>
      </w:r>
      <w:r>
        <w:rPr>
          <w:b/>
          <w:i/>
          <w:sz w:val="24"/>
        </w:rPr>
        <w:t>Name</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760" w:start="5760"/>
        <w:jc w:val="both"/>
        <w:rPr>
          <w:sz w:val="24"/>
        </w:rPr>
      </w:pPr>
      <w:r>
        <w:rPr>
          <w:sz w:val="24"/>
        </w:rPr>
        <w:tab/>
        <w:t>5.</w:t>
        <w:tab/>
        <w:t>Brief Description of Underlying Asset:</w:t>
        <w:tab/>
      </w:r>
      <w:r>
        <w:rPr>
          <w:b/>
          <w:i/>
          <w:sz w:val="24"/>
        </w:rPr>
        <w:t>[Describe Asset, e.g. stock (with number of shares, price and type of shares) contractual obligations of (name and tenor) and type (Danno, Governor or McGarret)]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760" w:start="5760"/>
        <w:jc w:val="both"/>
        <w:rPr>
          <w:sz w:val="24"/>
        </w:rPr>
      </w:pPr>
      <w:r>
        <w:rPr>
          <w:sz w:val="24"/>
        </w:rPr>
        <w:tab/>
        <w:t>6.</w:t>
        <w:tab/>
        <w:t>Valuation Methodology Employed:</w:t>
        <w:tab/>
        <w:tab/>
      </w:r>
      <w:r>
        <w:rPr>
          <w:b/>
          <w:i/>
          <w:sz w:val="24"/>
        </w:rPr>
        <w:t>[Describe, e.g., Enron internal procedure, publicly traded value, independent review or third party purchase]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7.</w:t>
        <w:tab/>
        <w:t>Name of Asset LLC:</w:t>
        <w:tab/>
        <w:tab/>
        <w:tab/>
        <w:tab/>
      </w:r>
      <w:r>
        <w:rPr>
          <w:b/>
          <w:sz w:val="24"/>
        </w:rPr>
        <w:t>[</w:t>
      </w:r>
      <w:r>
        <w:rPr>
          <w:b/>
          <w:i/>
          <w:sz w:val="24"/>
        </w:rPr>
        <w:t>Name</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8.</w:t>
        <w:tab/>
        <w:t>Name of Transferor and Type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both"/>
        <w:rPr>
          <w:sz w:val="24"/>
        </w:rPr>
      </w:pPr>
      <w:r>
        <w:rPr>
          <w:sz w:val="24"/>
        </w:rPr>
        <w:tab/>
        <w:tab/>
        <w:t>of Entity</w:t>
        <w:tab/>
        <w:t>:</w:t>
        <w:tab/>
        <w:tab/>
        <w:tab/>
        <w:tab/>
      </w:r>
      <w:r>
        <w:rPr>
          <w:b/>
          <w:sz w:val="24"/>
        </w:rPr>
        <w:t>[</w:t>
      </w:r>
      <w:r>
        <w:rPr>
          <w:b/>
          <w:i/>
          <w:sz w:val="24"/>
        </w:rPr>
        <w:t>Name</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9.</w:t>
        <w:tab/>
        <w:t>Asset Structure:</w:t>
        <w:tab/>
        <w:tab/>
        <w:tab/>
        <w:tab/>
      </w:r>
      <w:r>
        <w:rPr>
          <w:b/>
          <w:i/>
          <w:sz w:val="24"/>
        </w:rPr>
        <w:t>[Put or Demand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760" w:start="5760"/>
        <w:jc w:val="both"/>
        <w:rPr>
          <w:b/>
          <w:i/>
          <w:i/>
          <w:sz w:val="24"/>
        </w:rPr>
      </w:pPr>
      <w:r>
        <w:rPr>
          <w:sz w:val="24"/>
        </w:rPr>
        <w:tab/>
      </w:r>
      <w:ins w:id="816" w:author="">
        <w:r>
          <w:rPr>
            <w:b/>
            <w:sz w:val="24"/>
            <w:u w:val="double"/>
          </w:rPr>
          <w:t>10.</w:t>
          <w:tab/>
          <w:t>Swap Provider:</w:t>
          <w:tab/>
          <w:tab/>
          <w:tab/>
          <w:tab/>
        </w:r>
      </w:ins>
      <w:ins w:id="817" w:author="">
        <w:r>
          <w:rPr>
            <w:b/>
            <w:i/>
            <w:sz w:val="24"/>
            <w:u w:val="double"/>
          </w:rPr>
          <w:t>[Enron or specific Permitted Swap Party]</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The representation and warranty in Section 11.9 of the Facility Agreement shall be qualified with respect to the Underlying Asset as follows:    [specify] [delete if not applicable]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 xml:space="preserve">We hereby confirm </w:t>
      </w:r>
      <w:r>
        <w:rPr>
          <w:b/>
          <w:i/>
          <w:sz w:val="24"/>
        </w:rPr>
        <w:t>[delete as applicable] [EITHER] [that the Underlying Asset is of a type eligible to be included as an Underlying Asset, satisfies the criteria set out in the Methodology in all material respects and has a reasonable valuation that has been calculated or determined by properly applying the Methodology in all material respects and that the proposed Asset Structure conforms with the Model Structure in all material respects.] [OR] [The proposed Asset Structure does not conform with the Model Structure, or the proposed valuation does not conform to the Methodology or the Underlying Asset is not of a type eligible to be included as an Underlying Asset but Enron believes the proposed Underlying Asset and the proposed Asset Structure to be suitable for the purposes</w:t>
      </w:r>
      <w:r>
        <w:rPr>
          <w:b/>
          <w:sz w:val="24"/>
        </w:rPr>
        <w:t xml:space="preserve"> </w:t>
      </w:r>
      <w:r>
        <w:rPr>
          <w:b/>
          <w:i/>
          <w:sz w:val="24"/>
        </w:rPr>
        <w:t>of making the Advances comprising the Tranche requested in the applicable Drawdown Notice.]</w:t>
      </w:r>
      <w:r>
        <w:rPr>
          <w:i/>
          <w:sz w:val="24"/>
        </w:rPr>
        <w:t xml:space="preserve"> </w:t>
      </w:r>
      <w:r>
        <w:rPr>
          <w:b/>
          <w:i/>
          <w:sz w:val="24"/>
        </w:rPr>
        <w:t xml:space="preserve">[state reasons why does not conform and why suitable] 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We hereby certify that on the applicable Drawdown Date each of the Trust, the Asset LLC and the Transferor will be solvent within the definition of any law applicable to it which requires as a condition to the validity (and/or non</w:t>
        <w:noBreakHyphen/>
        <w:t>avoidability) of financial obligations undertaken by it that it be solvent.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Dated:</w:t>
      </w:r>
      <w:r>
        <w:rPr>
          <w:sz w:val="24"/>
          <w:u w:val="single"/>
        </w:rPr>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both"/>
        <w:rPr>
          <w:b/>
          <w:sz w:val="24"/>
        </w:rPr>
      </w:pPr>
      <w:r>
        <w:rPr>
          <w:b/>
          <w:sz w:val="24"/>
        </w:rPr>
        <w:tab/>
        <w:tab/>
        <w:tab/>
        <w:tab/>
        <w:tab/>
        <w:tab/>
        <w:t>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b/>
          <w:sz w:val="24"/>
        </w:rPr>
        <w:tab/>
        <w:tab/>
        <w:tab/>
        <w:tab/>
        <w:tab/>
        <w:tab/>
      </w:r>
      <w:r>
        <w:rPr>
          <w:sz w:val="24"/>
        </w:rPr>
        <w:t>an Oregon corporation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r>
        <w:br w:type="page"/>
      </w:r>
    </w:p>
    <w:p>
      <w:pPr>
        <w:pStyle w:val="Normal"/>
        <w:bidi w:val="0"/>
        <w:jc w:val="start"/>
        <w:rPr>
          <w:sz w:val="24"/>
        </w:rPr>
      </w:pPr>
      <w:r>
        <w:rPr>
          <w:b/>
          <w:sz w:val="24"/>
        </w:rPr>
        <w:t>ACKNOWLEDGMENT:</w:t>
      </w:r>
    </w:p>
    <w:p>
      <w:pPr>
        <w:pStyle w:val="Normal"/>
        <w:bidi w:val="0"/>
        <w:jc w:val="start"/>
        <w:rPr>
          <w:sz w:val="24"/>
        </w:rPr>
      </w:pPr>
      <w:r>
        <w:rPr>
          <w:sz w:val="24"/>
        </w:rPr>
      </w:r>
    </w:p>
    <w:p>
      <w:pPr>
        <w:pStyle w:val="Normal"/>
        <w:bidi w:val="0"/>
        <w:jc w:val="start"/>
        <w:rPr>
          <w:sz w:val="24"/>
        </w:rPr>
      </w:pPr>
      <w:r>
        <w:rPr>
          <w:sz w:val="24"/>
        </w:rPr>
        <w:t>In our capacity as Agent, we hereby confirm pursuant to Section 5.1</w:t>
      </w:r>
      <w:ins w:id="818" w:author="">
        <w:r>
          <w:rPr>
            <w:strike/>
            <w:sz w:val="24"/>
          </w:rPr>
          <w:t>(a)</w:t>
        </w:r>
      </w:ins>
      <w:ins w:id="819" w:author="">
        <w:r>
          <w:rPr>
            <w:b/>
            <w:sz w:val="24"/>
            <w:u w:val="double"/>
          </w:rPr>
          <w:t>(a)</w:t>
        </w:r>
      </w:ins>
      <w:r>
        <w:rPr>
          <w:sz w:val="24"/>
        </w:rPr>
        <w:t xml:space="preserve"> of the Facility Agreement:</w:t>
      </w:r>
    </w:p>
    <w:p>
      <w:pPr>
        <w:pStyle w:val="Normal"/>
        <w:bidi w:val="0"/>
        <w:jc w:val="start"/>
        <w:rPr>
          <w:sz w:val="24"/>
        </w:rPr>
      </w:pPr>
      <w:r>
        <w:rPr>
          <w:sz w:val="24"/>
        </w:rPr>
      </w:r>
    </w:p>
    <w:p>
      <w:pPr>
        <w:pStyle w:val="Normal"/>
        <w:bidi w:val="0"/>
        <w:jc w:val="start"/>
        <w:rPr>
          <w:sz w:val="24"/>
        </w:rPr>
      </w:pPr>
      <w:r>
        <w:rPr>
          <w:sz w:val="24"/>
        </w:rPr>
        <w:t>(CHECK APPLICABLE BOX)</w:t>
      </w:r>
    </w:p>
    <w:p>
      <w:pPr>
        <w:pStyle w:val="Normal"/>
        <w:bidi w:val="0"/>
        <w:jc w:val="start"/>
        <w:rPr>
          <w:sz w:val="24"/>
        </w:rPr>
      </w:pPr>
      <w:r>
        <w:rPr>
          <w:sz w:val="24"/>
        </w:rPr>
      </w:r>
    </w:p>
    <w:p>
      <w:pPr>
        <w:pStyle w:val="Normal"/>
        <w:bidi w:val="0"/>
        <w:jc w:val="start"/>
        <w:rPr>
          <w:sz w:val="24"/>
        </w:rPr>
      </w:pPr>
      <w:r>
        <w:rPr>
          <w:sz w:val="24"/>
        </w:rPr>
        <w:t>EITHER:</w:t>
      </w: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440" w:start="1440"/>
        <w:jc w:val="start"/>
        <w:rPr>
          <w:sz w:val="24"/>
        </w:rPr>
      </w:pPr>
      <w:r>
        <w:rPr>
          <w:rFonts w:ascii="WP IconicSymbolsA" w:hAnsi="WP IconicSymbolsA"/>
          <w:sz w:val="36"/>
        </w:rPr>
        <w:t></w:t>
      </w:r>
      <w:r>
        <w:rPr>
          <w:sz w:val="24"/>
        </w:rPr>
        <w:tab/>
        <w:t>(A)</w:t>
        <w:tab/>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440" w:start="1440"/>
        <w:jc w:val="start"/>
        <w:rPr>
          <w:sz w:val="24"/>
        </w:rPr>
      </w:pPr>
      <w:r>
        <w:rPr>
          <w:rFonts w:ascii="WP IconicSymbolsA" w:hAnsi="WP IconicSymbolsA"/>
          <w:sz w:val="36"/>
        </w:rPr>
        <w:t></w:t>
      </w:r>
      <w:r>
        <w:rPr>
          <w:sz w:val="24"/>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OR:</w:t>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440" w:start="1440"/>
        <w:jc w:val="start"/>
        <w:rPr>
          <w:sz w:val="24"/>
        </w:rPr>
      </w:pPr>
      <w:r>
        <w:rPr>
          <w:rFonts w:ascii="WP IconicSymbolsA" w:hAnsi="WP IconicSymbolsA"/>
          <w:sz w:val="36"/>
        </w:rPr>
        <w:t></w:t>
      </w:r>
      <w:r>
        <w:rPr>
          <w:sz w:val="24"/>
        </w:rPr>
        <w:tab/>
        <w:t>(C)</w:t>
        <w:tab/>
        <w:t>we object to the drawdown of the proposed Tranche for the reasons specified in the letter attached to this acknowledgment.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start"/>
        <w:rPr>
          <w:b/>
          <w:sz w:val="24"/>
        </w:rPr>
      </w:pPr>
      <w:r>
        <w:rPr>
          <w:b/>
          <w:sz w:val="24"/>
        </w:rPr>
        <w:tab/>
        <w:tab/>
        <w:tab/>
        <w:tab/>
        <w:tab/>
        <w:tab/>
        <w:t>CANADIAN IMPERIAL BANK 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rPr>
        <w:tab/>
        <w:tab/>
        <w:tab/>
        <w:tab/>
        <w:tab/>
        <w:tab/>
        <w:t xml:space="preserve"> COMMERCE, in its capacity as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rPr>
        <w:t>ACKNOWLEDGMENT:</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In our capacity as Subscriber we hereby confirm pursuant to Section 1</w:t>
      </w:r>
      <w:ins w:id="820" w:author="">
        <w:r>
          <w:rPr>
            <w:strike/>
            <w:sz w:val="24"/>
          </w:rPr>
          <w:t>(c)</w:t>
        </w:r>
      </w:ins>
      <w:ins w:id="821" w:author="">
        <w:r>
          <w:rPr>
            <w:b/>
            <w:sz w:val="24"/>
            <w:u w:val="double"/>
          </w:rPr>
          <w:t>(c)</w:t>
        </w:r>
      </w:ins>
      <w:r>
        <w:rPr>
          <w:sz w:val="24"/>
        </w:rPr>
        <w:t xml:space="preserve">(i) of the Subscription Agreement dated </w:t>
      </w:r>
      <w:ins w:id="822" w:author="">
        <w:r>
          <w:rPr>
            <w:strike/>
            <w:sz w:val="24"/>
          </w:rPr>
          <w:t>March 31</w:t>
        </w:r>
      </w:ins>
      <w:r>
        <w:rPr>
          <w:sz w:val="24"/>
        </w:rPr>
        <w:t xml:space="preserve"> </w:t>
      </w:r>
      <w:ins w:id="823" w:author="">
        <w:r>
          <w:rPr>
            <w:b/>
            <w:sz w:val="24"/>
            <w:u w:val="double"/>
          </w:rPr>
          <w:t>November [17]</w:t>
        </w:r>
      </w:ins>
      <w:r>
        <w:rPr>
          <w:sz w:val="24"/>
        </w:rPr>
        <w:t>, 2000 between the Subscriber and the Trust as amended or restated after such date:</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(CHECK APPLICABLE BOX)</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EITHER:</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440" w:start="1440"/>
        <w:jc w:val="start"/>
        <w:rPr>
          <w:sz w:val="24"/>
        </w:rPr>
      </w:pPr>
      <w:r>
        <w:rPr>
          <w:rFonts w:ascii="WP IconicSymbolsA" w:hAnsi="WP IconicSymbolsA"/>
          <w:sz w:val="36"/>
        </w:rPr>
        <w:t></w:t>
      </w:r>
      <w:r>
        <w:rPr>
          <w:sz w:val="24"/>
        </w:rPr>
        <w:tab/>
        <w:t>(A)</w:t>
        <w:tab/>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OR:</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440" w:start="1440"/>
        <w:jc w:val="start"/>
        <w:rPr>
          <w:sz w:val="24"/>
        </w:rPr>
      </w:pPr>
      <w:r>
        <w:rPr>
          <w:rFonts w:ascii="WP IconicSymbolsA" w:hAnsi="WP IconicSymbolsA"/>
          <w:sz w:val="36"/>
        </w:rPr>
        <w:t></w:t>
      </w:r>
      <w:r>
        <w:rPr>
          <w:sz w:val="24"/>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OR:</w:t>
        <w:tab/>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440" w:start="1440"/>
        <w:jc w:val="start"/>
        <w:rPr>
          <w:sz w:val="24"/>
        </w:rPr>
      </w:pPr>
      <w:r>
        <w:rPr>
          <w:rFonts w:ascii="WP IconicSymbolsA" w:hAnsi="WP IconicSymbolsA"/>
          <w:sz w:val="36"/>
        </w:rPr>
        <w:t></w:t>
      </w:r>
      <w:r>
        <w:rPr>
          <w:sz w:val="24"/>
        </w:rPr>
        <w:tab/>
        <w:t>(C)</w:t>
        <w:tab/>
        <w:t>we object to the drawdown of the proposed Tranche for the reasons specified in the letter attached to this acknowledgment.</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start"/>
        <w:rPr>
          <w:b/>
          <w:sz w:val="24"/>
        </w:rPr>
      </w:pPr>
      <w:r>
        <w:rPr>
          <w:b/>
          <w:sz w:val="24"/>
        </w:rPr>
        <w:tab/>
        <w:tab/>
        <w:tab/>
        <w:tab/>
        <w:tab/>
        <w:tab/>
        <w:t>CIBC INC.,</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rPr>
        <w:tab/>
        <w:tab/>
        <w:tab/>
        <w:tab/>
        <w:tab/>
        <w:tab/>
        <w:t>in its capacity as Subscriber</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headerReference w:type="default" r:id="rId74"/>
          <w:headerReference w:type="first" r:id="rId75"/>
          <w:footerReference w:type="even" r:id="rId76"/>
          <w:footerReference w:type="default" r:id="rId77"/>
          <w:footerReference w:type="first" r:id="rId78"/>
          <w:type w:val="nextPage"/>
          <w:pgSz w:w="12240" w:h="15840"/>
          <w:pgMar w:left="1440" w:right="1440" w:gutter="0" w:header="1440" w:top="1497" w:footer="1104" w:bottom="1161"/>
          <w:pgNumType w:start="1" w:fmt="decimal"/>
          <w:formProt w:val="false"/>
          <w:textDirection w:val="lrTb"/>
          <w:docGrid w:type="default" w:linePitch="100" w:charSpace="0"/>
        </w:sect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 xml:space="preserve">EXHIBIT </w:t>
      </w:r>
      <w:ins w:id="824" w:author="">
        <w:r>
          <w:rPr>
            <w:b/>
            <w:strike/>
            <w:sz w:val="24"/>
            <w:u w:val="single"/>
          </w:rPr>
          <w:t>K</w:t>
          <w:noBreakHyphen/>
          <w:t>2</w:t>
        </w:r>
      </w:ins>
      <w:r>
        <w:rPr>
          <w:b/>
          <w:sz w:val="24"/>
          <w:u w:val="single"/>
        </w:rPr>
        <w:t xml:space="preserve"> </w:t>
      </w:r>
      <w:ins w:id="825" w:author="">
        <w:r>
          <w:rPr>
            <w:b/>
            <w:sz w:val="24"/>
            <w:u w:val="double"/>
          </w:rPr>
          <w:t>K2</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Form of Asset Summary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 xml:space="preserve">This is an Asset Summary referred to in Section 5.1 of the </w:t>
      </w:r>
      <w:ins w:id="826" w:author="">
        <w:r>
          <w:rPr>
            <w:strike/>
            <w:sz w:val="24"/>
          </w:rPr>
          <w:t>Amended and Restated</w:t>
        </w:r>
      </w:ins>
      <w:r>
        <w:rPr>
          <w:sz w:val="24"/>
        </w:rPr>
        <w:t xml:space="preserve"> Facility Agreement dated </w:t>
      </w:r>
      <w:ins w:id="827" w:author="">
        <w:r>
          <w:rPr>
            <w:strike/>
            <w:sz w:val="24"/>
          </w:rPr>
          <w:t>May 31</w:t>
        </w:r>
      </w:ins>
      <w:r>
        <w:rPr>
          <w:sz w:val="24"/>
        </w:rPr>
        <w:t xml:space="preserve"> </w:t>
      </w:r>
      <w:ins w:id="828" w:author="">
        <w:r>
          <w:rPr>
            <w:b/>
            <w:sz w:val="24"/>
            <w:u w:val="double"/>
          </w:rPr>
          <w:t>November [17]</w:t>
        </w:r>
      </w:ins>
      <w:r>
        <w:rPr>
          <w:sz w:val="24"/>
        </w:rPr>
        <w:t xml:space="preserve">, 2000 (the </w:t>
      </w:r>
      <w:r>
        <w:rPr>
          <w:b/>
          <w:sz w:val="24"/>
        </w:rPr>
        <w:t>“</w:t>
      </w:r>
      <w:r>
        <w:rPr>
          <w:b/>
          <w:sz w:val="24"/>
          <w:u w:val="single"/>
        </w:rPr>
        <w:t>Facility Agreement</w:t>
      </w:r>
      <w:r>
        <w:rPr>
          <w:b/>
          <w:sz w:val="24"/>
        </w:rPr>
        <w:t>”</w:t>
      </w:r>
      <w:r>
        <w:rPr>
          <w:sz w:val="24"/>
        </w:rPr>
        <w:t xml:space="preserve">) made between Hawaii </w:t>
      </w:r>
      <w:ins w:id="829" w:author="">
        <w:r>
          <w:rPr>
            <w:b/>
            <w:sz w:val="24"/>
            <w:u w:val="double"/>
          </w:rPr>
          <w:t>I</w:t>
        </w:r>
      </w:ins>
      <w:r>
        <w:rPr>
          <w:sz w:val="24"/>
        </w:rPr>
        <w:t xml:space="preserve"> 125</w:t>
        <w:noBreakHyphen/>
        <w:t xml:space="preserve">0 Trust, Canadian Imperial Bank of Commerce, as Agent, and the other financial institutions named therein. This Asset Summary relates to the Asset Notice dated _________ concerning </w:t>
      </w:r>
      <w:r>
        <w:rPr>
          <w:b/>
          <w:i/>
          <w:sz w:val="24"/>
        </w:rPr>
        <w:t>[name of Series]</w:t>
      </w:r>
      <w:r>
        <w:rPr>
          <w:sz w:val="24"/>
        </w:rPr>
        <w:t>.    Capitalized terms used but not defined herein shall have the respective meanings given to those terms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i/>
          <w:sz w:val="24"/>
        </w:rPr>
        <w:t>[insert reasonable details of the proposed Underlying Asset, any Liens affecting the Underlying Asset, its valuation, the method of calculation or determination of such valuation taking into consideration any Liens (together with reasonably detailed supporting materials, if applicable) and the proposed Asset Structure]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Dated:</w:t>
      </w:r>
      <w:r>
        <w:rPr>
          <w:sz w:val="24"/>
          <w:u w:val="single"/>
        </w:rPr>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0" w:start="3600"/>
        <w:jc w:val="both"/>
        <w:rPr>
          <w:b/>
          <w:sz w:val="24"/>
        </w:rPr>
      </w:pPr>
      <w:r>
        <w:rPr>
          <w:sz w:val="24"/>
        </w:rPr>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2880" w:start="2880"/>
        <w:jc w:val="both"/>
        <w:rPr>
          <w:b/>
          <w:sz w:val="24"/>
        </w:rPr>
      </w:pPr>
      <w:r>
        <w:rPr>
          <w:b/>
          <w:sz w:val="24"/>
        </w:rPr>
        <w:tab/>
        <w:tab/>
        <w:tab/>
        <w:tab/>
      </w:r>
    </w:p>
    <w:p>
      <w:pPr>
        <w:sectPr>
          <w:headerReference w:type="default" r:id="rId79"/>
          <w:headerReference w:type="first" r:id="rId80"/>
          <w:footerReference w:type="even" r:id="rId81"/>
          <w:footerReference w:type="default" r:id="rId82"/>
          <w:footerReference w:type="first" r:id="rId83"/>
          <w:type w:val="nextPage"/>
          <w:pgSz w:w="12240" w:h="15840"/>
          <w:pgMar w:left="1440" w:right="1440" w:gutter="0" w:header="1440" w:top="1497" w:footer="1104" w:bottom="1161"/>
          <w:pgNumType w:start="1" w:fmt="decimal"/>
          <w:formProt w:val="false"/>
          <w:textDirection w:val="lrTb"/>
          <w:docGrid w:type="default" w:linePitch="100" w:charSpace="0"/>
        </w:sect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ind w:hanging="4320" w:start="4320"/>
        <w:jc w:val="both"/>
        <w:rPr>
          <w:sz w:val="24"/>
        </w:rPr>
      </w:pPr>
      <w:r>
        <w:rPr>
          <w:b/>
          <w:sz w:val="24"/>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 xml:space="preserve">EXHIBIT </w:t>
      </w:r>
      <w:ins w:id="830" w:author="">
        <w:r>
          <w:rPr>
            <w:b/>
            <w:sz w:val="24"/>
            <w:u w:val="double"/>
          </w:rPr>
          <w:t>L1</w:t>
        </w:r>
      </w:ins>
      <w:r>
        <w:rPr>
          <w:sz w:val="24"/>
        </w:rPr>
        <w:t xml:space="preserve"> </w:t>
      </w:r>
      <w:ins w:id="831" w:author="">
        <w:r>
          <w:rPr>
            <w:strike/>
            <w:sz w:val="24"/>
          </w:rPr>
          <w:t>L</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u w:val="single"/>
        </w:rPr>
        <w:t>FORM OF ADDITIONAL LENDER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To:</w:t>
        <w:tab/>
        <w:t xml:space="preserve">Hawaii </w:t>
      </w:r>
      <w:ins w:id="832" w:author="">
        <w:r>
          <w:rPr>
            <w:b/>
            <w:sz w:val="24"/>
            <w:u w:val="double"/>
          </w:rPr>
          <w:t>I</w:t>
        </w:r>
      </w:ins>
      <w:r>
        <w:rPr>
          <w:sz w:val="24"/>
        </w:rPr>
        <w:t xml:space="preserve"> 125</w:t>
        <w:noBreakHyphen/>
        <w:t xml:space="preserve">0 Trust (the </w:t>
      </w:r>
      <w:r>
        <w:rPr>
          <w:b/>
          <w:sz w:val="24"/>
        </w:rPr>
        <w:t>“</w:t>
      </w:r>
      <w:r>
        <w:rPr>
          <w:b/>
          <w:sz w:val="24"/>
          <w:u w:val="single"/>
        </w:rPr>
        <w:t>Trust</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Canadian Imperial Bank of Commerce, as Agent (the </w:t>
      </w:r>
      <w:r>
        <w:rPr>
          <w:b/>
          <w:sz w:val="24"/>
        </w:rPr>
        <w:t>“</w:t>
      </w:r>
      <w:r>
        <w:rPr>
          <w:b/>
          <w:sz w:val="24"/>
          <w:u w:val="single"/>
        </w:rPr>
        <w:t>Agent</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Date:</w:t>
        <w:tab/>
      </w:r>
      <w:r>
        <w:rPr>
          <w:b/>
          <w:i/>
          <w:sz w:val="24"/>
        </w:rPr>
        <w:t>[date]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Re:</w:t>
        <w:tab/>
        <w:t>Notice of Commitment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The Trust, the Agent, and certain other financial institutions have entered into that certain </w:t>
      </w:r>
      <w:ins w:id="833" w:author="">
        <w:r>
          <w:rPr>
            <w:strike/>
            <w:sz w:val="24"/>
          </w:rPr>
          <w:t>Amended and Restated</w:t>
        </w:r>
      </w:ins>
      <w:r>
        <w:rPr>
          <w:sz w:val="24"/>
        </w:rPr>
        <w:t xml:space="preserve"> Facility Agreement, dated as of </w:t>
      </w:r>
      <w:ins w:id="834" w:author="">
        <w:r>
          <w:rPr>
            <w:strike/>
            <w:sz w:val="24"/>
          </w:rPr>
          <w:t>May 31</w:t>
        </w:r>
      </w:ins>
      <w:r>
        <w:rPr>
          <w:sz w:val="24"/>
        </w:rPr>
        <w:t xml:space="preserve"> </w:t>
      </w:r>
      <w:ins w:id="835" w:author="">
        <w:r>
          <w:rPr>
            <w:b/>
            <w:sz w:val="24"/>
            <w:u w:val="double"/>
          </w:rPr>
          <w:t>November [17]</w:t>
        </w:r>
      </w:ins>
      <w:r>
        <w:rPr>
          <w:sz w:val="24"/>
        </w:rPr>
        <w:t xml:space="preserve">, 2000 (the </w:t>
      </w:r>
      <w:r>
        <w:rPr>
          <w:b/>
          <w:sz w:val="24"/>
        </w:rPr>
        <w:t>“</w:t>
      </w:r>
      <w:r>
        <w:rPr>
          <w:b/>
          <w:sz w:val="24"/>
          <w:u w:val="single"/>
        </w:rPr>
        <w:t>Facility Agreement</w:t>
      </w:r>
      <w:r>
        <w:rPr>
          <w:b/>
          <w:sz w:val="24"/>
        </w:rPr>
        <w:t>”</w:t>
      </w:r>
      <w:r>
        <w:rPr>
          <w:sz w:val="24"/>
        </w:rPr>
        <w:t>).    Capitalized terms defined in the Facility Agreement are used in this Certificate with the same meaning as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Please be advised that the undersigned financial institution has agreed (i) to become a Lender under the Facility Agreement effective as of the Second Closing Date with a Commitment of U.S. $____________ and (ii) that it shall be deemed to be a party in all respects to the Agreement as a Lender for all purposes and with the rights and obligations of a Lender thereunder. 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The undersigned financial institution    (i) confirms that it has received a copy of the Facility Agreement and such other documents and information as it has deemed appropriate to make its own credit analysis and decision; (ii) agrees that it will, independently and without reliance upon the Agent, Co</w:t>
        <w:noBreakHyphen/>
        <w:t>Arrangers, Documentation Agent, Syndication Agent, the Arranger, or any other Lender and based on such documents and information as it shall deem appropriate at the time, continue to make its own credit decisions in taking or not taking action under the Finance Documents; (iii) appoints or authorizes the Agent to take such action on its behalf and to exercise such powers under the Finance Documents as are delegated to the Agent by the terms thereof, together with such powers as are reasonably incidental thereto; (iv) agrees that it will perform in accordance with their terms all of the obligations which by the terms of the Finance Documents are required to be performed by it as a Lender; (v) specifies as its Funding Office (and address for notices) the offices set forth beneath its name on the signature pages hereof; and (vi) attaches a completed Schedule 1 hereto.</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Very truly yours,</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 xml:space="preserve">By: </w:t>
      </w:r>
      <w:r>
        <w:rPr>
          <w:sz w:val="24"/>
          <w:u w:val="single"/>
        </w:rPr>
        <w:tab/>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Name:_____________________________________</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Title:______________________________________</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FUNDING OFFICE:</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 xml:space="preserve">By: </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Title:______________________________________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AGREED: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b/>
        <w:tab/>
        <w:tab/>
        <w:tab/>
        <w:tab/>
        <w:tab/>
      </w:r>
      <w:r>
        <w:rPr>
          <w:b/>
          <w:sz w:val="24"/>
        </w:rPr>
        <w:t>CANADIAN IMPERIAL BANK 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tab/>
        <w:tab/>
        <w:tab/>
        <w:tab/>
        <w:tab/>
        <w:tab/>
        <w:t>      COMMERCE, as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By:______________________________________</w:t>
        <w:tab/>
        <w:tab/>
        <w:tab/>
        <w:tab/>
        <w:tab/>
        <w:tab/>
        <w:t>Name:_____________________________________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Title:______________________________________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ACKNOWLEDGMENT BY 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The foregoing additional Lender is acceptable to 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r>
      <w:r>
        <w:rPr>
          <w:b/>
          <w:sz w:val="24"/>
        </w:rPr>
        <w:t xml:space="preserve">ENRON CORP.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r>
      <w:ins w:id="836" w:author="">
        <w:r>
          <w:rPr>
            <w:strike/>
            <w:sz w:val="24"/>
          </w:rPr>
          <w:t>___________________________________ Name:_________________________________</w:t>
        </w:r>
      </w:ins>
      <w:ins w:id="837" w:author="">
        <w:r>
          <w:rPr>
            <w:b/>
            <w:sz w:val="24"/>
            <w:u w:val="double"/>
          </w:rPr>
          <w:t>Name:</w:t>
          <w:tab/>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r>
      <w:ins w:id="838" w:author="">
        <w:r>
          <w:rPr>
            <w:strike/>
            <w:sz w:val="24"/>
          </w:rPr>
          <w:t>Title:__________________________________</w:t>
        </w:r>
      </w:ins>
      <w:ins w:id="839" w:author="">
        <w:r>
          <w:rPr>
            <w:b/>
            <w:sz w:val="24"/>
            <w:u w:val="double"/>
          </w:rPr>
          <w:t>Title:</w:t>
          <w:tab/>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headerReference w:type="default" r:id="rId84"/>
          <w:headerReference w:type="first" r:id="rId85"/>
          <w:footerReference w:type="even" r:id="rId86"/>
          <w:footerReference w:type="default" r:id="rId87"/>
          <w:footerReference w:type="first" r:id="rId88"/>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tab/>
        <w:t>Schedule 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Form of Additional Lender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MAILING AND PAYMENT INSTRUCTIONS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1)</w:t>
        <w:tab/>
        <w:t>Name of Entity for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2)</w:t>
        <w:tab/>
        <w:t>Name of Bank on any eventual Tombstone: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r>
      <w:r>
        <w:rPr>
          <w:sz w:val="24"/>
          <w:u w:val="single"/>
        </w:rPr>
        <w:t>CREDIT CONTACT</w:t>
      </w:r>
      <w:r>
        <w:rPr>
          <w:sz w:val="24"/>
        </w:rPr>
        <w:tab/>
        <w:tab/>
      </w:r>
      <w:r>
        <w:rPr>
          <w:sz w:val="24"/>
          <w:u w:val="single"/>
        </w:rPr>
        <w:t>OPERATIONS CONTACT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Name:</w:t>
        <w:tab/>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Title:</w:t>
        <w:tab/>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Address: 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(street): 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(city, state): 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(zip code): 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Phone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Fax Number:    </w:t>
      </w:r>
      <w:r>
        <w:rPr>
          <w:sz w:val="24"/>
          <w:u w:val="single"/>
        </w:rPr>
        <w:t xml:space="preserve">                                                                                                                                                                                                                                                                            </w:t>
      </w:r>
    </w:p>
    <w:p>
      <w:pPr>
        <w:sectPr>
          <w:headerReference w:type="default" r:id="rId89"/>
          <w:headerReference w:type="first" r:id="rId90"/>
          <w:footerReference w:type="even" r:id="rId91"/>
          <w:footerReference w:type="default" r:id="rId92"/>
          <w:footerReference w:type="first" r:id="rId93"/>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double"/>
          <w:ins w:id="841" w:author=""/>
        </w:rPr>
      </w:pPr>
      <w:ins w:id="840" w:author="">
        <w:r>
          <w:rPr>
            <w:b/>
            <w:sz w:val="24"/>
            <w:u w:val="double"/>
          </w:rPr>
          <w:t>EXHIBIT L2</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double"/>
          <w:ins w:id="843" w:author=""/>
        </w:rPr>
      </w:pPr>
      <w:ins w:id="842"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double"/>
          <w:ins w:id="845" w:author=""/>
        </w:rPr>
      </w:pPr>
      <w:ins w:id="844" w:author="">
        <w:r>
          <w:rPr>
            <w:b/>
            <w:sz w:val="24"/>
            <w:u w:val="double"/>
          </w:rPr>
          <w:t>FORM OF INCREASED COMMITMENT CERTIFICATE</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u w:val="double"/>
          <w:ins w:id="847" w:author=""/>
        </w:rPr>
      </w:pPr>
      <w:ins w:id="846"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u w:val="double"/>
          <w:ins w:id="849" w:author=""/>
        </w:rPr>
      </w:pPr>
      <w:ins w:id="848"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b/>
          <w:sz w:val="24"/>
          <w:u w:val="double"/>
          <w:ins w:id="851" w:author=""/>
        </w:rPr>
      </w:pPr>
      <w:ins w:id="850" w:author="">
        <w:r>
          <w:rPr>
            <w:b/>
            <w:sz w:val="24"/>
            <w:u w:val="double"/>
          </w:rPr>
          <w:t>To:</w:t>
          <w:tab/>
          <w:t>Hawaii I 125</w:t>
          <w:noBreakHyphen/>
          <w:t>0 Trust (the “Trust”)</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u w:val="double"/>
          <w:ins w:id="853" w:author=""/>
        </w:rPr>
      </w:pPr>
      <w:ins w:id="852" w:author="">
        <w:r>
          <w:rPr>
            <w:b/>
            <w:sz w:val="24"/>
            <w:u w:val="double"/>
          </w:rPr>
          <w:tab/>
          <w:t>Enron Corp.</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u w:val="double"/>
          <w:ins w:id="855" w:author=""/>
        </w:rPr>
      </w:pPr>
      <w:ins w:id="854" w:author="">
        <w:r>
          <w:rPr>
            <w:b/>
            <w:sz w:val="24"/>
            <w:u w:val="double"/>
          </w:rPr>
          <w:tab/>
          <w:t>Canadian Imperial Bank of Commerce, as Agent (the “Agent”)</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u w:val="double"/>
          <w:ins w:id="857" w:author=""/>
        </w:rPr>
      </w:pPr>
      <w:ins w:id="856"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b/>
          <w:sz w:val="24"/>
          <w:u w:val="double"/>
          <w:ins w:id="859" w:author=""/>
        </w:rPr>
      </w:pPr>
      <w:ins w:id="858" w:author="">
        <w:r>
          <w:rPr>
            <w:b/>
            <w:sz w:val="24"/>
            <w:u w:val="double"/>
          </w:rPr>
          <w:t>Date:</w:t>
          <w:tab/>
          <w:t>[date]</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u w:val="double"/>
          <w:ins w:id="861" w:author=""/>
        </w:rPr>
      </w:pPr>
      <w:ins w:id="860"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b/>
          <w:sz w:val="24"/>
          <w:u w:val="double"/>
          <w:ins w:id="863" w:author=""/>
        </w:rPr>
      </w:pPr>
      <w:ins w:id="862" w:author="">
        <w:r>
          <w:rPr>
            <w:b/>
            <w:sz w:val="24"/>
            <w:u w:val="double"/>
          </w:rPr>
          <w:t>Re:</w:t>
          <w:tab/>
          <w:t>Notice of Commitment</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u w:val="double"/>
          <w:ins w:id="865" w:author=""/>
        </w:rPr>
      </w:pPr>
      <w:ins w:id="864"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u w:val="double"/>
          <w:ins w:id="867" w:author=""/>
        </w:rPr>
      </w:pPr>
      <w:ins w:id="866" w:author="">
        <w:r>
          <w:rPr>
            <w:b/>
            <w:sz w:val="24"/>
            <w:u w:val="double"/>
          </w:rPr>
          <w:tab/>
          <w:t>The Trust, the Agent and certain other financial institutions have entered into that certain Facility Agreement, dated as of November [17], 2000 (the “Facility Agreement”).    Capitalized terms defined in the Facility Agreement are used in this Certificate with the same meaning as in the Facility Agreement.</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u w:val="double"/>
          <w:ins w:id="869" w:author=""/>
        </w:rPr>
      </w:pPr>
      <w:ins w:id="868"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u w:val="double"/>
          <w:ins w:id="871" w:author=""/>
        </w:rPr>
      </w:pPr>
      <w:ins w:id="870" w:author="">
        <w:r>
          <w:rPr>
            <w:b/>
            <w:sz w:val="24"/>
            <w:u w:val="double"/>
          </w:rPr>
          <w:tab/>
          <w:t>The undersigned is a Lender under the Facility Agreement.    Please be advised that the undersigned Lender has agreed to increase its Commitment for the purposes of the Facility Agreement from $[____________] [insert initial Commitment] to $[___________] [insert increased Commitment].    Consequently, the amount of such increase for the purposes of Section 3.3(c) of the Facility Agreement is $[_____________].</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u w:val="double"/>
          <w:ins w:id="873" w:author=""/>
        </w:rPr>
      </w:pPr>
      <w:ins w:id="872"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860" w:start="4860"/>
        <w:jc w:val="start"/>
        <w:rPr>
          <w:b/>
          <w:sz w:val="24"/>
          <w:u w:val="double"/>
          <w:ins w:id="875" w:author=""/>
        </w:rPr>
      </w:pPr>
      <w:ins w:id="874" w:author="">
        <w:r>
          <w:rPr>
            <w:b/>
            <w:sz w:val="24"/>
            <w:u w:val="double"/>
          </w:rPr>
          <w:tab/>
          <w:tab/>
          <w:tab/>
          <w:tab/>
          <w:tab/>
          <w:tab/>
          <w:tab/>
          <w:t>Very truly yours,</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u w:val="double"/>
          <w:ins w:id="877" w:author=""/>
        </w:rPr>
      </w:pPr>
      <w:ins w:id="876"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860" w:start="4860"/>
        <w:jc w:val="start"/>
        <w:rPr>
          <w:b/>
          <w:sz w:val="24"/>
          <w:u w:val="double"/>
          <w:ins w:id="879" w:author=""/>
        </w:rPr>
      </w:pPr>
      <w:ins w:id="878" w:author="">
        <w:r>
          <w:rPr>
            <w:b/>
            <w:sz w:val="24"/>
            <w:u w:val="double"/>
          </w:rPr>
          <w:tab/>
          <w:tab/>
          <w:tab/>
          <w:tab/>
          <w:tab/>
          <w:tab/>
          <w:tab/>
          <w:t>[LENDER]</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u w:val="double"/>
          <w:ins w:id="881" w:author=""/>
        </w:rPr>
      </w:pPr>
      <w:ins w:id="880"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u w:val="double"/>
          <w:ins w:id="883" w:author=""/>
        </w:rPr>
      </w:pPr>
      <w:ins w:id="882"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u w:val="double"/>
          <w:ins w:id="885" w:author=""/>
        </w:rPr>
      </w:pPr>
      <w:ins w:id="884"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860" w:start="4860"/>
        <w:jc w:val="start"/>
        <w:rPr>
          <w:b/>
          <w:sz w:val="24"/>
          <w:u w:val="double"/>
          <w:ins w:id="887" w:author=""/>
        </w:rPr>
      </w:pPr>
      <w:ins w:id="886" w:author="">
        <w:r>
          <w:rPr>
            <w:b/>
            <w:sz w:val="24"/>
            <w:u w:val="double"/>
          </w:rPr>
          <w:tab/>
          <w:tab/>
          <w:tab/>
          <w:tab/>
          <w:tab/>
          <w:tab/>
          <w:tab/>
          <w:t>By:</w:t>
          <w:tab/>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860" w:start="4860"/>
        <w:jc w:val="start"/>
        <w:rPr>
          <w:b/>
          <w:sz w:val="24"/>
          <w:u w:val="double"/>
          <w:ins w:id="889" w:author=""/>
        </w:rPr>
      </w:pPr>
      <w:ins w:id="888" w:author="">
        <w:r>
          <w:rPr>
            <w:b/>
            <w:sz w:val="24"/>
            <w:u w:val="double"/>
          </w:rPr>
          <w:tab/>
          <w:tab/>
          <w:tab/>
          <w:tab/>
          <w:tab/>
          <w:tab/>
          <w:tab/>
          <w:t>Name:</w:t>
          <w:tab/>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860" w:start="4860"/>
        <w:jc w:val="start"/>
        <w:rPr>
          <w:b/>
          <w:sz w:val="24"/>
          <w:u w:val="double"/>
          <w:ins w:id="891" w:author=""/>
        </w:rPr>
      </w:pPr>
      <w:ins w:id="890" w:author="">
        <w:r>
          <w:rPr>
            <w:b/>
            <w:sz w:val="24"/>
            <w:u w:val="double"/>
          </w:rPr>
          <w:tab/>
          <w:tab/>
          <w:tab/>
          <w:tab/>
          <w:tab/>
          <w:tab/>
          <w:tab/>
          <w:t>Title:</w:t>
          <w:tab/>
        </w:r>
      </w:ins>
    </w:p>
    <w:p>
      <w:pPr>
        <w:sectPr>
          <w:headerReference w:type="default" r:id="rId94"/>
          <w:headerReference w:type="first" r:id="rId95"/>
          <w:footerReference w:type="even" r:id="rId96"/>
          <w:footerReference w:type="default" r:id="rId97"/>
          <w:footerReference w:type="first" r:id="rId98"/>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b/>
          <w:sz w:val="24"/>
          <w:u w:val="double"/>
          <w:ins w:id="893" w:author=""/>
        </w:rPr>
      </w:pPr>
      <w:ins w:id="892"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double"/>
          <w:ins w:id="895" w:author=""/>
        </w:rPr>
      </w:pPr>
      <w:ins w:id="894" w:author="">
        <w:r>
          <w:rPr>
            <w:b/>
            <w:sz w:val="24"/>
            <w:u w:val="double"/>
          </w:rPr>
          <w:t>EXHIBIT M</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u w:val="double"/>
          <w:ins w:id="897" w:author=""/>
        </w:rPr>
      </w:pPr>
      <w:ins w:id="896"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ins w:id="898" w:author="">
        <w:r>
          <w:rPr>
            <w:b/>
            <w:sz w:val="24"/>
            <w:u w:val="double"/>
          </w:rPr>
          <w:t>FORM OF OMNIBUS AMENDMENT</w:t>
        </w:r>
      </w:ins>
      <w:r>
        <w:br w:type="page"/>
      </w: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sz w:val="24"/>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noBreakHyphen/>
      </w:r>
      <w:r>
        <w:rPr>
          <w:sz w:val="24"/>
        </w:rPr>
        <w:t>FOOTER 1</w:t>
        <w:noBreakHyphen/>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DAL: </w:t>
      </w:r>
      <w:ins w:id="899" w:author="">
        <w:r>
          <w:rPr>
            <w:strike/>
            <w:sz w:val="24"/>
          </w:rPr>
          <w:t>242672.7</w:t>
        </w:r>
      </w:ins>
      <w:r>
        <w:rPr>
          <w:sz w:val="24"/>
        </w:rPr>
        <w:t xml:space="preserve"> </w:t>
      </w:r>
      <w:ins w:id="900" w:author="">
        <w:r>
          <w:rPr>
            <w:b/>
            <w:sz w:val="24"/>
            <w:u w:val="double"/>
          </w:rPr>
          <w:t>266253.3</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noBreakHyphen/>
      </w:r>
      <w:r>
        <w:rPr>
          <w:sz w:val="24"/>
        </w:rPr>
        <w:t>FOOTER 2</w:t>
        <w:noBreakHyphen/>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Project </w:t>
      </w:r>
      <w:ins w:id="901" w:author="">
        <w:r>
          <w:rPr>
            <w:strike/>
            <w:sz w:val="24"/>
          </w:rPr>
          <w:t>Hawaii/Amended and Restated Facility</w:t>
        </w:r>
      </w:ins>
      <w:r>
        <w:rPr>
          <w:sz w:val="24"/>
        </w:rPr>
        <w:t xml:space="preserve"> </w:t>
      </w:r>
      <w:ins w:id="902" w:author="">
        <w:r>
          <w:rPr>
            <w:b/>
            <w:sz w:val="24"/>
            <w:u w:val="double"/>
          </w:rPr>
          <w:t>Hawaii I/Facility</w:t>
        </w:r>
      </w:ins>
      <w:r>
        <w:rPr>
          <w:sz w:val="24"/>
        </w:rPr>
        <w:t xml:space="preserve"> Agreement </w:t>
        <w:noBreakHyphen/>
        <w:t xml:space="preserve">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noBreakHyphen/>
      </w:r>
      <w:r>
        <w:rPr>
          <w:sz w:val="24"/>
        </w:rPr>
        <w:t>FOOTER 3</w:t>
        <w:noBreakHyphen/>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Footer Discontinued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r>
        <w:br w:type="page"/>
      </w:r>
    </w:p>
    <w:p>
      <w:pPr>
        <w:pStyle w:val="Normal"/>
        <w:bidi w:val="0"/>
        <w:jc w:val="start"/>
        <w:rPr>
          <w:sz w:val="24"/>
        </w:rPr>
      </w:pPr>
      <w:r>
        <w:rPr>
          <w:sz w:val="24"/>
        </w:rPr>
        <w:t xml:space="preserve">This redlined draft, generated by CompareRite (TM) </w:t>
        <w:noBreakHyphen/>
        <w:t xml:space="preserve"> The Instant Redliner, shows the differences between </w:t>
        <w:noBreakHyphen/>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original document      : C:\WINDOWS\TEMP\DAL_242672_7</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and revised document: C:\WINDOWS\TEMP\DAL_266253.3</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CompareRite found    357 change(s) and      2 move(s) in the text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CompareRite found        2 change(s) in the notes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Deletions appear as Strikethrough text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Additions appear as Bold+Dbl Underline text </w:t>
      </w:r>
    </w:p>
    <w:sectPr>
      <w:headerReference w:type="default" r:id="rId99"/>
      <w:headerReference w:type="first" r:id="rId100"/>
      <w:footerReference w:type="even" r:id="rId101"/>
      <w:footerReference w:type="default" r:id="rId102"/>
      <w:footerReference w:type="first" r:id="rId103"/>
      <w:type w:val="nextPage"/>
      <w:pgSz w:w="12240" w:h="15840"/>
      <w:pgMar w:left="1440" w:right="1440" w:gutter="0" w:header="1440" w:top="1497" w:footer="1104" w:bottom="1161"/>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WP IconicSymbols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WP IconicSymbolsA" w:cs="Arial"/>
      <w:color w:val="auto"/>
      <w:kern w:val="2"/>
      <w:sz w:val="20"/>
      <w:szCs w:val="24"/>
      <w:lang w:val="en-CA" w:eastAsia="zh-CN" w:bidi="hi-IN"/>
    </w:rPr>
  </w:style>
  <w:style w:type="character" w:styleId="SectionHead">
    <w:name w:val="!SectionHead"/>
    <w:qFormat/>
    <w:rPr/>
  </w:style>
  <w:style w:type="character" w:styleId="Witnesseth">
    <w:name w:val="!Witnesseth"/>
    <w:qFormat/>
    <w:rPr/>
  </w:style>
  <w:style w:type="character" w:styleId="Definitions">
    <w:name w:val="*Definitions"/>
    <w:qFormat/>
    <w:rPr/>
  </w:style>
  <w:style w:type="character" w:styleId="EquationCa">
    <w:name w:val="_Equation Ca"/>
    <w:qFormat/>
    <w:rPr/>
  </w:style>
  <w:style w:type="character" w:styleId="Caption1">
    <w:name w:val="Caption1"/>
    <w:qFormat/>
    <w:rPr/>
  </w:style>
  <w:style w:type="character" w:styleId="toaheading">
    <w:name w:val="toa heading"/>
    <w:qFormat/>
    <w:rPr/>
  </w:style>
  <w:style w:type="character" w:styleId="Index2">
    <w:name w:val="Index 2"/>
    <w:qFormat/>
    <w:rPr/>
  </w:style>
  <w:style w:type="character" w:styleId="Index1">
    <w:name w:val="Index 1"/>
    <w:qFormat/>
    <w:rPr/>
  </w:style>
  <w:style w:type="character" w:styleId="Contents9">
    <w:name w:val="Contents 9"/>
    <w:qFormat/>
    <w:rPr/>
  </w:style>
  <w:style w:type="character" w:styleId="Contents8">
    <w:name w:val="Contents 8"/>
    <w:qFormat/>
    <w:rPr/>
  </w:style>
  <w:style w:type="character" w:styleId="Contents7">
    <w:name w:val="Contents 7"/>
    <w:qFormat/>
    <w:rPr/>
  </w:style>
  <w:style w:type="character" w:styleId="Contents6">
    <w:name w:val="Contents 6"/>
    <w:qFormat/>
    <w:rPr/>
  </w:style>
  <w:style w:type="character" w:styleId="Contents5">
    <w:name w:val="Contents 5"/>
    <w:qFormat/>
    <w:rPr/>
  </w:style>
  <w:style w:type="character" w:styleId="Contents4">
    <w:name w:val="Contents 4"/>
    <w:qFormat/>
    <w:rPr/>
  </w:style>
  <w:style w:type="character" w:styleId="Contents3">
    <w:name w:val="Contents 3"/>
    <w:qFormat/>
    <w:rPr/>
  </w:style>
  <w:style w:type="character" w:styleId="Contents2">
    <w:name w:val="Contents 2"/>
    <w:qFormat/>
    <w:rPr/>
  </w:style>
  <w:style w:type="character" w:styleId="Contents1">
    <w:name w:val="Contents 1"/>
    <w:qFormat/>
    <w:rPr/>
  </w:style>
  <w:style w:type="character" w:styleId="0">
    <w:name w:val="0"/>
    <w:qFormat/>
    <w:rPr/>
  </w:style>
  <w:style w:type="character" w:styleId="Technical8">
    <w:name w:val="Technical 8"/>
    <w:qFormat/>
    <w:rPr/>
  </w:style>
  <w:style w:type="character" w:styleId="Technical7">
    <w:name w:val="Technical 7"/>
    <w:qFormat/>
    <w:rPr/>
  </w:style>
  <w:style w:type="character" w:styleId="Technical1">
    <w:name w:val="Technical 1"/>
    <w:qFormat/>
    <w:rPr/>
  </w:style>
  <w:style w:type="character" w:styleId="Technical4">
    <w:name w:val="Technical 4"/>
    <w:qFormat/>
    <w:rPr/>
  </w:style>
  <w:style w:type="character" w:styleId="Technical3">
    <w:name w:val="Technical 3"/>
    <w:qFormat/>
    <w:rPr/>
  </w:style>
  <w:style w:type="character" w:styleId="Technical2">
    <w:name w:val="Technical 2"/>
    <w:qFormat/>
    <w:rPr/>
  </w:style>
  <w:style w:type="character" w:styleId="Technical6">
    <w:name w:val="Technical 6"/>
    <w:qFormat/>
    <w:rPr/>
  </w:style>
  <w:style w:type="character" w:styleId="Technical5">
    <w:name w:val="Technical 5"/>
    <w:qFormat/>
    <w:rPr/>
  </w:style>
  <w:style w:type="character" w:styleId="TechInit">
    <w:name w:val="Tech Init"/>
    <w:qFormat/>
    <w:rPr/>
  </w:style>
  <w:style w:type="character" w:styleId="DocInit">
    <w:name w:val="Doc Init"/>
    <w:qFormat/>
    <w:rPr/>
  </w:style>
  <w:style w:type="character" w:styleId="Document1">
    <w:name w:val="Document 1"/>
    <w:qFormat/>
    <w:rPr/>
  </w:style>
  <w:style w:type="character" w:styleId="RightPar8">
    <w:name w:val="Right Par 8"/>
    <w:qFormat/>
    <w:rPr/>
  </w:style>
  <w:style w:type="character" w:styleId="RightPar7">
    <w:name w:val="Right Par 7"/>
    <w:qFormat/>
    <w:rPr/>
  </w:style>
  <w:style w:type="character" w:styleId="RightPar6">
    <w:name w:val="Right Par 6"/>
    <w:qFormat/>
    <w:rPr/>
  </w:style>
  <w:style w:type="character" w:styleId="RightPar5">
    <w:name w:val="Right Par 5"/>
    <w:qFormat/>
    <w:rPr/>
  </w:style>
  <w:style w:type="character" w:styleId="RightPar4">
    <w:name w:val="Right Par 4"/>
    <w:qFormat/>
    <w:rPr/>
  </w:style>
  <w:style w:type="character" w:styleId="RightPar3">
    <w:name w:val="Right Par 3"/>
    <w:qFormat/>
    <w:rPr/>
  </w:style>
  <w:style w:type="character" w:styleId="Document3">
    <w:name w:val="Document 3"/>
    <w:qFormat/>
    <w:rPr/>
  </w:style>
  <w:style w:type="character" w:styleId="RightPar2">
    <w:name w:val="Right Par 2"/>
    <w:qFormat/>
    <w:rPr/>
  </w:style>
  <w:style w:type="character" w:styleId="RightPar1">
    <w:name w:val="Right Par 1"/>
    <w:qFormat/>
    <w:rPr/>
  </w:style>
  <w:style w:type="character" w:styleId="Bibliogrphy">
    <w:name w:val="Bibliogrphy"/>
    <w:qFormat/>
    <w:rPr/>
  </w:style>
  <w:style w:type="character" w:styleId="Document7">
    <w:name w:val="Document 7"/>
    <w:qFormat/>
    <w:rPr/>
  </w:style>
  <w:style w:type="character" w:styleId="Document2">
    <w:name w:val="Document 2"/>
    <w:qFormat/>
    <w:rPr/>
  </w:style>
  <w:style w:type="character" w:styleId="Document5">
    <w:name w:val="Document 5"/>
    <w:qFormat/>
    <w:rPr/>
  </w:style>
  <w:style w:type="character" w:styleId="Document6">
    <w:name w:val="Document 6"/>
    <w:qFormat/>
    <w:rPr/>
  </w:style>
  <w:style w:type="character" w:styleId="Document4">
    <w:name w:val="Document 4"/>
    <w:qFormat/>
    <w:rPr/>
  </w:style>
  <w:style w:type="character" w:styleId="Document8">
    <w:name w:val="Document 8"/>
    <w:qFormat/>
    <w:rPr/>
  </w:style>
  <w:style w:type="character" w:styleId="Opin-Date">
    <w:name w:val="Opin-Date"/>
    <w:qFormat/>
    <w:rPr/>
  </w:style>
  <w:style w:type="character" w:styleId="Opin-Tel">
    <w:name w:val="Opin-Tel"/>
    <w:qFormat/>
    <w:rPr>
      <w:rFonts w:ascii="Arial" w:hAnsi="Arial"/>
      <w:sz w:val="15"/>
    </w:rPr>
  </w:style>
  <w:style w:type="character" w:styleId="Part-Date">
    <w:name w:val="Part-Date"/>
    <w:qFormat/>
    <w:rPr/>
  </w:style>
  <w:style w:type="character" w:styleId="Std-Date">
    <w:name w:val="Std-Date"/>
    <w:qFormat/>
    <w:rPr/>
  </w:style>
  <w:style w:type="character" w:styleId="Chrono">
    <w:name w:val="Chrono"/>
    <w:qFormat/>
    <w:rPr>
      <w:sz w:val="22"/>
    </w:rPr>
  </w:style>
  <w:style w:type="character" w:styleId="Fileroom">
    <w:name w:val="Fileroom"/>
    <w:qFormat/>
    <w:rPr>
      <w:sz w:val="22"/>
    </w:rPr>
  </w:style>
  <w:style w:type="character" w:styleId="Std-Tela">
    <w:name w:val="Std-Tela"/>
    <w:qFormat/>
    <w:rPr/>
  </w:style>
  <w:style w:type="character" w:styleId="Appendix">
    <w:name w:val="Appendix"/>
    <w:qFormat/>
    <w:rPr/>
  </w:style>
  <w:style w:type="character" w:styleId="Labels-Hdr">
    <w:name w:val="Labels-Hdr"/>
    <w:qFormat/>
    <w:rPr/>
  </w:style>
  <w:style w:type="character" w:styleId="Memo-PC">
    <w:name w:val="Memo-P&amp;C"/>
    <w:qFormat/>
    <w:rPr/>
  </w:style>
  <w:style w:type="character" w:styleId="Other">
    <w:name w:val="Other"/>
    <w:qFormat/>
    <w:rPr/>
  </w:style>
  <w:style w:type="character" w:styleId="PriConf">
    <w:name w:val="PriConf"/>
    <w:qFormat/>
    <w:rPr/>
  </w:style>
  <w:style w:type="character" w:styleId="To">
    <w:name w:val="To"/>
    <w:qFormat/>
    <w:rPr/>
  </w:style>
  <w:style w:type="character" w:styleId="Re">
    <w:name w:val="Re"/>
    <w:qFormat/>
    <w:rPr/>
  </w:style>
  <w:style w:type="character" w:styleId="PerConf">
    <w:name w:val="PerConf"/>
    <w:qFormat/>
    <w:rPr/>
  </w:style>
  <w:style w:type="character" w:styleId="From">
    <w:name w:val="From"/>
    <w:qFormat/>
    <w:rPr/>
  </w:style>
  <w:style w:type="character" w:styleId="Draft">
    <w:name w:val="Draft"/>
    <w:qFormat/>
    <w:rPr/>
  </w:style>
  <w:style w:type="character" w:styleId="Date">
    <w:name w:val="Date"/>
    <w:qFormat/>
    <w:rPr/>
  </w:style>
  <w:style w:type="character" w:styleId="Conf">
    <w:name w:val="Conf"/>
    <w:qFormat/>
    <w:rPr/>
  </w:style>
  <w:style w:type="character" w:styleId="footnoteref">
    <w:name w:val="footnote ref"/>
    <w:qFormat/>
    <w:rPr/>
  </w:style>
  <w:style w:type="character" w:styleId="footnotetex">
    <w:name w:val="footnote tex"/>
    <w:qFormat/>
    <w:rPr/>
  </w:style>
  <w:style w:type="character" w:styleId="endnoterefe">
    <w:name w:val="endnote refe"/>
    <w:qFormat/>
    <w:rPr/>
  </w:style>
  <w:style w:type="character" w:styleId="Endnote">
    <w:name w:val="Endnote"/>
    <w:qFormat/>
    <w:rPr/>
  </w:style>
  <w:style w:type="character" w:styleId="DefaultPara">
    <w:name w:val="Default Para"/>
    <w:qForma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1">
    <w:name w:val="1AutoList1"/>
    <w:qFormat/>
    <w:pPr>
      <w:widowControl w:val="false"/>
      <w:tabs>
        <w:tab w:val="left" w:pos="720" w:leader="none"/>
      </w:tabs>
      <w:bidi w:val="0"/>
      <w:spacing w:lineRule="atLeast" w:line="0"/>
      <w:ind w:hanging="720" w:start="720"/>
      <w:jc w:val="both"/>
    </w:pPr>
    <w:rPr>
      <w:rFonts w:ascii="Times New Roman" w:hAnsi="Times New Roman" w:eastAsia="WP IconicSymbolsA" w:cs="Arial"/>
      <w:color w:val="auto"/>
      <w:kern w:val="2"/>
      <w:sz w:val="24"/>
      <w:szCs w:val="24"/>
      <w:lang w:val="en-CA" w:eastAsia="zh-CN" w:bidi="hi-IN"/>
    </w:rPr>
  </w:style>
  <w:style w:type="paragraph" w:styleId="2AutoList1">
    <w:name w:val="2AutoList1"/>
    <w:qFormat/>
    <w:pPr>
      <w:widowControl w:val="false"/>
      <w:tabs>
        <w:tab w:val="left" w:pos="720" w:leader="none"/>
        <w:tab w:val="left" w:pos="1440" w:leader="none"/>
      </w:tabs>
      <w:bidi w:val="0"/>
      <w:spacing w:lineRule="atLeast" w:line="0"/>
      <w:ind w:hanging="720" w:start="1440"/>
      <w:jc w:val="both"/>
    </w:pPr>
    <w:rPr>
      <w:rFonts w:ascii="Times New Roman" w:hAnsi="Times New Roman" w:eastAsia="WP IconicSymbolsA" w:cs="Arial"/>
      <w:color w:val="auto"/>
      <w:kern w:val="2"/>
      <w:sz w:val="24"/>
      <w:szCs w:val="24"/>
      <w:lang w:val="en-CA" w:eastAsia="zh-CN" w:bidi="hi-IN"/>
    </w:rPr>
  </w:style>
  <w:style w:type="paragraph" w:styleId="3AutoList1">
    <w:name w:val="3AutoList1"/>
    <w:qFormat/>
    <w:pPr>
      <w:widowControl w:val="false"/>
      <w:tabs>
        <w:tab w:val="left" w:pos="720" w:leader="none"/>
        <w:tab w:val="left" w:pos="1440" w:leader="none"/>
        <w:tab w:val="left" w:pos="2160" w:leader="none"/>
      </w:tabs>
      <w:bidi w:val="0"/>
      <w:spacing w:lineRule="atLeast" w:line="0"/>
      <w:ind w:hanging="720" w:start="2160"/>
      <w:jc w:val="both"/>
    </w:pPr>
    <w:rPr>
      <w:rFonts w:ascii="Times New Roman" w:hAnsi="Times New Roman" w:eastAsia="WP IconicSymbolsA" w:cs="Arial"/>
      <w:color w:val="auto"/>
      <w:kern w:val="2"/>
      <w:sz w:val="24"/>
      <w:szCs w:val="24"/>
      <w:lang w:val="en-CA" w:eastAsia="zh-CN" w:bidi="hi-IN"/>
    </w:rPr>
  </w:style>
  <w:style w:type="paragraph" w:styleId="4AutoList1">
    <w:name w:val="4AutoList1"/>
    <w:qFormat/>
    <w:pPr>
      <w:widowControl w:val="false"/>
      <w:tabs>
        <w:tab w:val="left" w:pos="720" w:leader="none"/>
        <w:tab w:val="left" w:pos="1440" w:leader="none"/>
        <w:tab w:val="left" w:pos="2160" w:leader="none"/>
        <w:tab w:val="left" w:pos="2880" w:leader="none"/>
      </w:tabs>
      <w:bidi w:val="0"/>
      <w:spacing w:lineRule="atLeast" w:line="0"/>
      <w:ind w:hanging="720" w:start="2880"/>
      <w:jc w:val="both"/>
    </w:pPr>
    <w:rPr>
      <w:rFonts w:ascii="Times New Roman" w:hAnsi="Times New Roman" w:eastAsia="WP IconicSymbolsA" w:cs="Arial"/>
      <w:color w:val="auto"/>
      <w:kern w:val="2"/>
      <w:sz w:val="24"/>
      <w:szCs w:val="24"/>
      <w:lang w:val="en-CA" w:eastAsia="zh-CN" w:bidi="hi-IN"/>
    </w:rPr>
  </w:style>
  <w:style w:type="paragraph" w:styleId="5AutoList1">
    <w:name w:val="5AutoList1"/>
    <w:qFormat/>
    <w:pPr>
      <w:widowControl w:val="false"/>
      <w:tabs>
        <w:tab w:val="left" w:pos="720" w:leader="none"/>
        <w:tab w:val="left" w:pos="1440" w:leader="none"/>
        <w:tab w:val="left" w:pos="2160" w:leader="none"/>
        <w:tab w:val="left" w:pos="2880" w:leader="none"/>
        <w:tab w:val="left" w:pos="3600" w:leader="none"/>
      </w:tabs>
      <w:bidi w:val="0"/>
      <w:spacing w:lineRule="atLeast" w:line="0"/>
      <w:ind w:hanging="720" w:start="3600"/>
      <w:jc w:val="both"/>
    </w:pPr>
    <w:rPr>
      <w:rFonts w:ascii="Times New Roman" w:hAnsi="Times New Roman" w:eastAsia="WP IconicSymbolsA" w:cs="Arial"/>
      <w:color w:val="auto"/>
      <w:kern w:val="2"/>
      <w:sz w:val="24"/>
      <w:szCs w:val="24"/>
      <w:lang w:val="en-CA" w:eastAsia="zh-CN" w:bidi="hi-IN"/>
    </w:rPr>
  </w:style>
  <w:style w:type="paragraph" w:styleId="6AutoList1">
    <w:name w:val="6AutoList1"/>
    <w:qFormat/>
    <w:pPr>
      <w:widowControl w:val="false"/>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720" w:start="4320"/>
      <w:jc w:val="both"/>
    </w:pPr>
    <w:rPr>
      <w:rFonts w:ascii="Times New Roman" w:hAnsi="Times New Roman" w:eastAsia="WP IconicSymbolsA" w:cs="Arial"/>
      <w:color w:val="auto"/>
      <w:kern w:val="2"/>
      <w:sz w:val="24"/>
      <w:szCs w:val="24"/>
      <w:lang w:val="en-CA" w:eastAsia="zh-CN" w:bidi="hi-IN"/>
    </w:rPr>
  </w:style>
  <w:style w:type="paragraph" w:styleId="7AutoList1">
    <w:name w:val="7AutoList1"/>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720" w:start="5040"/>
      <w:jc w:val="both"/>
    </w:pPr>
    <w:rPr>
      <w:rFonts w:ascii="Times New Roman" w:hAnsi="Times New Roman" w:eastAsia="WP IconicSymbolsA" w:cs="Arial"/>
      <w:color w:val="auto"/>
      <w:kern w:val="2"/>
      <w:sz w:val="24"/>
      <w:szCs w:val="24"/>
      <w:lang w:val="en-CA" w:eastAsia="zh-CN" w:bidi="hi-IN"/>
    </w:rPr>
  </w:style>
  <w:style w:type="paragraph" w:styleId="8AutoList1">
    <w:name w:val="8AutoList1"/>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720" w:start="5760"/>
      <w:jc w:val="both"/>
    </w:pPr>
    <w:rPr>
      <w:rFonts w:ascii="Times New Roman" w:hAnsi="Times New Roman" w:eastAsia="WP IconicSymbolsA" w:cs="Arial"/>
      <w:color w:val="auto"/>
      <w:kern w:val="2"/>
      <w:sz w:val="24"/>
      <w:szCs w:val="24"/>
      <w:lang w:val="en-CA" w:eastAsia="zh-CN" w:bidi="hi-IN"/>
    </w:rPr>
  </w:style>
  <w:style w:type="paragraph" w:styleId="1AutoList2">
    <w:name w:val="1AutoList2"/>
    <w:qFormat/>
    <w:pPr>
      <w:widowControl w:val="false"/>
      <w:tabs>
        <w:tab w:val="left" w:pos="720" w:leader="none"/>
      </w:tabs>
      <w:bidi w:val="0"/>
      <w:spacing w:lineRule="atLeast" w:line="0"/>
      <w:ind w:hanging="720" w:start="720"/>
      <w:jc w:val="both"/>
    </w:pPr>
    <w:rPr>
      <w:rFonts w:ascii="Times New Roman" w:hAnsi="Times New Roman" w:eastAsia="WP IconicSymbolsA" w:cs="Arial"/>
      <w:color w:val="auto"/>
      <w:kern w:val="2"/>
      <w:sz w:val="24"/>
      <w:szCs w:val="24"/>
      <w:lang w:val="en-CA" w:eastAsia="zh-CN" w:bidi="hi-IN"/>
    </w:rPr>
  </w:style>
  <w:style w:type="paragraph" w:styleId="2AutoList2">
    <w:name w:val="2AutoList2"/>
    <w:qFormat/>
    <w:pPr>
      <w:widowControl w:val="false"/>
      <w:tabs>
        <w:tab w:val="left" w:pos="720" w:leader="none"/>
        <w:tab w:val="left" w:pos="1440" w:leader="none"/>
      </w:tabs>
      <w:bidi w:val="0"/>
      <w:spacing w:lineRule="atLeast" w:line="0"/>
      <w:ind w:hanging="720" w:start="1440"/>
      <w:jc w:val="both"/>
    </w:pPr>
    <w:rPr>
      <w:rFonts w:ascii="Times New Roman" w:hAnsi="Times New Roman" w:eastAsia="WP IconicSymbolsA" w:cs="Arial"/>
      <w:color w:val="auto"/>
      <w:kern w:val="2"/>
      <w:sz w:val="24"/>
      <w:szCs w:val="24"/>
      <w:lang w:val="en-CA" w:eastAsia="zh-CN" w:bidi="hi-IN"/>
    </w:rPr>
  </w:style>
  <w:style w:type="paragraph" w:styleId="3AutoList2">
    <w:name w:val="3AutoList2"/>
    <w:qFormat/>
    <w:pPr>
      <w:widowControl w:val="false"/>
      <w:tabs>
        <w:tab w:val="left" w:pos="720" w:leader="none"/>
        <w:tab w:val="left" w:pos="1440" w:leader="none"/>
        <w:tab w:val="left" w:pos="2160" w:leader="none"/>
      </w:tabs>
      <w:bidi w:val="0"/>
      <w:spacing w:lineRule="atLeast" w:line="0"/>
      <w:ind w:hanging="720" w:start="2160"/>
      <w:jc w:val="both"/>
    </w:pPr>
    <w:rPr>
      <w:rFonts w:ascii="Times New Roman" w:hAnsi="Times New Roman" w:eastAsia="WP IconicSymbolsA" w:cs="Arial"/>
      <w:color w:val="auto"/>
      <w:kern w:val="2"/>
      <w:sz w:val="24"/>
      <w:szCs w:val="24"/>
      <w:lang w:val="en-CA" w:eastAsia="zh-CN" w:bidi="hi-IN"/>
    </w:rPr>
  </w:style>
  <w:style w:type="paragraph" w:styleId="4AutoList2">
    <w:name w:val="4AutoList2"/>
    <w:qFormat/>
    <w:pPr>
      <w:widowControl w:val="false"/>
      <w:tabs>
        <w:tab w:val="left" w:pos="720" w:leader="none"/>
        <w:tab w:val="left" w:pos="1440" w:leader="none"/>
        <w:tab w:val="left" w:pos="2160" w:leader="none"/>
        <w:tab w:val="left" w:pos="2880" w:leader="none"/>
      </w:tabs>
      <w:bidi w:val="0"/>
      <w:spacing w:lineRule="atLeast" w:line="0"/>
      <w:ind w:hanging="720" w:start="2880"/>
      <w:jc w:val="both"/>
    </w:pPr>
    <w:rPr>
      <w:rFonts w:ascii="Times New Roman" w:hAnsi="Times New Roman" w:eastAsia="WP IconicSymbolsA" w:cs="Arial"/>
      <w:color w:val="auto"/>
      <w:kern w:val="2"/>
      <w:sz w:val="24"/>
      <w:szCs w:val="24"/>
      <w:lang w:val="en-CA" w:eastAsia="zh-CN" w:bidi="hi-IN"/>
    </w:rPr>
  </w:style>
  <w:style w:type="paragraph" w:styleId="5AutoList2">
    <w:name w:val="5AutoList2"/>
    <w:qFormat/>
    <w:pPr>
      <w:widowControl w:val="false"/>
      <w:tabs>
        <w:tab w:val="left" w:pos="720" w:leader="none"/>
        <w:tab w:val="left" w:pos="1440" w:leader="none"/>
        <w:tab w:val="left" w:pos="2160" w:leader="none"/>
        <w:tab w:val="left" w:pos="2880" w:leader="none"/>
        <w:tab w:val="left" w:pos="3600" w:leader="none"/>
      </w:tabs>
      <w:bidi w:val="0"/>
      <w:spacing w:lineRule="atLeast" w:line="0"/>
      <w:ind w:hanging="720" w:start="3600"/>
      <w:jc w:val="both"/>
    </w:pPr>
    <w:rPr>
      <w:rFonts w:ascii="Times New Roman" w:hAnsi="Times New Roman" w:eastAsia="WP IconicSymbolsA" w:cs="Arial"/>
      <w:color w:val="auto"/>
      <w:kern w:val="2"/>
      <w:sz w:val="24"/>
      <w:szCs w:val="24"/>
      <w:lang w:val="en-CA" w:eastAsia="zh-CN" w:bidi="hi-IN"/>
    </w:rPr>
  </w:style>
  <w:style w:type="paragraph" w:styleId="6AutoList2">
    <w:name w:val="6AutoList2"/>
    <w:qFormat/>
    <w:pPr>
      <w:widowControl w:val="false"/>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720" w:start="4320"/>
      <w:jc w:val="both"/>
    </w:pPr>
    <w:rPr>
      <w:rFonts w:ascii="Times New Roman" w:hAnsi="Times New Roman" w:eastAsia="WP IconicSymbolsA" w:cs="Arial"/>
      <w:color w:val="auto"/>
      <w:kern w:val="2"/>
      <w:sz w:val="24"/>
      <w:szCs w:val="24"/>
      <w:lang w:val="en-CA" w:eastAsia="zh-CN" w:bidi="hi-IN"/>
    </w:rPr>
  </w:style>
  <w:style w:type="paragraph" w:styleId="7AutoList2">
    <w:name w:val="7AutoList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720" w:start="5040"/>
      <w:jc w:val="both"/>
    </w:pPr>
    <w:rPr>
      <w:rFonts w:ascii="Times New Roman" w:hAnsi="Times New Roman" w:eastAsia="WP IconicSymbolsA" w:cs="Arial"/>
      <w:color w:val="auto"/>
      <w:kern w:val="2"/>
      <w:sz w:val="24"/>
      <w:szCs w:val="24"/>
      <w:lang w:val="en-CA" w:eastAsia="zh-CN" w:bidi="hi-IN"/>
    </w:rPr>
  </w:style>
  <w:style w:type="paragraph" w:styleId="8AutoList2">
    <w:name w:val="8AutoList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720" w:start="5760"/>
      <w:jc w:val="both"/>
    </w:pPr>
    <w:rPr>
      <w:rFonts w:ascii="Times New Roman" w:hAnsi="Times New Roman" w:eastAsia="WP IconicSymbolsA" w:cs="Arial"/>
      <w:color w:val="auto"/>
      <w:kern w:val="2"/>
      <w:sz w:val="24"/>
      <w:szCs w:val="24"/>
      <w:lang w:val="en-CA" w:eastAsia="zh-CN" w:bidi="hi-IN"/>
    </w:rPr>
  </w:style>
  <w:style w:type="paragraph" w:styleId="1BulletList">
    <w:name w:val="1Bullet List"/>
    <w:qFormat/>
    <w:pPr>
      <w:widowControl w:val="false"/>
      <w:tabs>
        <w:tab w:val="left" w:pos="720" w:leader="none"/>
      </w:tabs>
      <w:bidi w:val="0"/>
      <w:spacing w:lineRule="atLeast" w:line="0"/>
      <w:ind w:hanging="720" w:start="720"/>
      <w:jc w:val="both"/>
    </w:pPr>
    <w:rPr>
      <w:rFonts w:ascii="Times New Roman" w:hAnsi="Times New Roman" w:eastAsia="WP IconicSymbolsA" w:cs="Arial"/>
      <w:color w:val="auto"/>
      <w:kern w:val="2"/>
      <w:sz w:val="24"/>
      <w:szCs w:val="24"/>
      <w:lang w:val="en-CA" w:eastAsia="zh-CN" w:bidi="hi-IN"/>
    </w:rPr>
  </w:style>
  <w:style w:type="paragraph" w:styleId="2BulletList">
    <w:name w:val="2Bullet List"/>
    <w:qFormat/>
    <w:pPr>
      <w:widowControl w:val="false"/>
      <w:tabs>
        <w:tab w:val="left" w:pos="720" w:leader="none"/>
        <w:tab w:val="left" w:pos="1440" w:leader="none"/>
      </w:tabs>
      <w:bidi w:val="0"/>
      <w:spacing w:lineRule="atLeast" w:line="0"/>
      <w:ind w:hanging="720" w:start="1440"/>
      <w:jc w:val="both"/>
    </w:pPr>
    <w:rPr>
      <w:rFonts w:ascii="Times New Roman" w:hAnsi="Times New Roman" w:eastAsia="WP IconicSymbolsA" w:cs="Arial"/>
      <w:color w:val="auto"/>
      <w:kern w:val="2"/>
      <w:sz w:val="24"/>
      <w:szCs w:val="24"/>
      <w:lang w:val="en-CA" w:eastAsia="zh-CN" w:bidi="hi-IN"/>
    </w:rPr>
  </w:style>
  <w:style w:type="paragraph" w:styleId="3BulletList">
    <w:name w:val="3Bullet List"/>
    <w:qFormat/>
    <w:pPr>
      <w:widowControl w:val="false"/>
      <w:tabs>
        <w:tab w:val="left" w:pos="720" w:leader="none"/>
        <w:tab w:val="left" w:pos="1440" w:leader="none"/>
        <w:tab w:val="left" w:pos="2160" w:leader="none"/>
      </w:tabs>
      <w:bidi w:val="0"/>
      <w:spacing w:lineRule="atLeast" w:line="0"/>
      <w:ind w:hanging="720" w:start="2160"/>
      <w:jc w:val="both"/>
    </w:pPr>
    <w:rPr>
      <w:rFonts w:ascii="Times New Roman" w:hAnsi="Times New Roman" w:eastAsia="WP IconicSymbolsA" w:cs="Arial"/>
      <w:color w:val="auto"/>
      <w:kern w:val="2"/>
      <w:sz w:val="24"/>
      <w:szCs w:val="24"/>
      <w:lang w:val="en-CA" w:eastAsia="zh-CN" w:bidi="hi-IN"/>
    </w:rPr>
  </w:style>
  <w:style w:type="paragraph" w:styleId="4BulletList">
    <w:name w:val="4Bullet List"/>
    <w:qFormat/>
    <w:pPr>
      <w:widowControl w:val="false"/>
      <w:tabs>
        <w:tab w:val="left" w:pos="720" w:leader="none"/>
        <w:tab w:val="left" w:pos="1440" w:leader="none"/>
        <w:tab w:val="left" w:pos="2160" w:leader="none"/>
        <w:tab w:val="left" w:pos="2880" w:leader="none"/>
      </w:tabs>
      <w:bidi w:val="0"/>
      <w:spacing w:lineRule="atLeast" w:line="0"/>
      <w:ind w:hanging="720" w:start="2880"/>
      <w:jc w:val="both"/>
    </w:pPr>
    <w:rPr>
      <w:rFonts w:ascii="Times New Roman" w:hAnsi="Times New Roman" w:eastAsia="WP IconicSymbolsA" w:cs="Arial"/>
      <w:color w:val="auto"/>
      <w:kern w:val="2"/>
      <w:sz w:val="24"/>
      <w:szCs w:val="24"/>
      <w:lang w:val="en-CA" w:eastAsia="zh-CN" w:bidi="hi-IN"/>
    </w:rPr>
  </w:style>
  <w:style w:type="paragraph" w:styleId="5BulletList">
    <w:name w:val="5Bullet List"/>
    <w:qFormat/>
    <w:pPr>
      <w:widowControl w:val="false"/>
      <w:tabs>
        <w:tab w:val="left" w:pos="720" w:leader="none"/>
        <w:tab w:val="left" w:pos="1440" w:leader="none"/>
        <w:tab w:val="left" w:pos="2160" w:leader="none"/>
        <w:tab w:val="left" w:pos="2880" w:leader="none"/>
        <w:tab w:val="left" w:pos="3600" w:leader="none"/>
      </w:tabs>
      <w:bidi w:val="0"/>
      <w:spacing w:lineRule="atLeast" w:line="0"/>
      <w:ind w:hanging="720" w:start="3600"/>
      <w:jc w:val="both"/>
    </w:pPr>
    <w:rPr>
      <w:rFonts w:ascii="Times New Roman" w:hAnsi="Times New Roman" w:eastAsia="WP IconicSymbolsA" w:cs="Arial"/>
      <w:color w:val="auto"/>
      <w:kern w:val="2"/>
      <w:sz w:val="24"/>
      <w:szCs w:val="24"/>
      <w:lang w:val="en-CA" w:eastAsia="zh-CN" w:bidi="hi-IN"/>
    </w:rPr>
  </w:style>
  <w:style w:type="paragraph" w:styleId="6BulletList">
    <w:name w:val="6Bullet List"/>
    <w:qFormat/>
    <w:pPr>
      <w:widowControl w:val="false"/>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720" w:start="4320"/>
      <w:jc w:val="both"/>
    </w:pPr>
    <w:rPr>
      <w:rFonts w:ascii="Times New Roman" w:hAnsi="Times New Roman" w:eastAsia="WP IconicSymbolsA" w:cs="Arial"/>
      <w:color w:val="auto"/>
      <w:kern w:val="2"/>
      <w:sz w:val="24"/>
      <w:szCs w:val="24"/>
      <w:lang w:val="en-CA" w:eastAsia="zh-CN" w:bidi="hi-IN"/>
    </w:rPr>
  </w:style>
  <w:style w:type="paragraph" w:styleId="7BulletList">
    <w:name w:val="7Bullet List"/>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720" w:start="5040"/>
      <w:jc w:val="both"/>
    </w:pPr>
    <w:rPr>
      <w:rFonts w:ascii="Times New Roman" w:hAnsi="Times New Roman" w:eastAsia="WP IconicSymbolsA" w:cs="Arial"/>
      <w:color w:val="auto"/>
      <w:kern w:val="2"/>
      <w:sz w:val="24"/>
      <w:szCs w:val="24"/>
      <w:lang w:val="en-CA" w:eastAsia="zh-CN" w:bidi="hi-IN"/>
    </w:rPr>
  </w:style>
  <w:style w:type="paragraph" w:styleId="8BulletList">
    <w:name w:val="8Bullet List"/>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720" w:start="5760"/>
      <w:jc w:val="both"/>
    </w:pPr>
    <w:rPr>
      <w:rFonts w:ascii="Times New Roman" w:hAnsi="Times New Roman" w:eastAsia="WP IconicSymbolsA" w:cs="Arial"/>
      <w:color w:val="auto"/>
      <w:kern w:val="2"/>
      <w:sz w:val="24"/>
      <w:szCs w:val="24"/>
      <w:lang w:val="en-CA" w:eastAsia="zh-CN" w:bidi="hi-IN"/>
    </w:rPr>
  </w:style>
  <w:style w:type="paragraph" w:styleId="RightPar21">
    <w:name w:val="Right Par[2]"/>
    <w:qFormat/>
    <w:pPr>
      <w:widowControl w:val="false"/>
      <w:tabs>
        <w:tab w:val="left" w:pos="720" w:leader="none"/>
        <w:tab w:val="left" w:pos="1440" w:leader="none"/>
      </w:tabs>
      <w:bidi w:val="0"/>
      <w:spacing w:lineRule="atLeast" w:line="0"/>
      <w:ind w:hanging="2160" w:start="1440"/>
    </w:pPr>
    <w:rPr>
      <w:rFonts w:ascii="Times New Roman" w:hAnsi="Times New Roman" w:eastAsia="WP IconicSymbolsA" w:cs="Arial"/>
      <w:color w:val="auto"/>
      <w:kern w:val="2"/>
      <w:sz w:val="24"/>
      <w:szCs w:val="24"/>
      <w:lang w:val="en-CA" w:eastAsia="zh-CN" w:bidi="hi-IN"/>
    </w:rPr>
  </w:style>
  <w:style w:type="paragraph" w:styleId="A">
    <w:name w:val="!A"/>
    <w:qFormat/>
    <w:pPr>
      <w:widowControl w:val="false"/>
      <w:bidi w:val="0"/>
      <w:spacing w:lineRule="atLeast" w:line="0" w:before="0" w:after="240"/>
    </w:pPr>
    <w:rPr>
      <w:rFonts w:ascii="Times New Roman" w:hAnsi="Times New Roman" w:eastAsia="WP IconicSymbolsA" w:cs="Arial"/>
      <w:color w:val="auto"/>
      <w:kern w:val="2"/>
      <w:sz w:val="24"/>
      <w:szCs w:val="24"/>
      <w:lang w:val="en-CA" w:eastAsia="zh-CN" w:bidi="hi-IN"/>
    </w:rPr>
  </w:style>
  <w:style w:type="paragraph" w:styleId="a1">
    <w:name w:val="!(a)"/>
    <w:qFormat/>
    <w:pPr>
      <w:widowControl w:val="false"/>
      <w:bidi w:val="0"/>
      <w:spacing w:lineRule="atLeast" w:line="0" w:before="0" w:after="240"/>
    </w:pPr>
    <w:rPr>
      <w:rFonts w:ascii="Times New Roman" w:hAnsi="Times New Roman" w:eastAsia="WP IconicSymbolsA" w:cs="Arial"/>
      <w:color w:val="auto"/>
      <w:kern w:val="2"/>
      <w:sz w:val="24"/>
      <w:szCs w:val="24"/>
      <w:lang w:val="en-CA" w:eastAsia="zh-CN" w:bidi="hi-IN"/>
    </w:rPr>
  </w:style>
  <w:style w:type="paragraph" w:styleId="ToC-Level2">
    <w:name w:val="ToC-Level2"/>
    <w:qFormat/>
    <w:pPr>
      <w:widowControl w:val="false"/>
      <w:tabs>
        <w:tab w:val="clear" w:pos="720"/>
        <w:tab w:val="left" w:pos="0" w:leader="none"/>
        <w:tab w:val="left" w:pos="1008" w:leader="none"/>
        <w:tab w:val="left" w:pos="1656" w:leader="none"/>
      </w:tabs>
      <w:bidi w:val="0"/>
      <w:spacing w:lineRule="atLeast" w:line="0" w:before="0" w:after="240"/>
      <w:ind w:hanging="1296" w:start="1656" w:end="1008"/>
    </w:pPr>
    <w:rPr>
      <w:rFonts w:ascii="Times New Roman" w:hAnsi="Times New Roman" w:eastAsia="WP IconicSymbolsA" w:cs="Arial"/>
      <w:color w:val="auto"/>
      <w:kern w:val="2"/>
      <w:sz w:val="24"/>
      <w:szCs w:val="24"/>
      <w:lang w:val="en-CA" w:eastAsia="zh-CN" w:bidi="hi-IN"/>
    </w:rPr>
  </w:style>
  <w:style w:type="paragraph" w:styleId="ToC-Level1">
    <w:name w:val="ToC-Level1"/>
    <w:qFormat/>
    <w:pPr>
      <w:widowControl w:val="false"/>
      <w:bidi w:val="0"/>
      <w:spacing w:lineRule="atLeast" w:line="0"/>
      <w:jc w:val="center"/>
    </w:pPr>
    <w:rPr>
      <w:rFonts w:ascii="Times New Roman" w:hAnsi="Times New Roman" w:eastAsia="WP IconicSymbolsA" w:cs="Arial"/>
      <w:color w:val="auto"/>
      <w:kern w:val="2"/>
      <w:sz w:val="24"/>
      <w:szCs w:val="24"/>
      <w:lang w:val="en-CA" w:eastAsia="zh-CN" w:bidi="hi-IN"/>
    </w:rPr>
  </w:style>
  <w:style w:type="paragraph" w:styleId="1">
    <w:name w:val="!1."/>
    <w:qFormat/>
    <w:pPr>
      <w:widowControl w:val="false"/>
      <w:tabs>
        <w:tab w:val="left" w:pos="720" w:leader="none"/>
      </w:tabs>
      <w:bidi w:val="0"/>
      <w:spacing w:lineRule="atLeast" w:line="0" w:before="0" w:after="240"/>
      <w:ind w:hanging="720" w:start="720"/>
    </w:pPr>
    <w:rPr>
      <w:rFonts w:ascii="Times New Roman" w:hAnsi="Times New Roman" w:eastAsia="WP IconicSymbolsA" w:cs="Arial"/>
      <w:color w:val="auto"/>
      <w:kern w:val="2"/>
      <w:sz w:val="24"/>
      <w:szCs w:val="24"/>
      <w:lang w:val="en-CA" w:eastAsia="zh-CN" w:bidi="hi-IN"/>
    </w:rPr>
  </w:style>
  <w:style w:type="paragraph" w:styleId="i">
    <w:name w:val="![(i)"/>
    <w:qFormat/>
    <w:pPr>
      <w:widowControl w:val="false"/>
      <w:bidi w:val="0"/>
      <w:spacing w:lineRule="atLeast" w:line="0" w:before="0" w:after="240"/>
      <w:ind w:start="720"/>
    </w:pPr>
    <w:rPr>
      <w:rFonts w:ascii="Times New Roman" w:hAnsi="Times New Roman" w:eastAsia="WP IconicSymbolsA" w:cs="Arial"/>
      <w:color w:val="auto"/>
      <w:kern w:val="2"/>
      <w:sz w:val="24"/>
      <w:szCs w:val="24"/>
      <w:lang w:val="en-CA" w:eastAsia="zh-CN" w:bidi="hi-IN"/>
    </w:rPr>
  </w:style>
  <w:style w:type="paragraph" w:styleId="a2">
    <w:name w:val="![(a)"/>
    <w:qFormat/>
    <w:pPr>
      <w:widowControl w:val="false"/>
      <w:bidi w:val="0"/>
      <w:spacing w:lineRule="atLeast" w:line="0" w:before="0" w:after="240"/>
    </w:pPr>
    <w:rPr>
      <w:rFonts w:ascii="Times New Roman" w:hAnsi="Times New Roman" w:eastAsia="WP IconicSymbolsA" w:cs="Arial"/>
      <w:color w:val="auto"/>
      <w:kern w:val="2"/>
      <w:sz w:val="24"/>
      <w:szCs w:val="24"/>
      <w:lang w:val="en-CA" w:eastAsia="zh-CN" w:bidi="hi-IN"/>
    </w:rPr>
  </w:style>
  <w:style w:type="paragraph" w:styleId="11">
    <w:name w:val="!(1)"/>
    <w:qFormat/>
    <w:pPr>
      <w:widowControl w:val="false"/>
      <w:bidi w:val="0"/>
      <w:spacing w:lineRule="atLeast" w:line="0" w:before="0" w:after="240"/>
      <w:ind w:start="2160"/>
    </w:pPr>
    <w:rPr>
      <w:rFonts w:ascii="Times New Roman" w:hAnsi="Times New Roman" w:eastAsia="WP IconicSymbolsA" w:cs="Arial"/>
      <w:color w:val="auto"/>
      <w:kern w:val="2"/>
      <w:sz w:val="24"/>
      <w:szCs w:val="24"/>
      <w:lang w:val="en-CA" w:eastAsia="zh-CN" w:bidi="hi-IN"/>
    </w:rPr>
  </w:style>
  <w:style w:type="paragraph" w:styleId="AUC">
    <w:name w:val="!(A)UC"/>
    <w:qFormat/>
    <w:pPr>
      <w:widowControl w:val="false"/>
      <w:bidi w:val="0"/>
      <w:spacing w:lineRule="atLeast" w:line="0" w:before="0" w:after="240"/>
      <w:ind w:start="1440"/>
    </w:pPr>
    <w:rPr>
      <w:rFonts w:ascii="Times New Roman" w:hAnsi="Times New Roman" w:eastAsia="WP IconicSymbolsA" w:cs="Arial"/>
      <w:color w:val="auto"/>
      <w:kern w:val="2"/>
      <w:sz w:val="24"/>
      <w:szCs w:val="24"/>
      <w:lang w:val="en-CA" w:eastAsia="zh-CN" w:bidi="hi-IN"/>
    </w:rPr>
  </w:style>
  <w:style w:type="paragraph" w:styleId="i1">
    <w:name w:val="!(i)"/>
    <w:qFormat/>
    <w:pPr>
      <w:widowControl w:val="false"/>
      <w:bidi w:val="0"/>
      <w:spacing w:lineRule="atLeast" w:line="0" w:before="0" w:after="240"/>
      <w:ind w:start="720"/>
    </w:pPr>
    <w:rPr>
      <w:rFonts w:ascii="Times New Roman" w:hAnsi="Times New Roman" w:eastAsia="WP IconicSymbolsA" w:cs="Arial"/>
      <w:color w:val="auto"/>
      <w:kern w:val="2"/>
      <w:sz w:val="24"/>
      <w:szCs w:val="24"/>
      <w:lang w:val="en-CA" w:eastAsia="zh-CN" w:bidi="hi-IN"/>
    </w:rPr>
  </w:style>
  <w:style w:type="paragraph" w:styleId="Recitals">
    <w:name w:val="!Recitals"/>
    <w:qFormat/>
    <w:pPr>
      <w:widowControl w:val="false"/>
      <w:bidi w:val="0"/>
      <w:spacing w:lineRule="atLeast" w:line="0"/>
      <w:jc w:val="both"/>
    </w:pPr>
    <w:rPr>
      <w:rFonts w:ascii="Times New Roman" w:hAnsi="Times New Roman" w:eastAsia="WP IconicSymbolsA" w:cs="Arial"/>
      <w:color w:val="auto"/>
      <w:kern w:val="2"/>
      <w:sz w:val="24"/>
      <w:szCs w:val="24"/>
      <w:lang w:val="en-CA" w:eastAsia="zh-CN" w:bidi="hi-IN"/>
    </w:rPr>
  </w:style>
  <w:style w:type="paragraph" w:styleId="a3">
    <w:name w:val="*(a)"/>
    <w:qFormat/>
    <w:pPr>
      <w:widowControl w:val="false"/>
      <w:bidi w:val="0"/>
    </w:pPr>
    <w:rPr>
      <w:rFonts w:ascii="Times New Roman" w:hAnsi="Times New Roman" w:eastAsia="WP IconicSymbolsA" w:cs="Arial"/>
      <w:color w:val="auto"/>
      <w:kern w:val="2"/>
      <w:sz w:val="24"/>
      <w:szCs w:val="24"/>
      <w:lang w:val="en-CA" w:eastAsia="zh-CN" w:bidi="hi-IN"/>
    </w:rPr>
  </w:style>
  <w:style w:type="paragraph" w:styleId="AUC1">
    <w:name w:val="*(A)UC"/>
    <w:qFormat/>
    <w:pPr>
      <w:widowControl w:val="false"/>
      <w:bidi w:val="0"/>
    </w:pPr>
    <w:rPr>
      <w:rFonts w:ascii="Times New Roman" w:hAnsi="Times New Roman" w:eastAsia="WP IconicSymbolsA" w:cs="Arial"/>
      <w:color w:val="auto"/>
      <w:kern w:val="2"/>
      <w:sz w:val="24"/>
      <w:szCs w:val="24"/>
      <w:lang w:val="en-CA" w:eastAsia="zh-CN" w:bidi="hi-IN"/>
    </w:rPr>
  </w:style>
  <w:style w:type="paragraph" w:styleId="i2">
    <w:name w:val="*(i)"/>
    <w:qFormat/>
    <w:pPr>
      <w:widowControl w:val="false"/>
      <w:bidi w:val="0"/>
    </w:pPr>
    <w:rPr>
      <w:rFonts w:ascii="Times New Roman" w:hAnsi="Times New Roman" w:eastAsia="WP IconicSymbolsA" w:cs="Arial"/>
      <w:color w:val="auto"/>
      <w:kern w:val="2"/>
      <w:sz w:val="24"/>
      <w:szCs w:val="24"/>
      <w:lang w:val="en-CA" w:eastAsia="zh-CN" w:bidi="hi-IN"/>
    </w:rPr>
  </w:style>
  <w:style w:type="paragraph" w:styleId="SectionHd">
    <w:name w:val="![SectionHd"/>
    <w:qFormat/>
    <w:pPr>
      <w:widowControl w:val="false"/>
      <w:bidi w:val="0"/>
      <w:spacing w:lineRule="atLeast" w:line="0"/>
    </w:pPr>
    <w:rPr>
      <w:rFonts w:ascii="Times New Roman" w:hAnsi="Times New Roman" w:eastAsia="WP IconicSymbolsA" w:cs="Arial"/>
      <w:color w:val="auto"/>
      <w:kern w:val="2"/>
      <w:sz w:val="24"/>
      <w:szCs w:val="24"/>
      <w:lang w:val="en-CA" w:eastAsia="zh-CN" w:bidi="hi-IN"/>
    </w:rPr>
  </w:style>
  <w:style w:type="paragraph" w:styleId="12">
    <w:name w:val="*(1)"/>
    <w:qFormat/>
    <w:pPr>
      <w:widowControl w:val="false"/>
      <w:bidi w:val="0"/>
    </w:pPr>
    <w:rPr>
      <w:rFonts w:ascii="Times New Roman" w:hAnsi="Times New Roman" w:eastAsia="WP IconicSymbolsA" w:cs="Arial"/>
      <w:color w:val="auto"/>
      <w:kern w:val="2"/>
      <w:sz w:val="24"/>
      <w:szCs w:val="24"/>
      <w:lang w:val="en-CA" w:eastAsia="zh-CN" w:bidi="hi-IN"/>
    </w:rPr>
  </w:style>
  <w:style w:type="paragraph" w:styleId="ARTICLE">
    <w:name w:val="!ARTICLE"/>
    <w:qFormat/>
    <w:pPr>
      <w:widowControl w:val="false"/>
      <w:bidi w:val="0"/>
      <w:spacing w:lineRule="atLeast" w:line="0"/>
      <w:ind w:start="1440" w:end="1440"/>
      <w:jc w:val="center"/>
    </w:pPr>
    <w:rPr>
      <w:rFonts w:ascii="Times New Roman" w:hAnsi="Times New Roman" w:eastAsia="WP IconicSymbolsA" w:cs="Arial"/>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header" Target="header7.xml"/><Relationship Id="rId18" Type="http://schemas.openxmlformats.org/officeDocument/2006/relationships/footer" Target="footer10.xml"/><Relationship Id="rId19" Type="http://schemas.openxmlformats.org/officeDocument/2006/relationships/footer" Target="footer11.xml"/><Relationship Id="rId20" Type="http://schemas.openxmlformats.org/officeDocument/2006/relationships/footer" Target="footer12.xml"/><Relationship Id="rId21" Type="http://schemas.openxmlformats.org/officeDocument/2006/relationships/header" Target="header8.xml"/><Relationship Id="rId22" Type="http://schemas.openxmlformats.org/officeDocument/2006/relationships/header" Target="header9.xml"/><Relationship Id="rId23" Type="http://schemas.openxmlformats.org/officeDocument/2006/relationships/footer" Target="footer13.xml"/><Relationship Id="rId24" Type="http://schemas.openxmlformats.org/officeDocument/2006/relationships/footer" Target="footer14.xml"/><Relationship Id="rId25" Type="http://schemas.openxmlformats.org/officeDocument/2006/relationships/footer" Target="footer15.xml"/><Relationship Id="rId26" Type="http://schemas.openxmlformats.org/officeDocument/2006/relationships/header" Target="header10.xml"/><Relationship Id="rId27" Type="http://schemas.openxmlformats.org/officeDocument/2006/relationships/footer" Target="footer16.xml"/><Relationship Id="rId28" Type="http://schemas.openxmlformats.org/officeDocument/2006/relationships/footer" Target="footer17.xml"/><Relationship Id="rId29" Type="http://schemas.openxmlformats.org/officeDocument/2006/relationships/footer" Target="footer18.xml"/><Relationship Id="rId30" Type="http://schemas.openxmlformats.org/officeDocument/2006/relationships/header" Target="header11.xml"/><Relationship Id="rId31" Type="http://schemas.openxmlformats.org/officeDocument/2006/relationships/header" Target="header12.xml"/><Relationship Id="rId32" Type="http://schemas.openxmlformats.org/officeDocument/2006/relationships/footer" Target="footer19.xml"/><Relationship Id="rId33" Type="http://schemas.openxmlformats.org/officeDocument/2006/relationships/footer" Target="footer20.xml"/><Relationship Id="rId34" Type="http://schemas.openxmlformats.org/officeDocument/2006/relationships/footer" Target="footer21.xml"/><Relationship Id="rId35" Type="http://schemas.openxmlformats.org/officeDocument/2006/relationships/header" Target="header13.xml"/><Relationship Id="rId36" Type="http://schemas.openxmlformats.org/officeDocument/2006/relationships/header" Target="header14.xml"/><Relationship Id="rId37" Type="http://schemas.openxmlformats.org/officeDocument/2006/relationships/footer" Target="footer22.xml"/><Relationship Id="rId38" Type="http://schemas.openxmlformats.org/officeDocument/2006/relationships/footer" Target="footer23.xml"/><Relationship Id="rId39" Type="http://schemas.openxmlformats.org/officeDocument/2006/relationships/footer" Target="footer24.xml"/><Relationship Id="rId40" Type="http://schemas.openxmlformats.org/officeDocument/2006/relationships/header" Target="header15.xml"/><Relationship Id="rId41" Type="http://schemas.openxmlformats.org/officeDocument/2006/relationships/footer" Target="footer25.xml"/><Relationship Id="rId42" Type="http://schemas.openxmlformats.org/officeDocument/2006/relationships/header" Target="header16.xml"/><Relationship Id="rId43" Type="http://schemas.openxmlformats.org/officeDocument/2006/relationships/header" Target="header17.xml"/><Relationship Id="rId44" Type="http://schemas.openxmlformats.org/officeDocument/2006/relationships/footer" Target="footer26.xml"/><Relationship Id="rId45" Type="http://schemas.openxmlformats.org/officeDocument/2006/relationships/footer" Target="footer27.xml"/><Relationship Id="rId46" Type="http://schemas.openxmlformats.org/officeDocument/2006/relationships/header" Target="header18.xml"/><Relationship Id="rId47" Type="http://schemas.openxmlformats.org/officeDocument/2006/relationships/footer" Target="footer28.xml"/><Relationship Id="rId48" Type="http://schemas.openxmlformats.org/officeDocument/2006/relationships/footer" Target="footer29.xml"/><Relationship Id="rId49" Type="http://schemas.openxmlformats.org/officeDocument/2006/relationships/footer" Target="footer30.xml"/><Relationship Id="rId50" Type="http://schemas.openxmlformats.org/officeDocument/2006/relationships/header" Target="header19.xml"/><Relationship Id="rId51" Type="http://schemas.openxmlformats.org/officeDocument/2006/relationships/header" Target="header20.xml"/><Relationship Id="rId52" Type="http://schemas.openxmlformats.org/officeDocument/2006/relationships/footer" Target="footer31.xml"/><Relationship Id="rId53" Type="http://schemas.openxmlformats.org/officeDocument/2006/relationships/footer" Target="footer32.xml"/><Relationship Id="rId54" Type="http://schemas.openxmlformats.org/officeDocument/2006/relationships/footer" Target="footer33.xml"/><Relationship Id="rId55" Type="http://schemas.openxmlformats.org/officeDocument/2006/relationships/header" Target="header21.xml"/><Relationship Id="rId56" Type="http://schemas.openxmlformats.org/officeDocument/2006/relationships/footer" Target="footer34.xml"/><Relationship Id="rId57" Type="http://schemas.openxmlformats.org/officeDocument/2006/relationships/footer" Target="footer35.xml"/><Relationship Id="rId58" Type="http://schemas.openxmlformats.org/officeDocument/2006/relationships/footer" Target="footer36.xml"/><Relationship Id="rId59" Type="http://schemas.openxmlformats.org/officeDocument/2006/relationships/header" Target="header22.xml"/><Relationship Id="rId60" Type="http://schemas.openxmlformats.org/officeDocument/2006/relationships/header" Target="header23.xml"/><Relationship Id="rId61" Type="http://schemas.openxmlformats.org/officeDocument/2006/relationships/footer" Target="footer37.xml"/><Relationship Id="rId62" Type="http://schemas.openxmlformats.org/officeDocument/2006/relationships/footer" Target="footer38.xml"/><Relationship Id="rId63" Type="http://schemas.openxmlformats.org/officeDocument/2006/relationships/footer" Target="footer39.xml"/><Relationship Id="rId64" Type="http://schemas.openxmlformats.org/officeDocument/2006/relationships/header" Target="header24.xml"/><Relationship Id="rId65" Type="http://schemas.openxmlformats.org/officeDocument/2006/relationships/header" Target="header25.xml"/><Relationship Id="rId66" Type="http://schemas.openxmlformats.org/officeDocument/2006/relationships/footer" Target="footer40.xml"/><Relationship Id="rId67" Type="http://schemas.openxmlformats.org/officeDocument/2006/relationships/footer" Target="footer41.xml"/><Relationship Id="rId68" Type="http://schemas.openxmlformats.org/officeDocument/2006/relationships/footer" Target="footer42.xml"/><Relationship Id="rId69" Type="http://schemas.openxmlformats.org/officeDocument/2006/relationships/header" Target="header26.xml"/><Relationship Id="rId70" Type="http://schemas.openxmlformats.org/officeDocument/2006/relationships/header" Target="header27.xml"/><Relationship Id="rId71" Type="http://schemas.openxmlformats.org/officeDocument/2006/relationships/footer" Target="footer43.xml"/><Relationship Id="rId72" Type="http://schemas.openxmlformats.org/officeDocument/2006/relationships/footer" Target="footer44.xml"/><Relationship Id="rId73" Type="http://schemas.openxmlformats.org/officeDocument/2006/relationships/footer" Target="footer45.xml"/><Relationship Id="rId74" Type="http://schemas.openxmlformats.org/officeDocument/2006/relationships/header" Target="header28.xml"/><Relationship Id="rId75" Type="http://schemas.openxmlformats.org/officeDocument/2006/relationships/header" Target="header29.xml"/><Relationship Id="rId76" Type="http://schemas.openxmlformats.org/officeDocument/2006/relationships/footer" Target="footer46.xml"/><Relationship Id="rId77" Type="http://schemas.openxmlformats.org/officeDocument/2006/relationships/footer" Target="footer47.xml"/><Relationship Id="rId78" Type="http://schemas.openxmlformats.org/officeDocument/2006/relationships/footer" Target="footer48.xml"/><Relationship Id="rId79" Type="http://schemas.openxmlformats.org/officeDocument/2006/relationships/header" Target="header30.xml"/><Relationship Id="rId80" Type="http://schemas.openxmlformats.org/officeDocument/2006/relationships/header" Target="header31.xml"/><Relationship Id="rId81" Type="http://schemas.openxmlformats.org/officeDocument/2006/relationships/footer" Target="footer49.xml"/><Relationship Id="rId82" Type="http://schemas.openxmlformats.org/officeDocument/2006/relationships/footer" Target="footer50.xml"/><Relationship Id="rId83" Type="http://schemas.openxmlformats.org/officeDocument/2006/relationships/footer" Target="footer51.xml"/><Relationship Id="rId84" Type="http://schemas.openxmlformats.org/officeDocument/2006/relationships/header" Target="header32.xml"/><Relationship Id="rId85" Type="http://schemas.openxmlformats.org/officeDocument/2006/relationships/header" Target="header33.xml"/><Relationship Id="rId86" Type="http://schemas.openxmlformats.org/officeDocument/2006/relationships/footer" Target="footer52.xml"/><Relationship Id="rId87" Type="http://schemas.openxmlformats.org/officeDocument/2006/relationships/footer" Target="footer53.xml"/><Relationship Id="rId88" Type="http://schemas.openxmlformats.org/officeDocument/2006/relationships/footer" Target="footer54.xml"/><Relationship Id="rId89" Type="http://schemas.openxmlformats.org/officeDocument/2006/relationships/header" Target="header34.xml"/><Relationship Id="rId90" Type="http://schemas.openxmlformats.org/officeDocument/2006/relationships/header" Target="header35.xml"/><Relationship Id="rId91" Type="http://schemas.openxmlformats.org/officeDocument/2006/relationships/footer" Target="footer55.xml"/><Relationship Id="rId92" Type="http://schemas.openxmlformats.org/officeDocument/2006/relationships/footer" Target="footer56.xml"/><Relationship Id="rId93" Type="http://schemas.openxmlformats.org/officeDocument/2006/relationships/footer" Target="footer57.xml"/><Relationship Id="rId94" Type="http://schemas.openxmlformats.org/officeDocument/2006/relationships/header" Target="header36.xml"/><Relationship Id="rId95" Type="http://schemas.openxmlformats.org/officeDocument/2006/relationships/header" Target="header37.xml"/><Relationship Id="rId96" Type="http://schemas.openxmlformats.org/officeDocument/2006/relationships/footer" Target="footer58.xml"/><Relationship Id="rId97" Type="http://schemas.openxmlformats.org/officeDocument/2006/relationships/footer" Target="footer59.xml"/><Relationship Id="rId98" Type="http://schemas.openxmlformats.org/officeDocument/2006/relationships/footer" Target="footer60.xml"/><Relationship Id="rId99" Type="http://schemas.openxmlformats.org/officeDocument/2006/relationships/header" Target="header38.xml"/><Relationship Id="rId100" Type="http://schemas.openxmlformats.org/officeDocument/2006/relationships/header" Target="header39.xml"/><Relationship Id="rId101" Type="http://schemas.openxmlformats.org/officeDocument/2006/relationships/footer" Target="footer61.xml"/><Relationship Id="rId102" Type="http://schemas.openxmlformats.org/officeDocument/2006/relationships/footer" Target="footer62.xml"/><Relationship Id="rId103" Type="http://schemas.openxmlformats.org/officeDocument/2006/relationships/footer" Target="footer63.xml"/><Relationship Id="rId104" Type="http://schemas.openxmlformats.org/officeDocument/2006/relationships/fontTable" Target="fontTable.xml"/><Relationship Id="rId105" Type="http://schemas.openxmlformats.org/officeDocument/2006/relationships/settings" Target="settings.xml"/><Relationship Id="rId10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