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footer22.xml" ContentType="application/vnd.openxmlformats-officedocument.wordprocessingml.footer+xml"/>
  <Override PartName="/word/styles.xml" ContentType="application/vnd.openxmlformats-officedocument.wordprocessingml.styles+xml"/>
  <Override PartName="/word/footer24.xml" ContentType="application/vnd.openxmlformats-officedocument.wordprocessingml.footer+xml"/>
  <Override PartName="/word/footer28.xml" ContentType="application/vnd.openxmlformats-officedocument.wordprocessingml.footer+xml"/>
  <Override PartName="/word/footer3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34.xml" ContentType="application/vnd.openxmlformats-officedocument.wordprocessingml.footer+xml"/>
  <Override PartName="/word/footer1.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footer37.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8.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27.xml" ContentType="application/vnd.openxmlformats-officedocument.wordprocessingml.footer+xml"/>
  <Override PartName="/word/footer39.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theme/theme1.xml" ContentType="application/vnd.openxmlformats-officedocument.theme+xml"/>
  <Override PartName="/word/footer33.xml" ContentType="application/vnd.openxmlformats-officedocument.wordprocessingml.footer+xml"/>
  <Override PartName="/word/footer9.xml" ContentType="application/vnd.openxmlformats-officedocument.wordprocessingml.footer+xml"/>
  <Override PartName="/word/footer32.xml" ContentType="application/vnd.openxmlformats-officedocument.wordprocessingml.footer+xml"/>
  <Override PartName="/word/footer8.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footer2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480"/>
        <w:jc w:val="center"/>
        <w:rPr>
          <w:b/>
          <w:bCs/>
          <w:sz w:val="24"/>
          <w:szCs w:val="24"/>
        </w:rPr>
      </w:pPr>
      <w:r>
        <w:rPr>
          <w:b/>
          <w:bCs/>
          <w:sz w:val="24"/>
          <w:szCs w:val="24"/>
        </w:rPr>
        <w:t>FACILITY AGREEMENT</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480"/>
        <w:jc w:val="center"/>
        <w:rPr>
          <w:b/>
          <w:bCs/>
          <w:sz w:val="24"/>
          <w:szCs w:val="24"/>
        </w:rPr>
      </w:pPr>
      <w:r>
        <w:rPr>
          <w:b/>
          <w:bCs/>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480"/>
        <w:jc w:val="center"/>
        <w:rPr>
          <w:b/>
          <w:bCs/>
          <w:sz w:val="24"/>
          <w:szCs w:val="24"/>
        </w:rPr>
      </w:pPr>
      <w:r>
        <w:rPr>
          <w:b/>
          <w:bCs/>
          <w:sz w:val="24"/>
          <w:szCs w:val="24"/>
        </w:rPr>
        <w:t>Dated as of November [17], 2000</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480"/>
        <w:jc w:val="center"/>
        <w:rPr>
          <w:b/>
          <w:bCs/>
          <w:sz w:val="24"/>
          <w:szCs w:val="24"/>
        </w:rPr>
      </w:pPr>
      <w:r>
        <w:rPr>
          <w:b/>
          <w:bCs/>
          <w:sz w:val="24"/>
          <w:szCs w:val="24"/>
        </w:rPr>
        <w:t>Among</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HAWAII II 125-0 TRUST</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as issuer of the Notes</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b/>
          <w:bCs/>
          <w:sz w:val="24"/>
          <w:szCs w:val="24"/>
        </w:rPr>
      </w:pPr>
      <w:r>
        <w:rPr>
          <w:b/>
          <w:bCs/>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the LENDERS,</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party hereto,</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b/>
          <w:bCs/>
          <w:sz w:val="24"/>
          <w:szCs w:val="24"/>
        </w:rPr>
      </w:pPr>
      <w:r>
        <w:rPr>
          <w:b/>
          <w:bCs/>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Canadian Imperial Bank of Commerce</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as Administrative Agent</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CIBC World Markets Corp.</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as Sole Lead Arranger and Bookrunner</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First Union National Bank and San Paolo IMI S.p.A.</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as Co-Arrangers</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BNP Paribas</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as Syndication Agent</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and</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Bayerische Landesbank</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as Documentation Agent</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480"/>
        <w:jc w:val="both"/>
        <w:rPr>
          <w:b/>
          <w:bCs/>
          <w:sz w:val="24"/>
          <w:szCs w:val="24"/>
        </w:rPr>
      </w:pPr>
      <w:r>
        <w:rPr>
          <w:b/>
          <w:bCs/>
          <w:sz w:val="24"/>
          <w:szCs w:val="24"/>
        </w:rPr>
        <w:tab/>
        <w:tab/>
        <w:tab/>
      </w:r>
      <w:r>
        <w:rPr>
          <w:b/>
          <w:bCs/>
          <w:sz w:val="24"/>
          <w:szCs w:val="24"/>
          <w:u w:val="single"/>
        </w:rPr>
        <w:t xml:space="preserve">                                                                                          </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[$385,000,000]</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b/>
          <w:bCs/>
          <w:sz w:val="24"/>
          <w:szCs w:val="24"/>
        </w:rPr>
      </w:pPr>
      <w:r>
        <w:rPr>
          <w:b/>
          <w:bCs/>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r>
      <w:r>
        <w:rPr>
          <w:sz w:val="24"/>
          <w:szCs w:val="24"/>
          <w:u w:val="single"/>
        </w:rPr>
        <w:t xml:space="preserve">                                                                                          </w:t>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1344" w:bottom="1400"/>
          <w:pgNumType w:fmt="decimal"/>
          <w:formProt w:val="false"/>
          <w:titlePg/>
          <w:textDirection w:val="lrTb"/>
        </w:sectPr>
      </w:pP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sectPr>
          <w:type w:val="continuous"/>
          <w:pgSz w:w="12240" w:h="15840"/>
          <w:pgMar w:left="1440" w:right="1440" w:gutter="0" w:header="1440" w:top="1496" w:footer="1344" w:bottom="1400"/>
          <w:formProt w:val="false"/>
          <w:titlePg/>
          <w:textDirection w:val="lrTb"/>
        </w:sectPr>
      </w:pPr>
    </w:p>
    <w:p>
      <w:pPr>
        <w:pStyle w:val="Normal"/>
        <w:widowContro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TABLE OF CONTENTS</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end"/>
        <w:rPr>
          <w:b/>
          <w:bCs/>
          <w:sz w:val="24"/>
          <w:szCs w:val="24"/>
          <w:u w:val="single"/>
        </w:rPr>
      </w:pPr>
      <w:r>
        <w:rPr>
          <w:b/>
          <w:bCs/>
          <w:sz w:val="24"/>
          <w:szCs w:val="24"/>
          <w:u w:val="single"/>
        </w:rPr>
        <w:t>Page</w:t>
      </w:r>
    </w:p>
    <w:sdt>
      <w:sdtPr>
        <w:docPartObj>
          <w:docPartGallery w:val="Table of Contents"/>
          <w:docPartUnique w:val="true"/>
        </w:docPartObj>
      </w:sdtPr>
      <w:sdtContent>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4"/>
              <w:szCs w:val="24"/>
            </w:rPr>
          </w:pPr>
          <w:r>
            <w:fldChar w:fldCharType="begin"/>
          </w:r>
          <w:r>
            <w:rPr>
              <w:sz w:val="24"/>
              <w:szCs w:val="24"/>
            </w:rPr>
            <w:instrText xml:space="preserve">TOC \f</w:instrText>
          </w:r>
          <w:r>
            <w:rPr>
              <w:sz w:val="24"/>
              <w:szCs w:val="24"/>
            </w:rPr>
            <w:fldChar w:fldCharType="separate"/>
          </w: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I - DEFINITIONS AND INTERPRETATION</w:t>
            <w:tab/>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   Definitions</w:t>
            <w:tab/>
            <w:t>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1.2   Interpretation</w:t>
            <w:tab/>
            <w:t>14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II - TRANCHES AND ADVANCES</w:t>
            <w:tab/>
            <w:t>15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2.1   Tranches</w:t>
            <w:tab/>
            <w:t>15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2.2   Advances</w:t>
            <w:tab/>
            <w:t>15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III - PARTICIPATION OF LENDERS</w:t>
            <w:tab/>
            <w:t>16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3.1   Funding Office</w:t>
            <w:tab/>
            <w:t>16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3.2   Rights and Obligations of Finance Parties</w:t>
            <w:tab/>
            <w:t>16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 xml:space="preserve">Section  3.3   Second Closing Date; Addition of Lenders and Increase in </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2160" w:end="0"/>
            <w:rPr>
              <w:sz w:val="24"/>
              <w:szCs w:val="24"/>
            </w:rPr>
          </w:pPr>
          <w:r>
            <w:rPr>
              <w:sz w:val="24"/>
              <w:szCs w:val="24"/>
            </w:rPr>
            <w:tab/>
            <w:tab/>
            <w:tab/>
            <w:t>Commitments</w:t>
            <w:tab/>
            <w:t>17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IV - CONDITIONS PRECEDENT</w:t>
            <w:tab/>
            <w:t>19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 xml:space="preserve">Section  4.1   Conditions Precedent to Lenders’ Obligations under this Agreement.  </w:t>
            <w:tab/>
            <w:t>19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 xml:space="preserve">Section  4.2   Conditions Precedent to Lenders’ Obligations to Make Advances.  </w:t>
            <w:tab/>
            <w:t>20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4.3   Conditions Precedent to Lenders’ Obligations to Make Advances with</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2160" w:end="0"/>
            <w:rPr>
              <w:sz w:val="24"/>
              <w:szCs w:val="24"/>
            </w:rPr>
          </w:pPr>
          <w:r>
            <w:rPr>
              <w:sz w:val="24"/>
              <w:szCs w:val="24"/>
            </w:rPr>
            <w:tab/>
            <w:tab/>
            <w:tab/>
            <w:t xml:space="preserve"> Respect to the Hawaii Tranches.  </w:t>
            <w:tab/>
            <w:t>22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4.4   Conditions Precedent to Lenders’ Obligations to Make Advances with</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2160" w:end="0"/>
            <w:rPr>
              <w:sz w:val="24"/>
              <w:szCs w:val="24"/>
            </w:rPr>
          </w:pPr>
          <w:r>
            <w:rPr>
              <w:sz w:val="24"/>
              <w:szCs w:val="24"/>
            </w:rPr>
            <w:tab/>
            <w:tab/>
            <w:tab/>
            <w:t xml:space="preserve"> Respect to the Hawaii I Tranches.  </w:t>
            <w:tab/>
            <w:t>24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 xml:space="preserve">Section  4.5   Commitments Not Drawn.  </w:t>
            <w:tab/>
            <w:t>26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V - DRAWDOWN CERTIFICATION AND DRAWDOWN PROCEDURES</w:t>
            <w:tab/>
            <w:t>26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5.1   Certification Procedure.</w:t>
            <w:tab/>
            <w:t>26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5.2   Drawdown of the Advances</w:t>
            <w:tab/>
            <w:t>28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5.3   Advances</w:t>
            <w:tab/>
            <w:t>29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5.4   Notice to Lenders of a Proposed Drawdown</w:t>
            <w:tab/>
            <w:t>29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VI - REPAYMENT OF ADVANCES</w:t>
            <w:tab/>
            <w:t>30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6.1   Obligation to Repay</w:t>
            <w:tab/>
            <w:t>30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6.2   Date of Repayment</w:t>
            <w:tab/>
            <w:t>30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6.3   Repayment Pursuant to Total Return Swap</w:t>
            <w:tab/>
            <w:t>30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VII - PREPAYMENT</w:t>
            <w:tab/>
            <w:t>30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7.1   Mandatory Prepayments</w:t>
            <w:tab/>
            <w:t>30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7.2   Optional Prepayments</w:t>
            <w:tab/>
            <w:t>30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7.3   General</w:t>
            <w:tab/>
            <w:t>31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VIII - INTEREST; INCREASED COSTS; TAXES</w:t>
            <w:tab/>
            <w:t>31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8.1   Interest Rates</w:t>
            <w:tab/>
            <w:t>31</w:t>
          </w:r>
        </w:p>
        <w:p>
          <w:pPr>
            <w:pStyle w:val="Normal"/>
            <w:keepNext w:val="true"/>
            <w:keepLines/>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 xml:space="preserve">Section  8.2   Duration of Interest Periods; Conversion and Continuation of </w:t>
          </w:r>
        </w:p>
        <w:p>
          <w:pPr>
            <w:pStyle w:val="Normal"/>
            <w:keepLines/>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2160" w:end="0"/>
            <w:rPr>
              <w:sz w:val="24"/>
              <w:szCs w:val="24"/>
            </w:rPr>
          </w:pPr>
          <w:r>
            <w:rPr>
              <w:sz w:val="24"/>
              <w:szCs w:val="24"/>
            </w:rPr>
            <w:tab/>
            <w:tab/>
            <w:tab/>
            <w:t>Advances</w:t>
            <w:tab/>
            <w:t>32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8.3   Interest on Unpaid Sums</w:t>
            <w:tab/>
            <w:t>33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8.4   Additional Interest on LIBOR Advances</w:t>
            <w:tab/>
            <w:t>33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8.5   Interest Rate Determination and Protection</w:t>
            <w:tab/>
            <w:t>34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8.6   Increased Costs; Capital Adequacy, Etc.</w:t>
            <w:tab/>
            <w:t>34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8.7   Illegality</w:t>
            <w:tab/>
            <w:t>35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8.8   Taxes</w:t>
            <w:tab/>
            <w:t>36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8.9   Replacement of Lender</w:t>
            <w:tab/>
            <w:t>37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8.10  Tax Characterization; Construction</w:t>
            <w:tab/>
            <w:t>38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IX - PAYMENTS</w:t>
            <w:tab/>
            <w:t>38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9.1   Place and Time</w:t>
            <w:tab/>
            <w:t>38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9.2   No Deductions</w:t>
            <w:tab/>
            <w:t>39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9.3   Payments on Business Days</w:t>
            <w:tab/>
            <w:t>39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9.4   Accounts</w:t>
            <w:tab/>
            <w:t>39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9.5   Currency</w:t>
            <w:tab/>
            <w:t>40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 - CERTIFICATES CONCLUSIVE</w:t>
            <w:tab/>
            <w:t>40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XI - REPRESENTATIONS AND WARRANTIES</w:t>
            <w:tab/>
            <w:t>40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11.1   Reliance and Effective Time</w:t>
            <w:tab/>
            <w:t>40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11.2   Organization</w:t>
            <w:tab/>
            <w:t>40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11.3   Power and Authority</w:t>
            <w:tab/>
            <w:t>41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11.4   No Contravention</w:t>
            <w:tab/>
            <w:t>41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11.5   Authorizations and Consents</w:t>
            <w:tab/>
            <w:t>41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11.6   Enforceability; Ranking</w:t>
            <w:tab/>
            <w:t>41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11.7   Litigation</w:t>
            <w:tab/>
            <w:t>42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11.8   No Material Adverse Effect</w:t>
            <w:tab/>
            <w:t>42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11.9   Liens</w:t>
            <w:tab/>
            <w:t>42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11.10   No Defaults</w:t>
            <w:tab/>
            <w:t>42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11.11   Compliance with Laws</w:t>
            <w:tab/>
            <w:t>42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11.12   Business:  Ownership of Assets for Business Operations</w:t>
            <w:tab/>
            <w:t>42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11.13   Tax Liabilities</w:t>
            <w:tab/>
            <w:t>43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11.14   Solvency</w:t>
            <w:tab/>
            <w:t>43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11.15   Indebtedness</w:t>
            <w:tab/>
            <w:t>43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11.16   Margin Stock</w:t>
            <w:tab/>
            <w:t>43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11.17   Investment Company Act and PUHCA</w:t>
            <w:tab/>
            <w:t>43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XII - COVENANTS</w:t>
            <w:tab/>
            <w:t>43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12.1   Duration</w:t>
            <w:tab/>
            <w:t>43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12.2   General Covenants</w:t>
            <w:tab/>
            <w:t>44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12.3   Information Covenants</w:t>
            <w:tab/>
            <w:t>46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12.4   Separateness</w:t>
            <w:tab/>
            <w:t>46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12.5   Exercise of Put Options; Demand Note</w:t>
            <w:tab/>
            <w:t>47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XIII - EVENTS OF DEFAULT</w:t>
            <w:tab/>
            <w:t>47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13.1   List of Events</w:t>
            <w:tab/>
            <w:t>47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13.2   Cancellation and Repayment</w:t>
            <w:tab/>
            <w:t>49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XIV - THE AGENT AND THE OTHER FINANCE PARTIES</w:t>
            <w:tab/>
            <w:t>49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14.1   Appointment and Duties of the Agent</w:t>
            <w:tab/>
            <w:t>49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14.2   Agent’s Duties</w:t>
            <w:tab/>
            <w:t>50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14.3   Agent’s Rights</w:t>
            <w:tab/>
            <w:t>50</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 xml:space="preserve">Section  14.4   Exoneration of Agent, Syndication Agent, Documentation Agent, </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2160" w:end="0"/>
            <w:rPr>
              <w:sz w:val="24"/>
              <w:szCs w:val="24"/>
            </w:rPr>
          </w:pPr>
          <w:r>
            <w:rPr>
              <w:sz w:val="24"/>
              <w:szCs w:val="24"/>
            </w:rPr>
            <w:tab/>
            <w:tab/>
            <w:tab/>
            <w:t>Arranger and Co-Arrangers</w:t>
            <w:tab/>
            <w:t>51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 xml:space="preserve">Section  14.5   The Agent, the Co-Arrangers, the Syndication Agent, the Arranger </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2160" w:end="0"/>
            <w:rPr>
              <w:sz w:val="24"/>
              <w:szCs w:val="24"/>
            </w:rPr>
          </w:pPr>
          <w:r>
            <w:rPr>
              <w:sz w:val="24"/>
              <w:szCs w:val="24"/>
            </w:rPr>
            <w:tab/>
            <w:tab/>
            <w:tab/>
            <w:t>and the Documentation Agent Individually</w:t>
            <w:tab/>
            <w:t>52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14.6   Communications and Information</w:t>
            <w:tab/>
            <w:t>52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 xml:space="preserve">Section  14.7   Non-Reliance on Agent, Co-Arrangers, Syndication Agent, Arranger </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2160" w:end="0"/>
            <w:rPr>
              <w:sz w:val="24"/>
              <w:szCs w:val="24"/>
            </w:rPr>
          </w:pPr>
          <w:r>
            <w:rPr>
              <w:sz w:val="24"/>
              <w:szCs w:val="24"/>
            </w:rPr>
            <w:tab/>
            <w:tab/>
            <w:tab/>
            <w:t>or Documentation Agent</w:t>
            <w:tab/>
            <w:t>53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 xml:space="preserve">Section  14.8   Indemnity to Agent, Syndication Agent, Arranger, Co-Arrangers </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2160" w:end="0"/>
            <w:rPr>
              <w:sz w:val="24"/>
              <w:szCs w:val="24"/>
            </w:rPr>
          </w:pPr>
          <w:r>
            <w:rPr>
              <w:sz w:val="24"/>
              <w:szCs w:val="24"/>
            </w:rPr>
            <w:tab/>
            <w:tab/>
            <w:tab/>
            <w:t>and Documentation Agent</w:t>
            <w:tab/>
            <w:t>53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14.9   Termination and Resignation of Agency; Appointment of Successor</w:t>
            <w:tab/>
            <w:t>54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14.10   Payments to Finance Parties</w:t>
            <w:tab/>
            <w:t>55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14.11   Change of Office of Agent or Arranger</w:t>
            <w:tab/>
            <w:t>55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14.12   The Co-Arrangers, Syndication Agent, Arranger and Documentation</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2160" w:end="0"/>
            <w:rPr>
              <w:sz w:val="24"/>
              <w:szCs w:val="24"/>
            </w:rPr>
          </w:pPr>
          <w:r>
            <w:rPr>
              <w:sz w:val="24"/>
              <w:szCs w:val="24"/>
            </w:rPr>
            <w:tab/>
            <w:tab/>
            <w:tab/>
            <w:t xml:space="preserve"> Agent</w:t>
            <w:tab/>
            <w:t>55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XV - EVIDENCE OF INDEBTEDNESS</w:t>
            <w:tab/>
            <w:t>55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XVI - APPLICATION OF MONEYS</w:t>
            <w:tab/>
            <w:t>55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16.1   Priority of Payments</w:t>
            <w:tab/>
            <w:t>55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XVII - PRO RATA PAYMENTS</w:t>
            <w:tab/>
            <w:t>56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17.1   Recoveries by Lenders</w:t>
            <w:tab/>
            <w:t>56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17.2   Notification to Agent of Recoveries to Lender</w:t>
            <w:tab/>
            <w:t>56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17.3   Lender to Supply Agent with Specified Information</w:t>
            <w:tab/>
            <w:t>56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17.4   Agreement to Use Reasonable Efforts</w:t>
            <w:tab/>
            <w:t>57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17.5   No Lien Against Lender</w:t>
            <w:tab/>
            <w:t>57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XVIII - SET-OFF</w:t>
            <w:tab/>
            <w:t>57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XIX - NOTICES</w:t>
            <w:tab/>
            <w:t>57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19.1   Addresses and Method of Notice</w:t>
            <w:tab/>
            <w:t>57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19.2   Timing of Notice</w:t>
            <w:tab/>
            <w:t>57</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19.3   Proving Service of Notice</w:t>
            <w:tab/>
            <w:t>58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XX - NO IMPLIED WAIVERS</w:t>
            <w:tab/>
            <w:t>58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20.1   No Waiver</w:t>
            <w:tab/>
            <w:t>58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20.2   Rights and Remedies Cumulative</w:t>
            <w:tab/>
            <w:t>58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XXI - INVALIDITY OF ANY PROVISION</w:t>
            <w:tab/>
            <w:t>58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XXII - CONFIDENTIALITY</w:t>
            <w:tab/>
            <w:t>58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22.1   Confidential Information</w:t>
            <w:tab/>
            <w:t>58</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22.2   Public Announcements</w:t>
            <w:tab/>
            <w:t>59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XXIII - CHANGES TO PARTIES</w:t>
            <w:tab/>
            <w:t>59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23.1   Assignment by the Trust</w:t>
            <w:tab/>
            <w:t>59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23.2   Transfers and Assignment of Notes</w:t>
            <w:tab/>
            <w:t>59</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XXIV - LENDER DECISIONS</w:t>
            <w:tab/>
            <w:t>62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24.1   Lender Decisions</w:t>
            <w:tab/>
            <w:t>62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24.2   Other Unanimous Actions</w:t>
            <w:tab/>
            <w:t>62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XXV - INDEMNITIES</w:t>
            <w:tab/>
            <w:t>63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Section  25.1   General Indemnity and Breakage Costs</w:t>
            <w:tab/>
            <w:t>63</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XXVI - GOVERNING LAW</w:t>
            <w:tab/>
            <w:t>64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XXVII - COUNTERPARTS</w:t>
            <w:tab/>
            <w:t>64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720" w:start="720" w:end="0"/>
            <w:rPr>
              <w:sz w:val="24"/>
              <w:szCs w:val="24"/>
            </w:rPr>
          </w:pPr>
          <w:r>
            <w:rPr>
              <w:sz w:val="24"/>
              <w:szCs w:val="24"/>
            </w:rPr>
            <w:t>ARTICLE XXVIII - THE TRUST INSTITUTION</w:t>
            <w:tab/>
            <w:t>64</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sz w:val="24"/>
              <w:szCs w:val="24"/>
            </w:rPr>
          </w:pPr>
          <w:r>
            <w:rPr>
              <w:sz w:val="24"/>
              <w:szCs w:val="24"/>
            </w:rPr>
            <w:t>Part</w:t>
            <w:tab/>
            <w:t>2</w:t>
          </w:r>
          <w:r>
            <w:rPr>
              <w:sz w:val="24"/>
              <w:szCs w:val="24"/>
            </w:rPr>
            <w:fldChar w:fldCharType="end"/>
          </w:r>
        </w:p>
      </w:sdtContent>
    </w:sdt>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z w:val="24"/>
          <w:szCs w:val="24"/>
        </w:rPr>
      </w:pPr>
      <w:r>
        <w:rPr>
          <w:b/>
          <w:bCs/>
          <w:sz w:val="24"/>
          <w:szCs w:val="24"/>
          <w:u w:val="single"/>
        </w:rPr>
        <w:t>SCHEDULES AND EXHIBITS</w:t>
      </w:r>
      <w:r>
        <w:rPr>
          <w:b/>
          <w:bCs/>
          <w:sz w:val="24"/>
          <w:szCs w:val="24"/>
        </w:rPr>
        <w:t>:</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SCHEDULE 1</w:t>
        <w:tab/>
        <w:t>-</w:t>
        <w:tab/>
        <w:t xml:space="preserve">Commitments and Funding Offices </w:t>
        <w:tab/>
        <w:t>S1-1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EXHIBIT A</w:t>
        <w:tab/>
        <w:t>-</w:t>
        <w:tab/>
        <w:t xml:space="preserve">Form of Drawdown Request </w:t>
        <w:tab/>
        <w:t>Ex A-1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rPr>
          <w:sz w:val="24"/>
          <w:szCs w:val="24"/>
        </w:rPr>
      </w:pPr>
      <w:r>
        <w:rPr>
          <w:sz w:val="24"/>
          <w:szCs w:val="24"/>
        </w:rPr>
        <w:t>EXHIBIT B</w:t>
        <w:tab/>
        <w:t>-</w:t>
        <w:tab/>
        <w:t xml:space="preserve">Form of Note </w:t>
        <w:tab/>
        <w:t>Ex B-1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rPr>
          <w:sz w:val="24"/>
          <w:szCs w:val="24"/>
        </w:rPr>
      </w:pPr>
      <w:r>
        <w:rPr>
          <w:sz w:val="24"/>
          <w:szCs w:val="24"/>
        </w:rPr>
        <w:t>EXHIBIT C</w:t>
        <w:tab/>
        <w:t>-</w:t>
        <w:tab/>
        <w:t xml:space="preserve">Form of Instrument of Assignment </w:t>
        <w:tab/>
        <w:t>Ex C-1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080" w:start="1080" w:end="0"/>
        <w:rPr>
          <w:sz w:val="24"/>
          <w:szCs w:val="24"/>
        </w:rPr>
      </w:pPr>
      <w:r>
        <w:rPr>
          <w:sz w:val="24"/>
          <w:szCs w:val="24"/>
        </w:rPr>
        <w:tab/>
        <w:tab/>
        <w:tab/>
        <w:t>-</w:t>
        <w:tab/>
        <w:t xml:space="preserve">Schedule 1 to Instrument of Assignment </w:t>
        <w:tab/>
        <w:t>Ex C-5</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080" w:start="1080" w:end="0"/>
        <w:rPr>
          <w:sz w:val="24"/>
          <w:szCs w:val="24"/>
        </w:rPr>
      </w:pPr>
      <w:r>
        <w:rPr>
          <w:sz w:val="24"/>
          <w:szCs w:val="24"/>
        </w:rPr>
        <w:tab/>
        <w:tab/>
        <w:tab/>
        <w:t>-</w:t>
        <w:tab/>
        <w:t xml:space="preserve">Schedule 2 to Instrument of Assignment </w:t>
        <w:tab/>
        <w:t>Ex C-6</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rPr>
          <w:sz w:val="24"/>
          <w:szCs w:val="24"/>
        </w:rPr>
      </w:pPr>
      <w:r>
        <w:rPr>
          <w:sz w:val="24"/>
          <w:szCs w:val="24"/>
        </w:rPr>
        <w:t>EXHIBIT D</w:t>
        <w:tab/>
        <w:t>-</w:t>
        <w:tab/>
        <w:t xml:space="preserve">Payment Instructions </w:t>
        <w:tab/>
        <w:t>Ex D-1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rPr>
          <w:sz w:val="24"/>
          <w:szCs w:val="24"/>
        </w:rPr>
      </w:pPr>
      <w:r>
        <w:rPr>
          <w:sz w:val="24"/>
          <w:szCs w:val="24"/>
        </w:rPr>
        <w:t>EXHIBIT E</w:t>
        <w:tab/>
        <w:t>-</w:t>
        <w:tab/>
        <w:t>Part A - Methodology for Asset Valuation</w:t>
        <w:tab/>
        <w:t>Ex. E-1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080" w:start="1080" w:end="0"/>
        <w:rPr>
          <w:sz w:val="24"/>
          <w:szCs w:val="24"/>
        </w:rPr>
      </w:pPr>
      <w:r>
        <w:rPr>
          <w:sz w:val="24"/>
          <w:szCs w:val="24"/>
        </w:rPr>
        <w:tab/>
        <w:tab/>
        <w:tab/>
        <w:t>-</w:t>
        <w:tab/>
        <w:t xml:space="preserve">Part B - Model Structure </w:t>
        <w:tab/>
        <w:t>Ex. E-2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rPr>
          <w:sz w:val="24"/>
          <w:szCs w:val="24"/>
        </w:rPr>
      </w:pPr>
      <w:r>
        <w:rPr>
          <w:sz w:val="24"/>
          <w:szCs w:val="24"/>
        </w:rPr>
        <w:t>EXHIBIT F</w:t>
        <w:tab/>
        <w:t xml:space="preserve">- </w:t>
        <w:tab/>
        <w:t>Form of Independent Auctioneer Letter</w:t>
        <w:tab/>
        <w:t>Ex. F-1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EXHIBIT G1</w:t>
        <w:tab/>
        <w:t>-</w:t>
        <w:tab/>
        <w:t>Form of Swap Confirmation</w:t>
        <w:tab/>
        <w:t>Ex. G1-1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 xml:space="preserve">EXHIBIT G2 </w:t>
        <w:tab/>
        <w:t>-</w:t>
        <w:tab/>
        <w:t>Form of Swap Schedule (Permitted Swap Party)</w:t>
        <w:tab/>
        <w:t>Ex. G2-1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 xml:space="preserve">EXHIBIT G3 </w:t>
        <w:tab/>
        <w:t>-</w:t>
        <w:tab/>
        <w:t>Form of Swap Schedule (Enron)</w:t>
        <w:tab/>
        <w:t>Ex. G3-1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 xml:space="preserve">EXHIBIT G4 </w:t>
        <w:tab/>
        <w:t>-</w:t>
        <w:tab/>
        <w:t>Form of Enron Guaranty</w:t>
        <w:tab/>
        <w:t>Ex. G4-1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rPr>
          <w:sz w:val="24"/>
          <w:szCs w:val="24"/>
        </w:rPr>
      </w:pPr>
      <w:r>
        <w:rPr>
          <w:sz w:val="24"/>
          <w:szCs w:val="24"/>
        </w:rPr>
        <w:t>EXHIBIT H</w:t>
        <w:tab/>
        <w:t>-</w:t>
        <w:tab/>
        <w:t>Form of Transfer and Auction Agreement</w:t>
        <w:tab/>
        <w:t>Ex. H-1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rPr>
          <w:sz w:val="24"/>
          <w:szCs w:val="24"/>
        </w:rPr>
      </w:pPr>
      <w:r>
        <w:rPr>
          <w:sz w:val="24"/>
          <w:szCs w:val="24"/>
        </w:rPr>
        <w:t>EXHIBIT I</w:t>
        <w:tab/>
        <w:t>-</w:t>
        <w:tab/>
        <w:t>Part A - Form of Asset LLC Agreement</w:t>
        <w:tab/>
        <w:t>Ex. I-1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ab/>
        <w:tab/>
        <w:tab/>
        <w:t>-</w:t>
        <w:tab/>
        <w:t>Part B  - Form of Transferor LLC Agreement</w:t>
        <w:tab/>
        <w:t>Ex. I-2</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rPr>
          <w:sz w:val="24"/>
          <w:szCs w:val="24"/>
        </w:rPr>
      </w:pPr>
      <w:r>
        <w:rPr>
          <w:sz w:val="24"/>
          <w:szCs w:val="24"/>
        </w:rPr>
        <w:t xml:space="preserve">EXHIBIT J </w:t>
        <w:tab/>
        <w:t xml:space="preserve">- </w:t>
        <w:tab/>
        <w:t>Form of Legal Opinions</w:t>
        <w:tab/>
        <w:t>Ex. J-1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end="0"/>
        <w:rPr>
          <w:sz w:val="24"/>
          <w:szCs w:val="24"/>
        </w:rPr>
      </w:pPr>
      <w:r>
        <w:rPr>
          <w:sz w:val="24"/>
          <w:szCs w:val="24"/>
        </w:rPr>
        <w:t>EXHIBIT Kl</w:t>
        <w:tab/>
        <w:t>-</w:t>
        <w:tab/>
        <w:t>Form of Asset Notice</w:t>
        <w:tab/>
        <w:t>Ex. K1-1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 xml:space="preserve">EXHIBIT K2   -   </w:t>
        <w:tab/>
        <w:t xml:space="preserve">Form of Asset Summary </w:t>
        <w:tab/>
        <w:t>Ex. K2-1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EXHIBIT L1</w:t>
        <w:tab/>
        <w:t>-</w:t>
        <w:tab/>
        <w:t>Form of Additional Lender Certificate</w:t>
        <w:tab/>
        <w:t>Ex. L1-1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EXHIBIT L2</w:t>
        <w:tab/>
        <w:t>-</w:t>
        <w:tab/>
        <w:t>Form of Increased Commitment Certificate</w:t>
        <w:tab/>
        <w:t>Ex. L2-1</w:t>
      </w:r>
    </w:p>
    <w:p>
      <w:pPr>
        <w:pStyle w:val="Normal"/>
        <w:widowControl/>
        <w:tabs>
          <w:tab w:val="left" w:pos="-1080" w:leader="none"/>
          <w:tab w:val="left" w:pos="-720" w:leader="none"/>
          <w:tab w:val="left" w:pos="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2160" w:start="2160" w:end="0"/>
        <w:rPr>
          <w:sz w:val="24"/>
          <w:szCs w:val="24"/>
        </w:rPr>
      </w:pPr>
      <w:r>
        <w:rPr>
          <w:sz w:val="24"/>
          <w:szCs w:val="24"/>
        </w:rPr>
        <w:t xml:space="preserve">EXHIBIT M    -     </w:t>
        <w:tab/>
        <w:t>Form of Omnibus Amendment</w:t>
        <w:tab/>
        <w:t>Ex. M-1</w:t>
      </w:r>
      <w:r>
        <w:br w:type="page"/>
      </w:r>
    </w:p>
    <w:p>
      <w:pPr>
        <w:pStyle w:val="Normal"/>
        <w:widowControl/>
        <w:numPr>
          <w:ilvl w:val="0"/>
          <w:numId w:val="0"/>
        </w:numPr>
        <w:rPr>
          <w:sz w:val="24"/>
          <w:szCs w:val="24"/>
        </w:rPr>
      </w:pPr>
      <w:r>
        <w:rPr>
          <w:sz w:val="24"/>
          <w:szCs w:val="24"/>
        </w:rPr>
      </w:r>
    </w:p>
    <w:p>
      <w:pPr>
        <w:sectPr>
          <w:footerReference w:type="default" r:id="rId6"/>
          <w:type w:val="nextPage"/>
          <w:pgSz w:w="12240" w:h="15840"/>
          <w:pgMar w:left="1440" w:right="1440" w:gutter="0" w:header="0" w:top="1440" w:footer="1344" w:bottom="1400"/>
          <w:pgNumType w:start="1" w:fmt="lowerRoman"/>
          <w:formProt w:val="false"/>
          <w:textDirection w:val="lrTb"/>
        </w:sectPr>
      </w:pPr>
    </w:p>
    <w:p>
      <w:pPr>
        <w:pStyle w:val="Normal"/>
        <w:widowControl/>
        <w:jc w:val="center"/>
        <w:rPr>
          <w:sz w:val="24"/>
          <w:szCs w:val="24"/>
        </w:rPr>
      </w:pPr>
      <w:r>
        <w:rPr>
          <w:b/>
          <w:bCs/>
          <w:sz w:val="24"/>
          <w:szCs w:val="24"/>
        </w:rPr>
        <w:t>FACILITY AGREEMENT</w:t>
      </w:r>
    </w:p>
    <w:p>
      <w:pPr>
        <w:pStyle w:val="Normal"/>
        <w:widowControl/>
        <w:rPr>
          <w:sz w:val="24"/>
          <w:szCs w:val="24"/>
        </w:rPr>
      </w:pPr>
      <w:r>
        <w:rPr>
          <w:sz w:val="24"/>
          <w:szCs w:val="24"/>
        </w:rPr>
      </w:r>
    </w:p>
    <w:p>
      <w:pPr>
        <w:pStyle w:val="Normal"/>
        <w:widowControl/>
        <w:rPr/>
      </w:pPr>
      <w:r>
        <w:rPr>
          <w:sz w:val="24"/>
          <w:szCs w:val="24"/>
        </w:rPr>
        <w:tab/>
        <w:t xml:space="preserve">This </w:t>
      </w:r>
      <w:r>
        <w:rPr>
          <w:b/>
          <w:bCs/>
          <w:sz w:val="24"/>
          <w:szCs w:val="24"/>
        </w:rPr>
        <w:t>FACILITY AGREEMENT</w:t>
      </w:r>
      <w:r>
        <w:rPr>
          <w:sz w:val="24"/>
          <w:szCs w:val="24"/>
        </w:rPr>
        <w:t xml:space="preserve"> (this “</w:t>
      </w:r>
      <w:r>
        <w:rPr>
          <w:b/>
          <w:bCs/>
          <w:sz w:val="24"/>
          <w:szCs w:val="24"/>
          <w:u w:val="single"/>
        </w:rPr>
        <w:t>Agreement</w:t>
      </w:r>
      <w:r>
        <w:rPr>
          <w:sz w:val="24"/>
          <w:szCs w:val="24"/>
        </w:rPr>
        <w:t xml:space="preserve">”), dated as of November </w:t>
      </w:r>
      <w:r>
        <w:rPr>
          <w:b/>
          <w:bCs/>
          <w:sz w:val="24"/>
          <w:szCs w:val="24"/>
        </w:rPr>
        <w:t>[</w:t>
      </w:r>
      <w:r>
        <w:rPr>
          <w:sz w:val="24"/>
          <w:szCs w:val="24"/>
        </w:rPr>
        <w:t>17</w:t>
      </w:r>
      <w:r>
        <w:rPr>
          <w:b/>
          <w:bCs/>
          <w:sz w:val="24"/>
          <w:szCs w:val="24"/>
        </w:rPr>
        <w:t>]</w:t>
      </w:r>
      <w:r>
        <w:rPr>
          <w:sz w:val="24"/>
          <w:szCs w:val="24"/>
        </w:rPr>
        <w:t>, 2000, is entered into by and between Hawaii II 125-0 Trust, a Delaware business trust whose principal place of business is at Rodney Square North, 1100 North Market Street, Wilmington, Delaware 19890 (the “</w:t>
      </w:r>
      <w:r>
        <w:rPr>
          <w:b/>
          <w:bCs/>
          <w:sz w:val="24"/>
          <w:szCs w:val="24"/>
          <w:u w:val="single"/>
        </w:rPr>
        <w:t>Trust</w:t>
      </w:r>
      <w:r>
        <w:rPr>
          <w:sz w:val="24"/>
          <w:szCs w:val="24"/>
        </w:rPr>
        <w:t>”); the lenders listed in Schedule 1 hereto and each of the lenders which, pursuant to Section 23.2, shall become a “Lender” hereunder (individually a “</w:t>
      </w:r>
      <w:r>
        <w:rPr>
          <w:b/>
          <w:bCs/>
          <w:sz w:val="24"/>
          <w:szCs w:val="24"/>
          <w:u w:val="single"/>
        </w:rPr>
        <w:t>Lender</w:t>
      </w:r>
      <w:r>
        <w:rPr>
          <w:sz w:val="24"/>
          <w:szCs w:val="24"/>
        </w:rPr>
        <w:t>” and collectively, the “</w:t>
      </w:r>
      <w:r>
        <w:rPr>
          <w:b/>
          <w:bCs/>
          <w:sz w:val="24"/>
          <w:szCs w:val="24"/>
          <w:u w:val="single"/>
        </w:rPr>
        <w:t>Lenders</w:t>
      </w:r>
      <w:r>
        <w:rPr>
          <w:sz w:val="24"/>
          <w:szCs w:val="24"/>
        </w:rPr>
        <w:t>”); Canadian Imperial Bank of Commerce, as administrative agent for the Lenders (in such capacity, together with its successors and assigns in such capacity, the “</w:t>
      </w:r>
      <w:r>
        <w:rPr>
          <w:b/>
          <w:bCs/>
          <w:sz w:val="24"/>
          <w:szCs w:val="24"/>
          <w:u w:val="single"/>
        </w:rPr>
        <w:t>Agent</w:t>
      </w:r>
      <w:r>
        <w:rPr>
          <w:sz w:val="24"/>
          <w:szCs w:val="24"/>
        </w:rPr>
        <w:t>”); CIBC World Markets Corp.,as sole lead bookrunner and arranger (in such capacity, together with its successors and assigns in such capacity, the “</w:t>
      </w:r>
      <w:r>
        <w:rPr>
          <w:b/>
          <w:bCs/>
          <w:sz w:val="24"/>
          <w:szCs w:val="24"/>
          <w:u w:val="single"/>
        </w:rPr>
        <w:t>Arranger</w:t>
      </w:r>
      <w:r>
        <w:rPr>
          <w:sz w:val="24"/>
          <w:szCs w:val="24"/>
        </w:rPr>
        <w:t>”);  First Union National Bank and San Paolo IMI S.p.A., as co-arrangers (in such capacity, together with their respective successors and assigns in such capacity, the “</w:t>
      </w:r>
      <w:r>
        <w:rPr>
          <w:b/>
          <w:bCs/>
          <w:sz w:val="24"/>
          <w:szCs w:val="24"/>
          <w:u w:val="single"/>
        </w:rPr>
        <w:t>Co-Arrangers</w:t>
      </w:r>
      <w:r>
        <w:rPr>
          <w:sz w:val="24"/>
          <w:szCs w:val="24"/>
        </w:rPr>
        <w:t>”); BNP Paribas, as syndication agent (in such capacity, together with its successors and assigns in such capacity, the “</w:t>
      </w:r>
      <w:r>
        <w:rPr>
          <w:b/>
          <w:bCs/>
          <w:sz w:val="24"/>
          <w:szCs w:val="24"/>
          <w:u w:val="single"/>
        </w:rPr>
        <w:t>Syndication Agent</w:t>
      </w:r>
      <w:r>
        <w:rPr>
          <w:sz w:val="24"/>
          <w:szCs w:val="24"/>
        </w:rPr>
        <w:t>”); and Bayerische Landesbank, as Documentation Agent (in such capacity, together with its respective successors and assigns in such capacity, the “</w:t>
      </w:r>
      <w:r>
        <w:rPr>
          <w:b/>
          <w:bCs/>
          <w:sz w:val="24"/>
          <w:szCs w:val="24"/>
          <w:u w:val="single"/>
        </w:rPr>
        <w:t>Documentation Agent</w:t>
      </w:r>
      <w:r>
        <w:rPr>
          <w:sz w:val="24"/>
          <w:szCs w:val="24"/>
        </w:rPr>
        <w:t>”).</w:t>
      </w:r>
    </w:p>
    <w:p>
      <w:pPr>
        <w:pStyle w:val="Normal"/>
        <w:widowControl/>
        <w:rPr>
          <w:sz w:val="24"/>
          <w:szCs w:val="24"/>
        </w:rPr>
      </w:pPr>
      <w:r>
        <w:rPr>
          <w:sz w:val="24"/>
          <w:szCs w:val="24"/>
        </w:rPr>
      </w:r>
    </w:p>
    <w:p>
      <w:pPr>
        <w:pStyle w:val="Normal"/>
        <w:widowControl/>
        <w:jc w:val="center"/>
        <w:rPr>
          <w:sz w:val="24"/>
          <w:szCs w:val="24"/>
        </w:rPr>
      </w:pPr>
      <w:r>
        <w:rPr>
          <w:b/>
          <w:bCs/>
          <w:sz w:val="24"/>
          <w:szCs w:val="24"/>
          <w:u w:val="single"/>
        </w:rPr>
        <w:t>RECITALS</w:t>
      </w:r>
    </w:p>
    <w:p>
      <w:pPr>
        <w:pStyle w:val="Normal"/>
        <w:widowControl/>
        <w:rPr>
          <w:sz w:val="24"/>
          <w:szCs w:val="24"/>
        </w:rPr>
      </w:pPr>
      <w:r>
        <w:rPr>
          <w:sz w:val="24"/>
          <w:szCs w:val="24"/>
        </w:rPr>
      </w:r>
    </w:p>
    <w:p>
      <w:pPr>
        <w:pStyle w:val="Normal"/>
        <w:widowControl/>
        <w:rPr>
          <w:sz w:val="24"/>
          <w:szCs w:val="24"/>
        </w:rPr>
      </w:pPr>
      <w:r>
        <w:rPr>
          <w:sz w:val="24"/>
          <w:szCs w:val="24"/>
        </w:rPr>
        <w:tab/>
        <w:t>WHEREAS, the Trust wishes to obtain funds from the Lenders in order to acquire Class B Interests from time to time; and</w:t>
      </w:r>
    </w:p>
    <w:p>
      <w:pPr>
        <w:pStyle w:val="Normal"/>
        <w:widowControl/>
        <w:rPr>
          <w:sz w:val="24"/>
          <w:szCs w:val="24"/>
        </w:rPr>
      </w:pPr>
      <w:r>
        <w:rPr>
          <w:sz w:val="24"/>
          <w:szCs w:val="24"/>
        </w:rPr>
      </w:r>
    </w:p>
    <w:p>
      <w:pPr>
        <w:pStyle w:val="Normal"/>
        <w:widowControl/>
        <w:rPr>
          <w:sz w:val="24"/>
          <w:szCs w:val="24"/>
        </w:rPr>
      </w:pPr>
      <w:r>
        <w:rPr>
          <w:sz w:val="24"/>
          <w:szCs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widowControl/>
        <w:rPr>
          <w:sz w:val="24"/>
          <w:szCs w:val="24"/>
        </w:rPr>
      </w:pPr>
      <w:r>
        <w:rPr>
          <w:sz w:val="24"/>
          <w:szCs w:val="24"/>
        </w:rPr>
      </w:r>
    </w:p>
    <w:p>
      <w:pPr>
        <w:pStyle w:val="Normal"/>
        <w:widowControl/>
        <w:rPr>
          <w:sz w:val="24"/>
          <w:szCs w:val="24"/>
        </w:rPr>
      </w:pPr>
      <w:r>
        <w:rPr>
          <w:sz w:val="24"/>
          <w:szCs w:val="24"/>
        </w:rPr>
        <w:tab/>
        <w:t>NOW, THEREFORE, it is agreed as follows:</w:t>
      </w:r>
    </w:p>
    <w:p>
      <w:pPr>
        <w:pStyle w:val="Normal"/>
        <w:keepNext w:val="true"/>
        <w:widowControl/>
        <w:rPr>
          <w:sz w:val="24"/>
          <w:szCs w:val="24"/>
        </w:rPr>
      </w:pPr>
      <w:r>
        <w:rPr>
          <w:sz w:val="24"/>
          <w:szCs w:val="24"/>
        </w:rPr>
      </w:r>
    </w:p>
    <w:p>
      <w:pPr>
        <w:pStyle w:val="ARTICLE"/>
        <w:keepNext w:val="true"/>
        <w:keepLines/>
        <w:widowControl/>
        <w:numPr>
          <w:ilvl w:val="0"/>
          <w:numId w:val="1"/>
        </w:numPr>
        <w:tabs>
          <w:tab w:val="clear" w:pos="720"/>
          <w:tab w:val="left" w:pos="0" w:leader="none"/>
        </w:tabs>
        <w:ind w:hanging="0" w:start="1440"/>
        <w:rPr/>
      </w:pPr>
      <w:r>
        <w:rPr>
          <w:b/>
          <w:bCs/>
        </w:rPr>
        <w:t>ARTICLE DEFINITIONS AND INTERPRETATION</w:t>
      </w:r>
      <w:ins w:id="2" w:author="foobar" w:date="2000-11-09T12:47:00Z">
        <w:r>
          <w:fldChar w:fldCharType="begin"/>
        </w:r>
        <w:r>
          <w:rPr/>
          <w:instrText xml:space="preserve"> TC "ARTICLE DEFINITIONS AND INTERPRETATION" \l 1 </w:instrText>
        </w:r>
      </w:ins>
      <w:r>
        <w:rPr/>
        <w:fldChar w:fldCharType="separate"/>
      </w:r>
      <w:ins w:id="3" w:author="foobar" w:date="2000-11-09T12:47:00Z">
        <w:r>
          <w:rPr/>
        </w:r>
      </w:ins>
      <w:r>
        <w:rPr/>
        <w:fldChar w:fldCharType="end"/>
      </w:r>
    </w:p>
    <w:p>
      <w:pPr>
        <w:pStyle w:val="ARTICLE"/>
        <w:keepNext w:val="true"/>
        <w:keepLines/>
        <w:widowControl/>
        <w:ind w:start="0" w:end="0"/>
        <w:jc w:val="both"/>
        <w:rPr/>
      </w:pPr>
      <w:r>
        <w:rPr/>
      </w:r>
    </w:p>
    <w:p>
      <w:pPr>
        <w:pStyle w:val="Normal"/>
        <w:keepNext w:val="true"/>
        <w:keepLines/>
        <w:widowControl/>
        <w:numPr>
          <w:ilvl w:val="1"/>
          <w:numId w:val="2"/>
        </w:numPr>
        <w:tabs>
          <w:tab w:val="clear" w:pos="720"/>
          <w:tab w:val="left" w:pos="0" w:leader="none"/>
        </w:tabs>
        <w:ind w:hanging="0" w:start="0"/>
        <w:jc w:val="both"/>
        <w:rPr/>
      </w:pPr>
      <w:r>
        <w:rPr>
          <w:rStyle w:val="SectionHead"/>
          <w:sz w:val="24"/>
          <w:szCs w:val="24"/>
        </w:rPr>
        <w:t xml:space="preserve">Section     Definitions </w:t>
      </w:r>
      <w:ins w:id="4" w:author="foobar" w:date="2000-11-09T12:47:00Z">
        <w:r>
          <w:fldChar w:fldCharType="begin"/>
        </w:r>
        <w:r>
          <w:rPr/>
          <w:instrText xml:space="preserve"> TC "Section     Definitions " \l 2 </w:instrText>
        </w:r>
      </w:ins>
      <w:r>
        <w:rPr/>
        <w:fldChar w:fldCharType="separate"/>
      </w:r>
      <w:ins w:id="5" w:author="foobar" w:date="2000-11-09T12:47:00Z">
        <w:r>
          <w:rPr/>
        </w:r>
      </w:ins>
      <w:r>
        <w:rPr/>
        <w:fldChar w:fldCharType="end"/>
      </w:r>
      <w:bookmarkStart w:id="2" w:name="BM_1_"/>
      <w:bookmarkEnd w:id="2"/>
      <w:r>
        <w:rPr>
          <w:sz w:val="24"/>
          <w:szCs w:val="24"/>
        </w:rPr>
        <w:t>.  In this Agreement, including the Recitals, unless the context requires otherwise, the following terms shall have the following respective meanings:</w:t>
      </w:r>
    </w:p>
    <w:p>
      <w:pPr>
        <w:pStyle w:val="Normal"/>
        <w:keepNext w:val="true"/>
        <w:keepLines/>
        <w:widowControl/>
        <w:numPr>
          <w:ilvl w:val="1"/>
          <w:numId w:val="2"/>
        </w:numPr>
        <w:tabs>
          <w:tab w:val="clear" w:pos="720"/>
          <w:tab w:val="left" w:pos="0" w:leader="none"/>
        </w:tabs>
        <w:ind w:hanging="0" w:start="0"/>
        <w:jc w:val="both"/>
        <w:rPr>
          <w:sz w:val="24"/>
          <w:szCs w:val="24"/>
        </w:rPr>
      </w:pPr>
      <w:r>
        <w:rPr>
          <w:sz w:val="24"/>
          <w:szCs w:val="24"/>
        </w:rPr>
      </w:r>
    </w:p>
    <w:p>
      <w:pPr>
        <w:pStyle w:val="Normal"/>
        <w:keepLines/>
        <w:widowControl/>
        <w:jc w:val="both"/>
        <w:rPr/>
      </w:pPr>
      <w:r>
        <w:rPr>
          <w:sz w:val="24"/>
          <w:szCs w:val="24"/>
        </w:rPr>
        <w:tab/>
      </w:r>
      <w:r>
        <w:rPr>
          <w:b/>
          <w:bCs/>
          <w:sz w:val="24"/>
          <w:szCs w:val="24"/>
        </w:rPr>
        <w:t>“</w:t>
      </w:r>
      <w:r>
        <w:rPr>
          <w:b/>
          <w:bCs/>
          <w:sz w:val="24"/>
          <w:szCs w:val="24"/>
          <w:u w:val="single"/>
        </w:rPr>
        <w:t>Additional Lender Certificate</w:t>
      </w:r>
      <w:r>
        <w:rPr>
          <w:b/>
          <w:bCs/>
          <w:sz w:val="24"/>
          <w:szCs w:val="24"/>
        </w:rPr>
        <w:t>”</w:t>
      </w:r>
      <w:r>
        <w:rPr>
          <w:sz w:val="24"/>
          <w:szCs w:val="24"/>
        </w:rPr>
        <w:t xml:space="preserve"> has the meaning given to such term in Section 3.3(a).</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Advance</w:t>
      </w:r>
      <w:r>
        <w:rPr>
          <w:b/>
          <w:bCs/>
          <w:sz w:val="24"/>
          <w:szCs w:val="24"/>
        </w:rPr>
        <w:t xml:space="preserve">” </w:t>
      </w:r>
      <w:r>
        <w:rPr>
          <w:sz w:val="24"/>
          <w:szCs w:val="24"/>
        </w:rPr>
        <w:t>and</w:t>
      </w:r>
      <w:r>
        <w:rPr>
          <w:b/>
          <w:bCs/>
          <w:sz w:val="24"/>
          <w:szCs w:val="24"/>
        </w:rPr>
        <w:t xml:space="preserve"> “</w:t>
      </w:r>
      <w:r>
        <w:rPr>
          <w:b/>
          <w:bCs/>
          <w:sz w:val="24"/>
          <w:szCs w:val="24"/>
          <w:u w:val="single"/>
        </w:rPr>
        <w:t>Advances</w:t>
      </w:r>
      <w:r>
        <w:rPr>
          <w:b/>
          <w:bCs/>
          <w:sz w:val="24"/>
          <w:szCs w:val="24"/>
        </w:rPr>
        <w:t>”</w:t>
      </w:r>
      <w:r>
        <w:rPr>
          <w:sz w:val="24"/>
          <w:szCs w:val="24"/>
        </w:rPr>
        <w:t xml:space="preserve"> have the respective meanings given to such terms in Section 2.2(a).</w:t>
      </w:r>
    </w:p>
    <w:p>
      <w:pPr>
        <w:pStyle w:val="Normal"/>
        <w:widowControl/>
        <w:jc w:val="both"/>
        <w:rPr>
          <w:sz w:val="24"/>
          <w:szCs w:val="24"/>
        </w:rPr>
      </w:pPr>
      <w:r>
        <w:rPr>
          <w:sz w:val="24"/>
          <w:szCs w:val="24"/>
        </w:rPr>
      </w:r>
    </w:p>
    <w:p>
      <w:pPr>
        <w:pStyle w:val="Normal"/>
        <w:widowControl/>
        <w:jc w:val="both"/>
        <w:rPr/>
      </w:pPr>
      <w:r>
        <w:rPr>
          <w:sz w:val="24"/>
          <w:szCs w:val="24"/>
        </w:rPr>
        <w:tab/>
        <w:t>“</w:t>
      </w:r>
      <w:r>
        <w:rPr>
          <w:b/>
          <w:bCs/>
          <w:sz w:val="24"/>
          <w:szCs w:val="24"/>
          <w:u w:val="single"/>
        </w:rPr>
        <w:t>Affiliate</w:t>
      </w:r>
      <w:r>
        <w:rPr>
          <w:sz w:val="24"/>
          <w:szCs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bCs/>
          <w:sz w:val="24"/>
          <w:szCs w:val="24"/>
        </w:rPr>
        <w:t>“</w:t>
      </w:r>
      <w:r>
        <w:rPr>
          <w:b/>
          <w:bCs/>
          <w:sz w:val="24"/>
          <w:szCs w:val="24"/>
          <w:u w:val="single"/>
        </w:rPr>
        <w:t>control</w:t>
      </w:r>
      <w:r>
        <w:rPr>
          <w:b/>
          <w:bCs/>
          <w:sz w:val="24"/>
          <w:szCs w:val="24"/>
        </w:rPr>
        <w:t>”</w:t>
      </w:r>
      <w:r>
        <w:rPr>
          <w:sz w:val="24"/>
          <w:szCs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Agency Indemnities</w:t>
      </w:r>
      <w:r>
        <w:rPr>
          <w:b/>
          <w:bCs/>
          <w:sz w:val="24"/>
          <w:szCs w:val="24"/>
        </w:rPr>
        <w:t>”</w:t>
      </w:r>
      <w:r>
        <w:rPr>
          <w:sz w:val="24"/>
          <w:szCs w:val="24"/>
        </w:rPr>
        <w:t xml:space="preserve"> has the meaning given to such term in Section 14.8(a).</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Agent</w:t>
      </w:r>
      <w:r>
        <w:rPr>
          <w:b/>
          <w:bCs/>
          <w:sz w:val="24"/>
          <w:szCs w:val="24"/>
        </w:rPr>
        <w:t>”</w:t>
      </w:r>
      <w:r>
        <w:rPr>
          <w:sz w:val="24"/>
          <w:szCs w:val="24"/>
        </w:rPr>
        <w:t xml:space="preserve"> has the meaning given to such term in the introductory paragraph of this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Alternate Base Rate</w:t>
      </w:r>
      <w:r>
        <w:rPr>
          <w:b/>
          <w:bCs/>
          <w:sz w:val="24"/>
          <w:szCs w:val="24"/>
        </w:rPr>
        <w:t>”</w:t>
      </w:r>
      <w:r>
        <w:rPr>
          <w:sz w:val="24"/>
          <w:szCs w:val="24"/>
        </w:rPr>
        <w:t xml:space="preserve"> means, for any period, a fluctuating interest rate per annum as shall be in effect from time to time which rate per annum shall at all times be equal to the highest of:</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w:t>
        <w:tab/>
        <w:t>the rate of interest determined by the Agent at its Domestic Office, from time to time, as the Agent’s base rate; and</w:t>
      </w:r>
    </w:p>
    <w:p>
      <w:pPr>
        <w:pStyle w:val="Normal"/>
        <w:widowControl/>
        <w:jc w:val="both"/>
        <w:rPr>
          <w:sz w:val="24"/>
          <w:szCs w:val="24"/>
        </w:rPr>
      </w:pPr>
      <w:r>
        <w:rPr>
          <w:sz w:val="24"/>
          <w:szCs w:val="24"/>
        </w:rPr>
      </w:r>
    </w:p>
    <w:p>
      <w:pPr>
        <w:pStyle w:val="Normal"/>
        <w:widowControl/>
        <w:ind w:hanging="720" w:start="720" w:end="0"/>
        <w:jc w:val="both"/>
        <w:rPr>
          <w:sz w:val="24"/>
          <w:szCs w:val="24"/>
        </w:rPr>
      </w:pPr>
      <w:r>
        <w:rPr>
          <w:sz w:val="24"/>
          <w:szCs w:val="24"/>
        </w:rPr>
        <w:tab/>
        <w:tab/>
        <w:t>(ii)</w:t>
        <w:tab/>
        <w:t xml:space="preserve">the sum of 0.5 percent plus the Federal Funds Rate in effect from time to time. </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Alternate Base Rate Advances</w:t>
      </w:r>
      <w:r>
        <w:rPr>
          <w:b/>
          <w:bCs/>
          <w:sz w:val="24"/>
          <w:szCs w:val="24"/>
        </w:rPr>
        <w:t>”</w:t>
      </w:r>
      <w:r>
        <w:rPr>
          <w:sz w:val="24"/>
          <w:szCs w:val="24"/>
        </w:rPr>
        <w:t xml:space="preserve"> means Advances which bear interest at the Alternate Base Rate.</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Applicable Margin</w:t>
      </w:r>
      <w:r>
        <w:rPr>
          <w:b/>
          <w:bCs/>
          <w:sz w:val="24"/>
          <w:szCs w:val="24"/>
        </w:rPr>
        <w:t xml:space="preserve">” </w:t>
      </w:r>
      <w:r>
        <w:rPr>
          <w:sz w:val="24"/>
          <w:szCs w:val="24"/>
        </w:rPr>
        <w:t>means 0.80% per annum.</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Arranger</w:t>
      </w:r>
      <w:r>
        <w:rPr>
          <w:b/>
          <w:bCs/>
          <w:sz w:val="24"/>
          <w:szCs w:val="24"/>
        </w:rPr>
        <w:t xml:space="preserve">” </w:t>
      </w:r>
      <w:r>
        <w:rPr>
          <w:sz w:val="24"/>
          <w:szCs w:val="24"/>
        </w:rPr>
        <w:t>has the meaning given to such term in the introductory paragraph of this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Asset LLC</w:t>
      </w:r>
      <w:r>
        <w:rPr>
          <w:b/>
          <w:bCs/>
          <w:sz w:val="24"/>
          <w:szCs w:val="24"/>
        </w:rPr>
        <w:t>”</w:t>
      </w:r>
      <w:r>
        <w:rPr>
          <w:sz w:val="24"/>
          <w:szCs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Asset LLC Agreement</w:t>
      </w:r>
      <w:r>
        <w:rPr>
          <w:b/>
          <w:bCs/>
          <w:sz w:val="24"/>
          <w:szCs w:val="24"/>
        </w:rPr>
        <w:t>”</w:t>
      </w:r>
      <w:r>
        <w:rPr>
          <w:sz w:val="24"/>
          <w:szCs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Asset Notice</w:t>
      </w:r>
      <w:r>
        <w:rPr>
          <w:b/>
          <w:bCs/>
          <w:sz w:val="24"/>
          <w:szCs w:val="24"/>
        </w:rPr>
        <w:t>”</w:t>
      </w:r>
      <w:r>
        <w:rPr>
          <w:sz w:val="24"/>
          <w:szCs w:val="24"/>
        </w:rPr>
        <w:t xml:space="preserve"> means, with respect to each proposed Tranche other than the Hawaii Tranches and the Hawaii I Tranches, a notice duly executed by Enron substantially in the form of Exhibit K1 hereto.</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Asset Structure</w:t>
      </w:r>
      <w:r>
        <w:rPr>
          <w:b/>
          <w:bCs/>
          <w:sz w:val="24"/>
          <w:szCs w:val="24"/>
        </w:rPr>
        <w:t>”</w:t>
      </w:r>
      <w:r>
        <w:rPr>
          <w:sz w:val="24"/>
          <w:szCs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Asset Summary</w:t>
      </w:r>
      <w:r>
        <w:rPr>
          <w:b/>
          <w:bCs/>
          <w:sz w:val="24"/>
          <w:szCs w:val="24"/>
        </w:rPr>
        <w:t>”</w:t>
      </w:r>
      <w:r>
        <w:rPr>
          <w:sz w:val="24"/>
          <w:szCs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Assigned Interest</w:t>
      </w:r>
      <w:r>
        <w:rPr>
          <w:b/>
          <w:bCs/>
          <w:sz w:val="24"/>
          <w:szCs w:val="24"/>
        </w:rPr>
        <w:t>”</w:t>
      </w:r>
      <w:r>
        <w:rPr>
          <w:sz w:val="24"/>
          <w:szCs w:val="24"/>
        </w:rPr>
        <w:t xml:space="preserve"> has the meaning given to such term in Section 3.3(c).</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Assignee</w:t>
      </w:r>
      <w:r>
        <w:rPr>
          <w:b/>
          <w:bCs/>
          <w:sz w:val="24"/>
          <w:szCs w:val="24"/>
        </w:rPr>
        <w:t>”</w:t>
      </w:r>
      <w:r>
        <w:rPr>
          <w:sz w:val="24"/>
          <w:szCs w:val="24"/>
        </w:rPr>
        <w:t xml:space="preserve"> has the meaning given to such term in Section 23.2(b).</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Assignor</w:t>
      </w:r>
      <w:r>
        <w:rPr>
          <w:b/>
          <w:bCs/>
          <w:sz w:val="24"/>
          <w:szCs w:val="24"/>
        </w:rPr>
        <w:t>”</w:t>
      </w:r>
      <w:r>
        <w:rPr>
          <w:sz w:val="24"/>
          <w:szCs w:val="24"/>
        </w:rPr>
        <w:t xml:space="preserve"> has the meaning given to such term in Section 23.2(b).</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Bankruptcy Code</w:t>
      </w:r>
      <w:r>
        <w:rPr>
          <w:b/>
          <w:bCs/>
          <w:sz w:val="24"/>
          <w:szCs w:val="24"/>
        </w:rPr>
        <w:t>”</w:t>
      </w:r>
      <w:r>
        <w:rPr>
          <w:sz w:val="24"/>
          <w:szCs w:val="24"/>
        </w:rPr>
        <w:t xml:space="preserve"> means Title 11 of the United States Code, as now or hereafter in effect, or any successor thereto.</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Bankruptcy Party</w:t>
      </w:r>
      <w:r>
        <w:rPr>
          <w:b/>
          <w:bCs/>
          <w:sz w:val="24"/>
          <w:szCs w:val="24"/>
        </w:rPr>
        <w:t>”</w:t>
      </w:r>
      <w:r>
        <w:rPr>
          <w:sz w:val="24"/>
          <w:szCs w:val="24"/>
        </w:rPr>
        <w:t xml:space="preserve"> has the meaning given to such term in Section 13.1(i).</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Beneficial Interest Certificate</w:t>
      </w:r>
      <w:r>
        <w:rPr>
          <w:b/>
          <w:bCs/>
          <w:sz w:val="24"/>
          <w:szCs w:val="24"/>
        </w:rPr>
        <w:t>”</w:t>
      </w:r>
      <w:r>
        <w:rPr>
          <w:sz w:val="24"/>
          <w:szCs w:val="24"/>
        </w:rPr>
        <w:t xml:space="preserve"> has the meaning given to such term in the Trust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Business</w:t>
      </w:r>
      <w:r>
        <w:rPr>
          <w:b/>
          <w:bCs/>
          <w:sz w:val="24"/>
          <w:szCs w:val="24"/>
        </w:rPr>
        <w:t>”</w:t>
      </w:r>
      <w:r>
        <w:rPr>
          <w:sz w:val="24"/>
          <w:szCs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Business Day</w:t>
      </w:r>
      <w:r>
        <w:rPr>
          <w:b/>
          <w:bCs/>
          <w:sz w:val="24"/>
          <w:szCs w:val="24"/>
        </w:rPr>
        <w:t>”</w:t>
      </w:r>
      <w:r>
        <w:rPr>
          <w:sz w:val="24"/>
          <w:szCs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Business Trust Act</w:t>
      </w:r>
      <w:r>
        <w:rPr>
          <w:b/>
          <w:bCs/>
          <w:sz w:val="24"/>
          <w:szCs w:val="24"/>
        </w:rPr>
        <w:t>”</w:t>
      </w:r>
      <w:r>
        <w:rPr>
          <w:sz w:val="24"/>
          <w:szCs w:val="24"/>
        </w:rPr>
        <w:t xml:space="preserve"> means Chapter 38 of Title 12 of the Delaware Code, 12 Del. C. § 3801, </w:t>
      </w:r>
      <w:r>
        <w:rPr>
          <w:sz w:val="24"/>
          <w:szCs w:val="24"/>
          <w:u w:val="single"/>
        </w:rPr>
        <w:t>et seq</w:t>
      </w:r>
      <w:r>
        <w:rPr>
          <w:sz w:val="24"/>
          <w:szCs w:val="24"/>
        </w:rPr>
        <w:t xml:space="preserve">.; as the same may be amended from time to time.  </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Certificate</w:t>
      </w:r>
      <w:r>
        <w:rPr>
          <w:b/>
          <w:bCs/>
          <w:sz w:val="24"/>
          <w:szCs w:val="24"/>
        </w:rPr>
        <w:t>”</w:t>
      </w:r>
      <w:r>
        <w:rPr>
          <w:sz w:val="24"/>
          <w:szCs w:val="24"/>
        </w:rPr>
        <w:t xml:space="preserve"> has the meaning given to such term in the Trust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Certificate Holders</w:t>
      </w:r>
      <w:r>
        <w:rPr>
          <w:b/>
          <w:bCs/>
          <w:sz w:val="24"/>
          <w:szCs w:val="24"/>
        </w:rPr>
        <w:t xml:space="preserve">” </w:t>
      </w:r>
      <w:r>
        <w:rPr>
          <w:sz w:val="24"/>
          <w:szCs w:val="24"/>
        </w:rPr>
        <w:t>means the holders from time to time of the Certificates issued pursuant to the Trust Agreement.</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Class B Interest</w:t>
      </w:r>
      <w:r>
        <w:rPr>
          <w:b/>
          <w:bCs/>
          <w:sz w:val="24"/>
          <w:szCs w:val="24"/>
        </w:rPr>
        <w:t xml:space="preserve">” </w:t>
      </w:r>
      <w:r>
        <w:rPr>
          <w:sz w:val="24"/>
          <w:szCs w:val="24"/>
        </w:rPr>
        <w:t>means 100% of the Class B membership interest issued by an Asset LLC and transferred by the applicable Transferor to the Trust pursuant to a Transfer and Auction Agreement.</w:t>
      </w:r>
    </w:p>
    <w:p>
      <w:pPr>
        <w:pStyle w:val="Normal"/>
        <w:widowControl/>
        <w:jc w:val="both"/>
        <w:rPr>
          <w:sz w:val="24"/>
          <w:szCs w:val="24"/>
        </w:rPr>
      </w:pPr>
      <w:r>
        <w:rPr>
          <w:sz w:val="24"/>
          <w:szCs w:val="24"/>
        </w:rPr>
      </w:r>
    </w:p>
    <w:p>
      <w:pPr>
        <w:pStyle w:val="Normal"/>
        <w:widowControl/>
        <w:jc w:val="both"/>
        <w:rPr>
          <w:b/>
          <w:bCs/>
          <w:sz w:val="24"/>
          <w:szCs w:val="24"/>
        </w:rPr>
      </w:pPr>
      <w:r>
        <w:rPr>
          <w:sz w:val="24"/>
          <w:szCs w:val="24"/>
        </w:rPr>
        <w:tab/>
      </w:r>
      <w:r>
        <w:rPr>
          <w:b/>
          <w:bCs/>
          <w:sz w:val="24"/>
          <w:szCs w:val="24"/>
        </w:rPr>
        <w:t>“</w:t>
      </w:r>
      <w:r>
        <w:rPr>
          <w:b/>
          <w:bCs/>
          <w:sz w:val="24"/>
          <w:szCs w:val="24"/>
          <w:u w:val="single"/>
        </w:rPr>
        <w:t>Closing Date</w:t>
      </w:r>
      <w:r>
        <w:rPr>
          <w:b/>
          <w:bCs/>
          <w:sz w:val="24"/>
          <w:szCs w:val="24"/>
        </w:rPr>
        <w:t>”</w:t>
      </w:r>
      <w:r>
        <w:rPr>
          <w:sz w:val="24"/>
          <w:szCs w:val="24"/>
        </w:rPr>
        <w:t xml:space="preserve"> means November </w:t>
      </w:r>
      <w:r>
        <w:rPr>
          <w:b/>
          <w:bCs/>
          <w:sz w:val="24"/>
          <w:szCs w:val="24"/>
        </w:rPr>
        <w:t>[</w:t>
      </w:r>
      <w:r>
        <w:rPr>
          <w:sz w:val="24"/>
          <w:szCs w:val="24"/>
        </w:rPr>
        <w:t>17</w:t>
      </w:r>
      <w:r>
        <w:rPr>
          <w:b/>
          <w:bCs/>
          <w:sz w:val="24"/>
          <w:szCs w:val="24"/>
        </w:rPr>
        <w:t>]</w:t>
      </w:r>
      <w:r>
        <w:rPr>
          <w:sz w:val="24"/>
          <w:szCs w:val="24"/>
        </w:rPr>
        <w:t>, 2000.</w:t>
      </w:r>
    </w:p>
    <w:p>
      <w:pPr>
        <w:pStyle w:val="Normal"/>
        <w:widowControl/>
        <w:jc w:val="both"/>
        <w:rPr>
          <w:b/>
          <w:bCs/>
          <w:sz w:val="24"/>
          <w:szCs w:val="24"/>
        </w:rPr>
      </w:pPr>
      <w:r>
        <w:rPr>
          <w:b/>
          <w:bCs/>
          <w:sz w:val="24"/>
          <w:szCs w:val="24"/>
        </w:rPr>
      </w:r>
    </w:p>
    <w:p>
      <w:pPr>
        <w:pStyle w:val="Normal"/>
        <w:widowControl/>
        <w:jc w:val="both"/>
        <w:rPr/>
      </w:pPr>
      <w:r>
        <w:rPr>
          <w:b/>
          <w:bCs/>
          <w:sz w:val="24"/>
          <w:szCs w:val="24"/>
        </w:rPr>
        <w:tab/>
        <w:t>“</w:t>
      </w:r>
      <w:r>
        <w:rPr>
          <w:b/>
          <w:bCs/>
          <w:sz w:val="24"/>
          <w:szCs w:val="24"/>
          <w:u w:val="single"/>
        </w:rPr>
        <w:t>Code</w:t>
      </w:r>
      <w:r>
        <w:rPr>
          <w:b/>
          <w:bCs/>
          <w:sz w:val="24"/>
          <w:szCs w:val="24"/>
        </w:rPr>
        <w:t>”</w:t>
      </w:r>
      <w:r>
        <w:rPr>
          <w:sz w:val="24"/>
          <w:szCs w:val="24"/>
        </w:rPr>
        <w:t xml:space="preserve"> means the Internal Revenue Code of 1986, as amended.</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Commitment</w:t>
      </w:r>
      <w:r>
        <w:rPr>
          <w:b/>
          <w:bCs/>
          <w:sz w:val="24"/>
          <w:szCs w:val="24"/>
        </w:rPr>
        <w:t xml:space="preserve">” </w:t>
      </w:r>
      <w:r>
        <w:rPr>
          <w:sz w:val="24"/>
          <w:szCs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szCs w:val="24"/>
          <w:u w:val="single"/>
        </w:rPr>
        <w:t>provided</w:t>
      </w:r>
      <w:r>
        <w:rPr>
          <w:sz w:val="24"/>
          <w:szCs w:val="24"/>
        </w:rPr>
        <w:t xml:space="preserve"> that the aggregate Commitments of all of the Lenders shall not be less than $</w:t>
      </w:r>
      <w:r>
        <w:rPr>
          <w:b/>
          <w:bCs/>
          <w:sz w:val="24"/>
          <w:szCs w:val="24"/>
        </w:rPr>
        <w:t>[</w:t>
      </w:r>
      <w:r>
        <w:rPr>
          <w:sz w:val="24"/>
          <w:szCs w:val="24"/>
        </w:rPr>
        <w:t>385,000,000</w:t>
      </w:r>
      <w:r>
        <w:rPr>
          <w:b/>
          <w:bCs/>
          <w:sz w:val="24"/>
          <w:szCs w:val="24"/>
        </w:rPr>
        <w:t>]</w:t>
      </w:r>
      <w:r>
        <w:rPr>
          <w:sz w:val="24"/>
          <w:szCs w:val="24"/>
        </w:rPr>
        <w:t xml:space="preserve"> (or such other lesser amount as may be agreed by the Agent and the Trust) for the period from the Closing Date to the day prior to the Second Closing Date, nor greater than $</w:t>
      </w:r>
      <w:r>
        <w:rPr>
          <w:b/>
          <w:bCs/>
          <w:sz w:val="24"/>
          <w:szCs w:val="24"/>
        </w:rPr>
        <w:t>[</w:t>
      </w:r>
      <w:r>
        <w:rPr>
          <w:sz w:val="24"/>
          <w:szCs w:val="24"/>
        </w:rPr>
        <w:t>462,000,000</w:t>
      </w:r>
      <w:r>
        <w:rPr>
          <w:b/>
          <w:bCs/>
          <w:sz w:val="24"/>
          <w:szCs w:val="24"/>
        </w:rPr>
        <w:t>]</w:t>
      </w:r>
      <w:r>
        <w:rPr>
          <w:sz w:val="24"/>
          <w:szCs w:val="24"/>
        </w:rPr>
        <w:t xml:space="preserve"> thereafter or such greater amount as may be agreed by the Agent.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Commitment Amount</w:t>
      </w:r>
      <w:r>
        <w:rPr>
          <w:b/>
          <w:bCs/>
          <w:sz w:val="24"/>
          <w:szCs w:val="24"/>
        </w:rPr>
        <w:t>”</w:t>
      </w:r>
      <w:r>
        <w:rPr>
          <w:sz w:val="24"/>
          <w:szCs w:val="24"/>
        </w:rPr>
        <w:t xml:space="preserve"> has the meaning given to such term in Section 3.3(b).</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Confidential Information</w:t>
      </w:r>
      <w:r>
        <w:rPr>
          <w:b/>
          <w:bCs/>
          <w:sz w:val="24"/>
          <w:szCs w:val="24"/>
        </w:rPr>
        <w:t>”</w:t>
      </w:r>
      <w:r>
        <w:rPr>
          <w:sz w:val="24"/>
          <w:szCs w:val="24"/>
        </w:rPr>
        <w:t xml:space="preserve"> has the meaning given to such term in Section 22.1.</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Default</w:t>
      </w:r>
      <w:r>
        <w:rPr>
          <w:b/>
          <w:bCs/>
          <w:sz w:val="24"/>
          <w:szCs w:val="24"/>
        </w:rPr>
        <w:t xml:space="preserve">” </w:t>
      </w:r>
      <w:r>
        <w:rPr>
          <w:sz w:val="24"/>
          <w:szCs w:val="24"/>
        </w:rPr>
        <w:t xml:space="preserve">means any event which, with the giving of notice or the lapse of time or both, will constitute an Event of Default; </w:t>
      </w:r>
      <w:r>
        <w:rPr>
          <w:sz w:val="24"/>
          <w:szCs w:val="24"/>
          <w:u w:val="single"/>
        </w:rPr>
        <w:t>provided</w:t>
      </w:r>
      <w:r>
        <w:rPr>
          <w:sz w:val="24"/>
          <w:szCs w:val="24"/>
        </w:rPr>
        <w:t>, that such notice, lapse of time, determination or condition is in any case specified or referred to in the relevant Event of Default set forth in Section 13.1.</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Default Rate</w:t>
      </w:r>
      <w:r>
        <w:rPr>
          <w:b/>
          <w:bCs/>
          <w:sz w:val="24"/>
          <w:szCs w:val="24"/>
        </w:rPr>
        <w:t>”</w:t>
      </w:r>
      <w:r>
        <w:rPr>
          <w:sz w:val="24"/>
          <w:szCs w:val="24"/>
        </w:rPr>
        <w:t xml:space="preserve"> has the meaning given to such term in Section 8.3(a).</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Demand Note</w:t>
      </w:r>
      <w:r>
        <w:rPr>
          <w:b/>
          <w:bCs/>
          <w:sz w:val="24"/>
          <w:szCs w:val="24"/>
        </w:rPr>
        <w:t>”</w:t>
      </w:r>
      <w:r>
        <w:rPr>
          <w:sz w:val="24"/>
          <w:szCs w:val="24"/>
        </w:rPr>
        <w:t xml:space="preserve"> means, if applicable, a demand note executed by a Sponsor in favor of the related Asset LLC, in form and substance satisfactory to the Agent.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Demand Note Assignment</w:t>
      </w:r>
      <w:r>
        <w:rPr>
          <w:b/>
          <w:bCs/>
          <w:sz w:val="24"/>
          <w:szCs w:val="24"/>
        </w:rPr>
        <w:t>”</w:t>
      </w:r>
      <w:r>
        <w:rPr>
          <w:sz w:val="24"/>
          <w:szCs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Dollars</w:t>
      </w:r>
      <w:r>
        <w:rPr>
          <w:b/>
          <w:bCs/>
          <w:sz w:val="24"/>
          <w:szCs w:val="24"/>
        </w:rPr>
        <w:t xml:space="preserve">” </w:t>
      </w:r>
      <w:r>
        <w:rPr>
          <w:sz w:val="24"/>
          <w:szCs w:val="24"/>
        </w:rPr>
        <w:t xml:space="preserve">or </w:t>
      </w:r>
      <w:r>
        <w:rPr>
          <w:b/>
          <w:bCs/>
          <w:sz w:val="24"/>
          <w:szCs w:val="24"/>
        </w:rPr>
        <w:t>“</w:t>
      </w:r>
      <w:r>
        <w:rPr>
          <w:b/>
          <w:bCs/>
          <w:sz w:val="24"/>
          <w:szCs w:val="24"/>
          <w:u w:val="single"/>
        </w:rPr>
        <w:t>$</w:t>
      </w:r>
      <w:r>
        <w:rPr>
          <w:b/>
          <w:bCs/>
          <w:sz w:val="24"/>
          <w:szCs w:val="24"/>
        </w:rPr>
        <w:t xml:space="preserve">” </w:t>
      </w:r>
      <w:r>
        <w:rPr>
          <w:sz w:val="24"/>
          <w:szCs w:val="24"/>
        </w:rPr>
        <w:t>shall mean the lawful currency of the United States.</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Drawdown</w:t>
      </w:r>
      <w:r>
        <w:rPr>
          <w:b/>
          <w:bCs/>
          <w:sz w:val="24"/>
          <w:szCs w:val="24"/>
        </w:rPr>
        <w:t>”</w:t>
      </w:r>
      <w:r>
        <w:rPr>
          <w:sz w:val="24"/>
          <w:szCs w:val="24"/>
        </w:rPr>
        <w:t xml:space="preserve"> means the drawing down of a Tranche pursuant to Article V.</w:t>
      </w:r>
    </w:p>
    <w:p>
      <w:pPr>
        <w:pStyle w:val="Normal"/>
        <w:widowControl/>
        <w:jc w:val="both"/>
        <w:rPr>
          <w:sz w:val="24"/>
          <w:szCs w:val="24"/>
        </w:rPr>
      </w:pPr>
      <w:r>
        <w:rPr>
          <w:sz w:val="24"/>
          <w:szCs w:val="24"/>
        </w:rPr>
      </w:r>
    </w:p>
    <w:p>
      <w:pPr>
        <w:pStyle w:val="Normal"/>
        <w:widowControl/>
        <w:jc w:val="both"/>
        <w:rPr/>
      </w:pPr>
      <w:r>
        <w:rPr>
          <w:sz w:val="24"/>
          <w:szCs w:val="24"/>
        </w:rPr>
        <w:tab/>
        <w:t>“</w:t>
      </w:r>
      <w:r>
        <w:rPr>
          <w:b/>
          <w:bCs/>
          <w:sz w:val="24"/>
          <w:szCs w:val="24"/>
          <w:u w:val="single"/>
        </w:rPr>
        <w:t>Drawdown Date</w:t>
      </w:r>
      <w:r>
        <w:rPr>
          <w:sz w:val="24"/>
          <w:szCs w:val="24"/>
        </w:rPr>
        <w:t>” means, in respect of each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Drawdown Request</w:t>
      </w:r>
      <w:r>
        <w:rPr>
          <w:b/>
          <w:bCs/>
          <w:sz w:val="24"/>
          <w:szCs w:val="24"/>
        </w:rPr>
        <w:t>”</w:t>
      </w:r>
      <w:r>
        <w:rPr>
          <w:sz w:val="24"/>
          <w:szCs w:val="24"/>
        </w:rPr>
        <w:t xml:space="preserve"> means a notice requesting the drawdown of a Tranche in substantially the form of Exhibit A executed by the Trust and delivered to the Agent.</w:t>
      </w:r>
    </w:p>
    <w:p>
      <w:pPr>
        <w:pStyle w:val="Normal"/>
        <w:widowControl/>
        <w:jc w:val="both"/>
        <w:rPr/>
      </w:pPr>
      <w:r>
        <w:rPr>
          <w:sz w:val="24"/>
          <w:szCs w:val="24"/>
        </w:rPr>
        <w:tab/>
      </w:r>
      <w:r>
        <w:rPr>
          <w:b/>
          <w:bCs/>
          <w:sz w:val="24"/>
          <w:szCs w:val="24"/>
        </w:rPr>
        <w:t>“</w:t>
      </w:r>
      <w:r>
        <w:rPr>
          <w:b/>
          <w:bCs/>
          <w:sz w:val="24"/>
          <w:szCs w:val="24"/>
          <w:u w:val="single"/>
        </w:rPr>
        <w:t>Eligible Assignee</w:t>
      </w:r>
      <w:r>
        <w:rPr>
          <w:b/>
          <w:bCs/>
          <w:sz w:val="24"/>
          <w:szCs w:val="24"/>
        </w:rPr>
        <w:t>”</w:t>
      </w:r>
      <w:r>
        <w:rPr>
          <w:sz w:val="24"/>
          <w:szCs w:val="24"/>
        </w:rPr>
        <w:t xml:space="preserve"> means any Person (a) which is a bank or other financial institution and  (b) which is reasonably acceptable to Enron and the Agent.  </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Enron</w:t>
      </w:r>
      <w:r>
        <w:rPr>
          <w:b/>
          <w:bCs/>
          <w:sz w:val="24"/>
          <w:szCs w:val="24"/>
        </w:rPr>
        <w:t>”</w:t>
      </w:r>
      <w:r>
        <w:rPr>
          <w:sz w:val="24"/>
          <w:szCs w:val="24"/>
        </w:rPr>
        <w:t xml:space="preserve"> means Enron Corp., a corporation organized under the laws of the State of Oregon.</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Enron Guaranty</w:t>
      </w:r>
      <w:r>
        <w:rPr>
          <w:b/>
          <w:bCs/>
          <w:sz w:val="24"/>
          <w:szCs w:val="24"/>
        </w:rPr>
        <w:t>”</w:t>
      </w:r>
      <w:r>
        <w:rPr>
          <w:sz w:val="24"/>
          <w:szCs w:val="24"/>
        </w:rPr>
        <w:t xml:space="preserve"> means a guaranty from Enron to the Trust in substantially the form of Exhibit G4, together with such amendments as the Agent may approve in its sole discretion.</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Equity Amount</w:t>
      </w:r>
      <w:r>
        <w:rPr>
          <w:b/>
          <w:bCs/>
          <w:sz w:val="24"/>
          <w:szCs w:val="24"/>
        </w:rPr>
        <w:t>”</w:t>
      </w:r>
      <w:r>
        <w:rPr>
          <w:sz w:val="24"/>
          <w:szCs w:val="24"/>
        </w:rPr>
        <w:t xml:space="preserve"> means, with respect to any Tranche, the initial Certificate Base Amount (as defined in the Trust Agreement) of the Series Certificate issued with respect to the applicable Series.</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Eurocurrency Liabilities</w:t>
      </w:r>
      <w:r>
        <w:rPr>
          <w:b/>
          <w:bCs/>
          <w:sz w:val="24"/>
          <w:szCs w:val="24"/>
        </w:rPr>
        <w:t>”</w:t>
      </w:r>
      <w:r>
        <w:rPr>
          <w:sz w:val="24"/>
          <w:szCs w:val="24"/>
        </w:rPr>
        <w:t xml:space="preserve"> has the meaning assigned to that term in Regulation D of the Federal Reserve Board, as in effect from time to time.</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Event of Default</w:t>
      </w:r>
      <w:r>
        <w:rPr>
          <w:b/>
          <w:bCs/>
          <w:sz w:val="24"/>
          <w:szCs w:val="24"/>
        </w:rPr>
        <w:t>”</w:t>
      </w:r>
      <w:r>
        <w:rPr>
          <w:sz w:val="24"/>
          <w:szCs w:val="24"/>
        </w:rPr>
        <w:t xml:space="preserve"> means any of the events specified in Section 13.1.</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Existing Advances</w:t>
      </w:r>
      <w:r>
        <w:rPr>
          <w:b/>
          <w:bCs/>
          <w:sz w:val="24"/>
          <w:szCs w:val="24"/>
        </w:rPr>
        <w:t>”</w:t>
      </w:r>
      <w:r>
        <w:rPr>
          <w:sz w:val="24"/>
          <w:szCs w:val="24"/>
        </w:rPr>
        <w:t xml:space="preserve"> has the meaning given to such term in Section 3.3(c).</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Federal Funds Rate</w:t>
      </w:r>
      <w:r>
        <w:rPr>
          <w:b/>
          <w:bCs/>
          <w:sz w:val="24"/>
          <w:szCs w:val="24"/>
        </w:rPr>
        <w:t>”</w:t>
      </w:r>
      <w:r>
        <w:rPr>
          <w:sz w:val="24"/>
          <w:szCs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Federal Reserve Board</w:t>
      </w:r>
      <w:r>
        <w:rPr>
          <w:b/>
          <w:bCs/>
          <w:sz w:val="24"/>
          <w:szCs w:val="24"/>
        </w:rPr>
        <w:t>”</w:t>
      </w:r>
      <w:r>
        <w:rPr>
          <w:sz w:val="24"/>
          <w:szCs w:val="24"/>
        </w:rPr>
        <w:t xml:space="preserve"> means the Board of Governors of the Federal Reserve System, or any federal agency or authority of the United States from time to time succeeding to its function.</w:t>
      </w:r>
    </w:p>
    <w:p>
      <w:pPr>
        <w:pStyle w:val="Normal"/>
        <w:widowControl/>
        <w:jc w:val="both"/>
        <w:rPr>
          <w:b/>
          <w:bCs/>
          <w:sz w:val="24"/>
          <w:szCs w:val="24"/>
        </w:rPr>
      </w:pPr>
      <w:r>
        <w:rPr>
          <w:b/>
          <w:bCs/>
          <w:sz w:val="24"/>
          <w:szCs w:val="24"/>
        </w:rPr>
      </w:r>
    </w:p>
    <w:p>
      <w:pPr>
        <w:pStyle w:val="Normal"/>
        <w:widowControl/>
        <w:jc w:val="both"/>
        <w:rPr/>
      </w:pPr>
      <w:r>
        <w:rPr>
          <w:b/>
          <w:bCs/>
          <w:sz w:val="24"/>
          <w:szCs w:val="24"/>
        </w:rPr>
        <w:tab/>
        <w:t>“</w:t>
      </w:r>
      <w:r>
        <w:rPr>
          <w:b/>
          <w:bCs/>
          <w:sz w:val="24"/>
          <w:szCs w:val="24"/>
          <w:u w:val="single"/>
        </w:rPr>
        <w:t>Fee Letters</w:t>
      </w:r>
      <w:r>
        <w:rPr>
          <w:b/>
          <w:bCs/>
          <w:sz w:val="24"/>
          <w:szCs w:val="24"/>
        </w:rPr>
        <w:t>”</w:t>
      </w:r>
      <w:r>
        <w:rPr>
          <w:sz w:val="24"/>
          <w:szCs w:val="24"/>
        </w:rPr>
        <w:t xml:space="preserve"> means collectively, (i) the fee letter, dated as of the date hereof between Enron and the Agent relating to the facility fee and (ii) the fee letter dated October 13, 2000 among the Agent, the Arranger and Enron.</w:t>
      </w:r>
    </w:p>
    <w:p>
      <w:pPr>
        <w:pStyle w:val="Normal"/>
        <w:widowControl/>
        <w:jc w:val="both"/>
        <w:rPr>
          <w:b/>
          <w:bCs/>
          <w:sz w:val="24"/>
          <w:szCs w:val="24"/>
        </w:rPr>
      </w:pPr>
      <w:r>
        <w:rPr>
          <w:b/>
          <w:bCs/>
          <w:sz w:val="24"/>
          <w:szCs w:val="24"/>
        </w:rPr>
      </w:r>
    </w:p>
    <w:p>
      <w:pPr>
        <w:pStyle w:val="Normal"/>
        <w:widowControl/>
        <w:jc w:val="both"/>
        <w:rPr/>
      </w:pPr>
      <w:r>
        <w:rPr>
          <w:sz w:val="24"/>
          <w:szCs w:val="24"/>
        </w:rPr>
        <w:tab/>
      </w:r>
      <w:r>
        <w:rPr>
          <w:b/>
          <w:bCs/>
          <w:sz w:val="24"/>
          <w:szCs w:val="24"/>
        </w:rPr>
        <w:t>“</w:t>
      </w:r>
      <w:r>
        <w:rPr>
          <w:b/>
          <w:bCs/>
          <w:sz w:val="24"/>
          <w:szCs w:val="24"/>
          <w:u w:val="single"/>
        </w:rPr>
        <w:t>Final Advance Date</w:t>
      </w:r>
      <w:r>
        <w:rPr>
          <w:b/>
          <w:bCs/>
          <w:sz w:val="24"/>
          <w:szCs w:val="24"/>
        </w:rPr>
        <w:t>”</w:t>
      </w:r>
      <w:r>
        <w:rPr>
          <w:sz w:val="24"/>
          <w:szCs w:val="24"/>
        </w:rPr>
        <w:t xml:space="preserve"> means October </w:t>
      </w:r>
      <w:r>
        <w:rPr>
          <w:b/>
          <w:bCs/>
          <w:sz w:val="24"/>
          <w:szCs w:val="24"/>
        </w:rPr>
        <w:t>[</w:t>
      </w:r>
      <w:r>
        <w:rPr>
          <w:sz w:val="24"/>
          <w:szCs w:val="24"/>
        </w:rPr>
        <w:t>17</w:t>
      </w:r>
      <w:r>
        <w:rPr>
          <w:b/>
          <w:bCs/>
          <w:sz w:val="24"/>
          <w:szCs w:val="24"/>
        </w:rPr>
        <w:t>]</w:t>
      </w:r>
      <w:r>
        <w:rPr>
          <w:sz w:val="24"/>
          <w:szCs w:val="24"/>
        </w:rPr>
        <w:t>, 2002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widowControl/>
        <w:jc w:val="both"/>
        <w:rPr>
          <w:b/>
          <w:bCs/>
          <w:sz w:val="24"/>
          <w:szCs w:val="24"/>
        </w:rPr>
      </w:pPr>
      <w:r>
        <w:rPr>
          <w:b/>
          <w:bCs/>
          <w:sz w:val="24"/>
          <w:szCs w:val="24"/>
        </w:rPr>
      </w:r>
    </w:p>
    <w:p>
      <w:pPr>
        <w:pStyle w:val="Normal"/>
        <w:widowControl/>
        <w:jc w:val="both"/>
        <w:rPr/>
      </w:pPr>
      <w:r>
        <w:rPr>
          <w:b/>
          <w:bCs/>
          <w:sz w:val="24"/>
          <w:szCs w:val="24"/>
        </w:rPr>
        <w:tab/>
        <w:t>“</w:t>
      </w:r>
      <w:r>
        <w:rPr>
          <w:b/>
          <w:bCs/>
          <w:sz w:val="24"/>
          <w:szCs w:val="24"/>
          <w:u w:val="single"/>
        </w:rPr>
        <w:t>Finance Documents</w:t>
      </w:r>
      <w:r>
        <w:rPr>
          <w:b/>
          <w:bCs/>
          <w:sz w:val="24"/>
          <w:szCs w:val="24"/>
        </w:rPr>
        <w:t xml:space="preserve">” </w:t>
      </w:r>
      <w:r>
        <w:rPr>
          <w:sz w:val="24"/>
          <w:szCs w:val="24"/>
        </w:rPr>
        <w:t>means this Agreement, the Notes, the Fee Letters, the Total Return Swap Agreements, the Enron Guaranty, the Reimbursement and Disclosure Agreement, the Put Option Agreements (if applicable) and the Demand Notes (if applicable).</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Finance Indemnitees</w:t>
      </w:r>
      <w:r>
        <w:rPr>
          <w:b/>
          <w:bCs/>
          <w:sz w:val="24"/>
          <w:szCs w:val="24"/>
        </w:rPr>
        <w:t>”</w:t>
      </w:r>
      <w:r>
        <w:rPr>
          <w:sz w:val="24"/>
          <w:szCs w:val="24"/>
        </w:rPr>
        <w:t xml:space="preserve"> has the meaning given to such term in Section 25.1.</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Finance Parties</w:t>
      </w:r>
      <w:r>
        <w:rPr>
          <w:sz w:val="24"/>
          <w:szCs w:val="24"/>
        </w:rPr>
        <w:t>” means the Agent, the Arranger, the Co-Arrangers,  the Syndication Agent, the Documentation Agent and the Lenders.</w:t>
      </w:r>
    </w:p>
    <w:p>
      <w:pPr>
        <w:pStyle w:val="Normal"/>
        <w:widowControl/>
        <w:jc w:val="both"/>
        <w:rPr>
          <w:sz w:val="24"/>
          <w:szCs w:val="24"/>
        </w:rPr>
      </w:pPr>
      <w:r>
        <w:rPr>
          <w:sz w:val="24"/>
          <w:szCs w:val="24"/>
        </w:rPr>
        <w:t xml:space="preserve"> </w:t>
      </w:r>
    </w:p>
    <w:p>
      <w:pPr>
        <w:pStyle w:val="Normal"/>
        <w:widowControl/>
        <w:jc w:val="both"/>
        <w:rPr/>
      </w:pPr>
      <w:r>
        <w:rPr>
          <w:sz w:val="24"/>
          <w:szCs w:val="24"/>
        </w:rPr>
        <w:tab/>
      </w:r>
      <w:r>
        <w:rPr>
          <w:b/>
          <w:bCs/>
          <w:sz w:val="24"/>
          <w:szCs w:val="24"/>
        </w:rPr>
        <w:t>“</w:t>
      </w:r>
      <w:r>
        <w:rPr>
          <w:b/>
          <w:bCs/>
          <w:sz w:val="24"/>
          <w:szCs w:val="24"/>
          <w:u w:val="single"/>
        </w:rPr>
        <w:t>Funding Indemnity Agreement</w:t>
      </w:r>
      <w:r>
        <w:rPr>
          <w:b/>
          <w:bCs/>
          <w:sz w:val="24"/>
          <w:szCs w:val="24"/>
        </w:rPr>
        <w:t>”</w:t>
      </w:r>
      <w:r>
        <w:rPr>
          <w:sz w:val="24"/>
          <w:szCs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Funding Office</w:t>
      </w:r>
      <w:r>
        <w:rPr>
          <w:b/>
          <w:bCs/>
          <w:sz w:val="24"/>
          <w:szCs w:val="24"/>
        </w:rPr>
        <w:t>”</w:t>
      </w:r>
      <w:r>
        <w:rPr>
          <w:sz w:val="24"/>
          <w:szCs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widowControl/>
        <w:jc w:val="both"/>
        <w:rPr>
          <w:sz w:val="24"/>
          <w:szCs w:val="24"/>
        </w:rPr>
      </w:pPr>
      <w:r>
        <w:rPr>
          <w:sz w:val="24"/>
          <w:szCs w:val="24"/>
        </w:rPr>
      </w:r>
    </w:p>
    <w:p>
      <w:pPr>
        <w:pStyle w:val="Normal"/>
        <w:widowControl/>
        <w:jc w:val="both"/>
        <w:rPr/>
      </w:pPr>
      <w:r>
        <w:rPr>
          <w:sz w:val="24"/>
          <w:szCs w:val="24"/>
        </w:rPr>
        <w:tab/>
        <w:t>“</w:t>
      </w:r>
      <w:r>
        <w:rPr>
          <w:b/>
          <w:bCs/>
          <w:sz w:val="24"/>
          <w:szCs w:val="24"/>
          <w:u w:val="single"/>
        </w:rPr>
        <w:t>GAAP</w:t>
      </w:r>
      <w:r>
        <w:rPr>
          <w:sz w:val="24"/>
          <w:szCs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widowControl/>
        <w:jc w:val="both"/>
        <w:rPr>
          <w:sz w:val="24"/>
          <w:szCs w:val="24"/>
        </w:rPr>
      </w:pPr>
      <w:r>
        <w:rPr>
          <w:sz w:val="24"/>
          <w:szCs w:val="24"/>
        </w:rPr>
      </w:r>
    </w:p>
    <w:p>
      <w:pPr>
        <w:pStyle w:val="Normal"/>
        <w:widowControl/>
        <w:jc w:val="both"/>
        <w:rPr/>
      </w:pPr>
      <w:r>
        <w:rPr>
          <w:sz w:val="24"/>
          <w:szCs w:val="24"/>
        </w:rPr>
        <w:tab/>
        <w:t>“</w:t>
      </w:r>
      <w:r>
        <w:rPr>
          <w:b/>
          <w:bCs/>
          <w:sz w:val="24"/>
          <w:szCs w:val="24"/>
          <w:u w:val="single"/>
        </w:rPr>
        <w:t>Hawaii Facility Agreement</w:t>
      </w:r>
      <w:r>
        <w:rPr>
          <w:sz w:val="24"/>
          <w:szCs w:val="24"/>
        </w:rPr>
        <w:t>” means that certain Amended and Restated Facility Agreement dated May 31, 2000 among Hawaii 125-0 Trust, as issuer of the notes, the Lenders party thereto, Canadian Imperial Bank of Commerce, as Administrative Agent, CIBC World Markets Corp., as Sole Lead Arranger and Bookrunner, First Union National Bank and San Paolo IMI S.p.A., as Co-Arrangers, BNP Paribas, as Syndication Agent, and Bayerische Landesbank, as Documentation Agent.</w:t>
      </w:r>
    </w:p>
    <w:p>
      <w:pPr>
        <w:pStyle w:val="Normal"/>
        <w:widowControl/>
        <w:jc w:val="both"/>
        <w:rPr>
          <w:sz w:val="24"/>
          <w:szCs w:val="24"/>
        </w:rPr>
      </w:pPr>
      <w:r>
        <w:rPr>
          <w:sz w:val="24"/>
          <w:szCs w:val="24"/>
        </w:rPr>
      </w:r>
    </w:p>
    <w:p>
      <w:pPr>
        <w:pStyle w:val="Normal"/>
        <w:widowControl/>
        <w:jc w:val="both"/>
        <w:rPr/>
      </w:pPr>
      <w:r>
        <w:rPr>
          <w:sz w:val="24"/>
          <w:szCs w:val="24"/>
        </w:rPr>
        <w:tab/>
        <w:t>“</w:t>
      </w:r>
      <w:r>
        <w:rPr>
          <w:b/>
          <w:bCs/>
          <w:sz w:val="24"/>
          <w:szCs w:val="24"/>
          <w:u w:val="single"/>
        </w:rPr>
        <w:t>Hawaii Total Return Swap Agreement</w:t>
      </w:r>
      <w:r>
        <w:rPr>
          <w:sz w:val="24"/>
          <w:szCs w:val="24"/>
        </w:rPr>
        <w:t>” means that certain ISDA Master Agreement, dated March 31, 2000, and executed by the Trust and Enron, together with the Schedule thereto, dated March 31, 2000, and the Total Return Swap Confirmations thereto with respect to Series McGarret A, Series McGarret C and Series McGarret D, dated March 31, 2000, August 31, 2000 and September 29, 2000, respectively, as such agreement is or has been amended or modified thereafter.</w:t>
      </w:r>
    </w:p>
    <w:p>
      <w:pPr>
        <w:pStyle w:val="Normal"/>
        <w:widowControl/>
        <w:jc w:val="both"/>
        <w:rPr>
          <w:sz w:val="24"/>
          <w:szCs w:val="24"/>
        </w:rPr>
      </w:pPr>
      <w:r>
        <w:rPr>
          <w:sz w:val="24"/>
          <w:szCs w:val="24"/>
        </w:rPr>
      </w:r>
    </w:p>
    <w:p>
      <w:pPr>
        <w:pStyle w:val="Normal"/>
        <w:widowControl/>
        <w:jc w:val="both"/>
        <w:rPr/>
      </w:pPr>
      <w:r>
        <w:rPr>
          <w:sz w:val="24"/>
          <w:szCs w:val="24"/>
        </w:rPr>
        <w:tab/>
        <w:t>“</w:t>
      </w:r>
      <w:r>
        <w:rPr>
          <w:b/>
          <w:bCs/>
          <w:sz w:val="24"/>
          <w:szCs w:val="24"/>
          <w:u w:val="single"/>
        </w:rPr>
        <w:t>Hawaii Tranches</w:t>
      </w:r>
      <w:r>
        <w:rPr>
          <w:sz w:val="24"/>
          <w:szCs w:val="24"/>
        </w:rPr>
        <w:t>” shall mean the Tranches drawn down on the date hereof with respect to Series McGarret A, Series McGarret C and Series McGarret D of the Trust, the proceeds of which shall be used to pay to Enron the Fixed Amount in exchange for the Floating Amount (as such terms are defined in the Hawaii Total Return Swap Agreement), pursuant to the Hawaii Total Return Swap Agreement, with respect to each such Series.</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Hawaii I Facility Agreement</w:t>
      </w:r>
      <w:r>
        <w:rPr>
          <w:b/>
          <w:bCs/>
          <w:sz w:val="24"/>
          <w:szCs w:val="24"/>
        </w:rPr>
        <w:t>”</w:t>
      </w:r>
      <w:r>
        <w:rPr>
          <w:sz w:val="24"/>
          <w:szCs w:val="24"/>
        </w:rPr>
        <w:t xml:space="preserve"> means that certain Facility Agreement dated November </w:t>
      </w:r>
      <w:r>
        <w:rPr>
          <w:b/>
          <w:bCs/>
          <w:sz w:val="24"/>
          <w:szCs w:val="24"/>
        </w:rPr>
        <w:t>[</w:t>
      </w:r>
      <w:r>
        <w:rPr>
          <w:sz w:val="24"/>
          <w:szCs w:val="24"/>
        </w:rPr>
        <w:t>17</w:t>
      </w:r>
      <w:r>
        <w:rPr>
          <w:b/>
          <w:bCs/>
          <w:sz w:val="24"/>
          <w:szCs w:val="24"/>
        </w:rPr>
        <w:t>]</w:t>
      </w:r>
      <w:r>
        <w:rPr>
          <w:sz w:val="24"/>
          <w:szCs w:val="24"/>
        </w:rPr>
        <w:t>, 2000 among Hawaii I 125-0 Trust, as issuer of the notes, the Lenders party thereto, Canadian Imperial Bank of Commerce, as Administrative Agent, CIBC World Markets Corp., as Sole Lead Arranger and Bookrunner, First Union National Bank and San Paolo IMI S.p.A., as Co-Arrangers, BNP Paribas, as Syndication Agent, and Bayerische Landesbank, as Documentation Agent.</w:t>
      </w:r>
    </w:p>
    <w:p>
      <w:pPr>
        <w:pStyle w:val="Normal"/>
        <w:widowControl/>
        <w:jc w:val="both"/>
        <w:rPr>
          <w:sz w:val="24"/>
          <w:szCs w:val="24"/>
        </w:rPr>
      </w:pPr>
      <w:r>
        <w:rPr>
          <w:sz w:val="24"/>
          <w:szCs w:val="24"/>
        </w:rPr>
      </w:r>
    </w:p>
    <w:p>
      <w:pPr>
        <w:pStyle w:val="Normal"/>
        <w:widowControl/>
        <w:jc w:val="both"/>
        <w:rPr/>
      </w:pPr>
      <w:r>
        <w:rPr>
          <w:sz w:val="24"/>
          <w:szCs w:val="24"/>
        </w:rPr>
        <w:tab/>
        <w:t>“</w:t>
      </w:r>
      <w:r>
        <w:rPr>
          <w:b/>
          <w:bCs/>
          <w:sz w:val="24"/>
          <w:szCs w:val="24"/>
          <w:u w:val="single"/>
        </w:rPr>
        <w:t>Hawaii I Tranches</w:t>
      </w:r>
      <w:r>
        <w:rPr>
          <w:sz w:val="24"/>
          <w:szCs w:val="24"/>
        </w:rPr>
        <w:t>” has the meaning given to such term in Section 2.2(b).</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Increased Commitment Certificate</w:t>
      </w:r>
      <w:r>
        <w:rPr>
          <w:b/>
          <w:bCs/>
          <w:sz w:val="24"/>
          <w:szCs w:val="24"/>
        </w:rPr>
        <w:t>”</w:t>
      </w:r>
      <w:r>
        <w:rPr>
          <w:sz w:val="24"/>
          <w:szCs w:val="24"/>
        </w:rPr>
        <w:t xml:space="preserve"> has the meaning given to such term in Section 3.3(b).</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Increased Commitment Lender</w:t>
      </w:r>
      <w:r>
        <w:rPr>
          <w:b/>
          <w:bCs/>
          <w:sz w:val="24"/>
          <w:szCs w:val="24"/>
        </w:rPr>
        <w:t>”</w:t>
      </w:r>
      <w:r>
        <w:rPr>
          <w:sz w:val="24"/>
          <w:szCs w:val="24"/>
        </w:rPr>
        <w:t xml:space="preserve"> has the meaning given to such term in Section 3.3(b).</w:t>
      </w:r>
    </w:p>
    <w:p>
      <w:pPr>
        <w:pStyle w:val="Normal"/>
        <w:widowControl/>
        <w:jc w:val="both"/>
        <w:rPr>
          <w:sz w:val="24"/>
          <w:szCs w:val="24"/>
        </w:rPr>
      </w:pPr>
      <w:r>
        <w:rPr>
          <w:sz w:val="24"/>
          <w:szCs w:val="24"/>
        </w:rPr>
      </w:r>
    </w:p>
    <w:p>
      <w:pPr>
        <w:pStyle w:val="Normal"/>
        <w:widowControl/>
        <w:jc w:val="both"/>
        <w:rPr/>
      </w:pPr>
      <w:r>
        <w:rPr>
          <w:sz w:val="24"/>
          <w:szCs w:val="24"/>
        </w:rPr>
        <w:tab/>
        <w:t>“</w:t>
      </w:r>
      <w:r>
        <w:rPr>
          <w:b/>
          <w:bCs/>
          <w:sz w:val="24"/>
          <w:szCs w:val="24"/>
          <w:u w:val="single"/>
        </w:rPr>
        <w:t>Indebtedness</w:t>
      </w:r>
      <w:r>
        <w:rPr>
          <w:sz w:val="24"/>
          <w:szCs w:val="24"/>
        </w:rPr>
        <w:t>” means, without duplication, any obligation (whether incurred as principal or surety) for the payment or repayment of money, whether present or future, actual or contingent in respect of or arising under or in connection with:</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w:t>
        <w:tab/>
        <w:t>monies  borrowed including, without limitation, on a contractually subordinated basis;</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(ii)</w:t>
        <w:tab/>
        <w:t>any debenture, bond, note or other similar instrument;</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(iii)</w:t>
        <w:tab/>
        <w:t>any acceptance or documentary credit;</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(vii)</w:t>
        <w:tab/>
        <w:t>the amount payable under any put option or other arrangement whereby the Trust, any Asset LLC or any Transferor is liable to purchase share capital or other securities issued;</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(viii)</w:t>
        <w:tab/>
        <w:t>any guarantee, indemnity or similar assurance against financial loss of any Person in respect of obligations of the type described in the preceding paragraphs (i) to (vii);</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(x)</w:t>
        <w:tab/>
        <w:t>amounts raised under any other transaction having as a primary, and not an incidental effect, the commercial effect of a borrowing;</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(xii)</w:t>
        <w:tab/>
        <w:t>net amounts payable under any interest rate or currency swap, collar or other similar agreement or any other hedging or derivative instrument; or</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Independent Auctioneer Letter</w:t>
      </w:r>
      <w:r>
        <w:rPr>
          <w:b/>
          <w:bCs/>
          <w:sz w:val="24"/>
          <w:szCs w:val="24"/>
        </w:rPr>
        <w:t xml:space="preserve">” </w:t>
      </w:r>
      <w:r>
        <w:rPr>
          <w:sz w:val="24"/>
          <w:szCs w:val="24"/>
        </w:rPr>
        <w:t>means, with respect to each Asset LLC Agreement,  an Independent Auctioneer Letter in substantially the form of Exhibit F (with any amendments that may be approved by the Agent) between CIBC Inc. and the applicable Sponsor.</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Instrument of Assignment</w:t>
      </w:r>
      <w:r>
        <w:rPr>
          <w:b/>
          <w:bCs/>
          <w:sz w:val="24"/>
          <w:szCs w:val="24"/>
        </w:rPr>
        <w:t xml:space="preserve">” </w:t>
      </w:r>
      <w:r>
        <w:rPr>
          <w:sz w:val="24"/>
          <w:szCs w:val="24"/>
        </w:rPr>
        <w:t>means an instrument substantially in the form of Exhibit C.</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Interest Payment Date</w:t>
      </w:r>
      <w:r>
        <w:rPr>
          <w:b/>
          <w:bCs/>
          <w:sz w:val="24"/>
          <w:szCs w:val="24"/>
        </w:rPr>
        <w:t xml:space="preserve">” </w:t>
      </w:r>
      <w:r>
        <w:rPr>
          <w:sz w:val="24"/>
          <w:szCs w:val="24"/>
        </w:rPr>
        <w:t>means, in relation to the Advances, the date for payment of interest determined pursuant to Section 8.1(a).</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Interest Period</w:t>
      </w:r>
      <w:r>
        <w:rPr>
          <w:b/>
          <w:bCs/>
          <w:sz w:val="24"/>
          <w:szCs w:val="24"/>
        </w:rPr>
        <w:t>”</w:t>
      </w:r>
      <w:r>
        <w:rPr>
          <w:sz w:val="24"/>
          <w:szCs w:val="24"/>
        </w:rPr>
        <w:t xml:space="preserve"> means a period by reference to which interest is calculated and payable on the LIBOR Advances, determined in accordance with Section 8.2.</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Lender</w:t>
      </w:r>
      <w:r>
        <w:rPr>
          <w:b/>
          <w:bCs/>
          <w:sz w:val="24"/>
          <w:szCs w:val="24"/>
        </w:rPr>
        <w:t>”</w:t>
      </w:r>
      <w:r>
        <w:rPr>
          <w:sz w:val="24"/>
          <w:szCs w:val="24"/>
        </w:rPr>
        <w:t xml:space="preserve"> and </w:t>
      </w:r>
      <w:r>
        <w:rPr>
          <w:b/>
          <w:bCs/>
          <w:sz w:val="24"/>
          <w:szCs w:val="24"/>
        </w:rPr>
        <w:t>“</w:t>
      </w:r>
      <w:r>
        <w:rPr>
          <w:b/>
          <w:bCs/>
          <w:sz w:val="24"/>
          <w:szCs w:val="24"/>
          <w:u w:val="single"/>
        </w:rPr>
        <w:t>Lenders</w:t>
      </w:r>
      <w:r>
        <w:rPr>
          <w:b/>
          <w:bCs/>
          <w:sz w:val="24"/>
          <w:szCs w:val="24"/>
        </w:rPr>
        <w:t>”</w:t>
      </w:r>
      <w:r>
        <w:rPr>
          <w:sz w:val="24"/>
          <w:szCs w:val="24"/>
        </w:rPr>
        <w:t xml:space="preserve"> have the respective meanings given to such terms in the introductory paragraph to this Agreement.</w:t>
      </w:r>
    </w:p>
    <w:p>
      <w:pPr>
        <w:pStyle w:val="Normal"/>
        <w:keepNext w:val="true"/>
        <w:widowControl/>
        <w:jc w:val="both"/>
        <w:rPr>
          <w:sz w:val="24"/>
          <w:szCs w:val="24"/>
        </w:rPr>
      </w:pPr>
      <w:r>
        <w:rPr>
          <w:sz w:val="24"/>
          <w:szCs w:val="24"/>
        </w:rPr>
      </w:r>
    </w:p>
    <w:p>
      <w:pPr>
        <w:pStyle w:val="Normal"/>
        <w:keepNext w:val="true"/>
        <w:keepLines/>
        <w:widowControl/>
        <w:jc w:val="both"/>
        <w:rPr/>
      </w:pPr>
      <w:r>
        <w:rPr>
          <w:b/>
          <w:bCs/>
          <w:sz w:val="24"/>
          <w:szCs w:val="24"/>
        </w:rPr>
        <w:tab/>
        <w:t>“</w:t>
      </w:r>
      <w:r>
        <w:rPr>
          <w:b/>
          <w:bCs/>
          <w:sz w:val="24"/>
          <w:szCs w:val="24"/>
          <w:u w:val="single"/>
        </w:rPr>
        <w:t>LIBOR</w:t>
      </w:r>
      <w:r>
        <w:rPr>
          <w:b/>
          <w:bCs/>
          <w:sz w:val="24"/>
          <w:szCs w:val="24"/>
        </w:rPr>
        <w:t>”</w:t>
      </w:r>
      <w:r>
        <w:rPr>
          <w:sz w:val="24"/>
          <w:szCs w:val="24"/>
        </w:rPr>
        <w:t xml:space="preserve"> means, in relation to LIBOR Advances:</w:t>
      </w:r>
    </w:p>
    <w:p>
      <w:pPr>
        <w:pStyle w:val="Normal"/>
        <w:keepNext w:val="true"/>
        <w:keepLines/>
        <w:widowControl/>
        <w:jc w:val="both"/>
        <w:rPr>
          <w:sz w:val="24"/>
          <w:szCs w:val="24"/>
        </w:rPr>
      </w:pPr>
      <w:r>
        <w:rPr>
          <w:sz w:val="24"/>
          <w:szCs w:val="24"/>
        </w:rPr>
      </w:r>
    </w:p>
    <w:p>
      <w:pPr>
        <w:pStyle w:val="Normal"/>
        <w:keepLines/>
        <w:widowControl/>
        <w:jc w:val="both"/>
        <w:rPr>
          <w:sz w:val="24"/>
          <w:szCs w:val="24"/>
        </w:rPr>
      </w:pPr>
      <w:r>
        <w:rPr>
          <w:sz w:val="24"/>
          <w:szCs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LIBOR Advances</w:t>
      </w:r>
      <w:r>
        <w:rPr>
          <w:b/>
          <w:bCs/>
          <w:sz w:val="24"/>
          <w:szCs w:val="24"/>
        </w:rPr>
        <w:t>”</w:t>
      </w:r>
      <w:r>
        <w:rPr>
          <w:sz w:val="24"/>
          <w:szCs w:val="24"/>
        </w:rPr>
        <w:t xml:space="preserve"> means Advances which bear interest at LIBOR.</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Lien</w:t>
      </w:r>
      <w:r>
        <w:rPr>
          <w:b/>
          <w:bCs/>
          <w:sz w:val="24"/>
          <w:szCs w:val="24"/>
        </w:rPr>
        <w:t>”</w:t>
      </w:r>
      <w:r>
        <w:rPr>
          <w:sz w:val="24"/>
          <w:szCs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Majority Lenders</w:t>
      </w:r>
      <w:r>
        <w:rPr>
          <w:b/>
          <w:bCs/>
          <w:sz w:val="24"/>
          <w:szCs w:val="24"/>
        </w:rPr>
        <w:t>”</w:t>
      </w:r>
      <w:r>
        <w:rPr>
          <w:sz w:val="24"/>
          <w:szCs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Mandatory Prepayment</w:t>
      </w:r>
      <w:r>
        <w:rPr>
          <w:b/>
          <w:bCs/>
          <w:sz w:val="24"/>
          <w:szCs w:val="24"/>
        </w:rPr>
        <w:t>”</w:t>
      </w:r>
      <w:r>
        <w:rPr>
          <w:sz w:val="24"/>
          <w:szCs w:val="24"/>
        </w:rPr>
        <w:t xml:space="preserve"> has the meaning given to such term in Section 7.1.</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Margin Stock</w:t>
      </w:r>
      <w:r>
        <w:rPr>
          <w:b/>
          <w:bCs/>
          <w:sz w:val="24"/>
          <w:szCs w:val="24"/>
        </w:rPr>
        <w:t xml:space="preserve">” </w:t>
      </w:r>
      <w:r>
        <w:rPr>
          <w:sz w:val="24"/>
          <w:szCs w:val="24"/>
        </w:rPr>
        <w:t>means margin stock within the meaning of Regulations T, U or X promulgated by the Federal Reserve Board.</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Material Adverse Effect</w:t>
      </w:r>
      <w:r>
        <w:rPr>
          <w:b/>
          <w:bCs/>
          <w:sz w:val="24"/>
          <w:szCs w:val="24"/>
        </w:rPr>
        <w:t>”</w:t>
      </w:r>
      <w:r>
        <w:rPr>
          <w:sz w:val="24"/>
          <w:szCs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Methodology</w:t>
      </w:r>
      <w:r>
        <w:rPr>
          <w:b/>
          <w:bCs/>
          <w:sz w:val="24"/>
          <w:szCs w:val="24"/>
        </w:rPr>
        <w:t>”</w:t>
      </w:r>
      <w:r>
        <w:rPr>
          <w:sz w:val="24"/>
          <w:szCs w:val="24"/>
        </w:rPr>
        <w:t xml:space="preserve"> means the methodology for selecting Underlying Assets, described in Part A of Exhibit E hereto.</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Model Structure</w:t>
      </w:r>
      <w:r>
        <w:rPr>
          <w:b/>
          <w:bCs/>
          <w:sz w:val="24"/>
          <w:szCs w:val="24"/>
        </w:rPr>
        <w:t>”</w:t>
      </w:r>
      <w:r>
        <w:rPr>
          <w:sz w:val="24"/>
          <w:szCs w:val="24"/>
        </w:rPr>
        <w:t xml:space="preserve"> means the model structure described in Part B of Exhibit E hereto.</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Moody’s</w:t>
      </w:r>
      <w:r>
        <w:rPr>
          <w:b/>
          <w:bCs/>
          <w:sz w:val="24"/>
          <w:szCs w:val="24"/>
        </w:rPr>
        <w:t>”</w:t>
      </w:r>
      <w:r>
        <w:rPr>
          <w:sz w:val="24"/>
          <w:szCs w:val="24"/>
        </w:rPr>
        <w:t xml:space="preserve"> means Moody’s Investors Service, Inc.</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Notes</w:t>
      </w:r>
      <w:r>
        <w:rPr>
          <w:b/>
          <w:bCs/>
          <w:sz w:val="24"/>
          <w:szCs w:val="24"/>
        </w:rPr>
        <w:t>”</w:t>
      </w:r>
      <w:r>
        <w:rPr>
          <w:sz w:val="24"/>
          <w:szCs w:val="24"/>
        </w:rPr>
        <w:t xml:space="preserve"> means the promissory notes, issued pursuant to Section 4.1(ii)(E) and Section 23.2(h), to the Lenders, substantially in the form of Exhibit B, evidencing the Advances hereunder.</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Omnibus Amendment</w:t>
      </w:r>
      <w:r>
        <w:rPr>
          <w:b/>
          <w:bCs/>
          <w:sz w:val="24"/>
          <w:szCs w:val="24"/>
        </w:rPr>
        <w:t>”</w:t>
      </w:r>
      <w:r>
        <w:rPr>
          <w:sz w:val="24"/>
          <w:szCs w:val="24"/>
        </w:rPr>
        <w:t xml:space="preserve"> means, with respect to each of the Hawaii Tranches, that certain Omnibus Amendment, dated the date hereof, substantially in the form of Exhibit M.</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Operative Documents</w:t>
      </w:r>
      <w:r>
        <w:rPr>
          <w:b/>
          <w:bCs/>
          <w:sz w:val="24"/>
          <w:szCs w:val="24"/>
        </w:rPr>
        <w:t>”</w:t>
      </w:r>
      <w:r>
        <w:rPr>
          <w:sz w:val="24"/>
          <w:szCs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Other Taxes</w:t>
      </w:r>
      <w:r>
        <w:rPr>
          <w:b/>
          <w:bCs/>
          <w:sz w:val="24"/>
          <w:szCs w:val="24"/>
        </w:rPr>
        <w:t>”</w:t>
      </w:r>
      <w:r>
        <w:rPr>
          <w:sz w:val="24"/>
          <w:szCs w:val="24"/>
        </w:rPr>
        <w:t xml:space="preserve"> has the meaning given to such term in Section 8.8(c).</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Owner Trustee</w:t>
      </w:r>
      <w:r>
        <w:rPr>
          <w:b/>
          <w:bCs/>
          <w:sz w:val="24"/>
          <w:szCs w:val="24"/>
        </w:rPr>
        <w:t>”</w:t>
      </w:r>
      <w:r>
        <w:rPr>
          <w:sz w:val="24"/>
          <w:szCs w:val="24"/>
        </w:rPr>
        <w:t xml:space="preserve"> means the person appointed as owner trustee under the Trust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Percentage Commitment</w:t>
      </w:r>
      <w:r>
        <w:rPr>
          <w:b/>
          <w:bCs/>
          <w:sz w:val="24"/>
          <w:szCs w:val="24"/>
        </w:rPr>
        <w:t>”</w:t>
      </w:r>
      <w:r>
        <w:rPr>
          <w:sz w:val="24"/>
          <w:szCs w:val="24"/>
        </w:rPr>
        <w:t xml:space="preserve"> means, in respect of each Lender, that Lender’s Commitment divided by the aggregate of all the Lenders’ Commitments, expressed as a percentage.</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Permitted Investments</w:t>
      </w:r>
      <w:r>
        <w:rPr>
          <w:b/>
          <w:bCs/>
          <w:sz w:val="24"/>
          <w:szCs w:val="24"/>
        </w:rPr>
        <w:t xml:space="preserve">” </w:t>
      </w:r>
      <w:r>
        <w:rPr>
          <w:sz w:val="24"/>
          <w:szCs w:val="24"/>
        </w:rPr>
        <w:t>means the following investments:</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w:t>
        <w:tab/>
        <w:t>cash;</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ab/>
        <w:tab/>
        <w:t>(ii)</w:t>
        <w:tab/>
        <w:t xml:space="preserve">commercial paper maturing not more than nine months from the date of issue </w:t>
        <w:tab/>
        <w:t>and rated at least A-1 by S&amp;P or P-1 by Moody’s;</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 xml:space="preserve">1 by Moody’s; </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widowControl/>
        <w:jc w:val="both"/>
        <w:rPr>
          <w:sz w:val="24"/>
          <w:szCs w:val="24"/>
        </w:rPr>
      </w:pPr>
      <w:r>
        <w:rPr>
          <w:sz w:val="24"/>
          <w:szCs w:val="24"/>
        </w:rPr>
      </w:r>
    </w:p>
    <w:p>
      <w:pPr>
        <w:pStyle w:val="Normal"/>
        <w:widowControl/>
        <w:tabs>
          <w:tab w:val="left" w:pos="720" w:leader="none"/>
        </w:tabs>
        <w:ind w:hanging="720" w:start="720" w:end="0"/>
        <w:jc w:val="both"/>
        <w:rPr>
          <w:sz w:val="24"/>
          <w:szCs w:val="24"/>
        </w:rPr>
      </w:pPr>
      <w:r>
        <w:rPr>
          <w:sz w:val="24"/>
          <w:szCs w:val="24"/>
        </w:rPr>
        <w:tab/>
        <w:tab/>
        <w:t>(vi)</w:t>
        <w:tab/>
        <w:t xml:space="preserve">debt securities having not more than one year until final maturity and listed </w:t>
        <w:tab/>
        <w:t>on a recognized stock exchange and rated at least AA by Moody’s or AA by S&amp;P; and</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(vii)</w:t>
        <w:tab/>
        <w:t>notes and other obligations issued by Enron and/or any of its wholly owned Subsidiaries.</w:t>
      </w:r>
    </w:p>
    <w:p>
      <w:pPr>
        <w:pStyle w:val="Normal"/>
        <w:widowControl/>
        <w:jc w:val="both"/>
        <w:rPr>
          <w:sz w:val="24"/>
          <w:szCs w:val="24"/>
        </w:rPr>
      </w:pPr>
      <w:r>
        <w:rPr>
          <w:sz w:val="24"/>
          <w:szCs w:val="24"/>
        </w:rPr>
      </w:r>
    </w:p>
    <w:p>
      <w:pPr>
        <w:pStyle w:val="Normal"/>
        <w:widowControl/>
        <w:jc w:val="both"/>
        <w:rPr>
          <w:sz w:val="24"/>
          <w:szCs w:val="24"/>
        </w:rPr>
      </w:pPr>
      <w:r>
        <w:rPr>
          <w:sz w:val="24"/>
          <w:szCs w:val="24"/>
        </w:rPr>
        <w:t>provided that no such investment of Series Property shall mature after the Repayment Date for the Tranche to which it relates.</w:t>
      </w:r>
    </w:p>
    <w:p>
      <w:pPr>
        <w:pStyle w:val="Normal"/>
        <w:widowControl/>
        <w:jc w:val="both"/>
        <w:rPr>
          <w:sz w:val="24"/>
          <w:szCs w:val="24"/>
        </w:rPr>
      </w:pPr>
      <w:r>
        <w:rPr>
          <w:sz w:val="24"/>
          <w:szCs w:val="24"/>
        </w:rPr>
      </w:r>
    </w:p>
    <w:p>
      <w:pPr>
        <w:pStyle w:val="Normal"/>
        <w:widowControl/>
        <w:jc w:val="both"/>
        <w:rPr>
          <w:sz w:val="24"/>
          <w:szCs w:val="24"/>
          <w:ins w:id="6" w:author="A&amp;K" w:date="2000-11-09T12:46:00Z"/>
        </w:rPr>
      </w:pPr>
      <w:r>
        <w:rPr>
          <w:sz w:val="24"/>
          <w:szCs w:val="24"/>
        </w:rPr>
        <w:tab/>
      </w:r>
      <w:r>
        <w:rPr>
          <w:b/>
          <w:bCs/>
          <w:sz w:val="24"/>
          <w:szCs w:val="24"/>
        </w:rPr>
        <w:t>“</w:t>
      </w:r>
      <w:r>
        <w:rPr>
          <w:b/>
          <w:bCs/>
          <w:sz w:val="24"/>
          <w:szCs w:val="24"/>
          <w:u w:val="single"/>
        </w:rPr>
        <w:t>Permitted Swap Party</w:t>
      </w:r>
      <w:r>
        <w:rPr>
          <w:b/>
          <w:bCs/>
          <w:sz w:val="24"/>
          <w:szCs w:val="24"/>
        </w:rPr>
        <w:t>”</w:t>
      </w:r>
      <w:r>
        <w:rPr>
          <w:sz w:val="24"/>
          <w:szCs w:val="24"/>
        </w:rPr>
        <w:t xml:space="preserve"> means 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Person</w:t>
      </w:r>
      <w:r>
        <w:rPr>
          <w:b/>
          <w:bCs/>
          <w:sz w:val="24"/>
          <w:szCs w:val="24"/>
        </w:rPr>
        <w:t>”</w:t>
      </w:r>
      <w:r>
        <w:rPr>
          <w:sz w:val="24"/>
          <w:szCs w:val="24"/>
        </w:rPr>
        <w:t xml:space="preserve"> shall mean any individual, corporation, company, voluntary association, partnership, joint venture, trust, limited liability company, unincorporated organization or government authority or entity.</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Prescribed Forms</w:t>
      </w:r>
      <w:r>
        <w:rPr>
          <w:b/>
          <w:bCs/>
          <w:sz w:val="24"/>
          <w:szCs w:val="24"/>
        </w:rPr>
        <w:t>”</w:t>
      </w:r>
      <w:r>
        <w:rPr>
          <w:sz w:val="24"/>
          <w:szCs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Put Notice</w:t>
      </w:r>
      <w:r>
        <w:rPr>
          <w:b/>
          <w:bCs/>
          <w:sz w:val="24"/>
          <w:szCs w:val="24"/>
        </w:rPr>
        <w:t>”</w:t>
      </w:r>
      <w:r>
        <w:rPr>
          <w:sz w:val="24"/>
          <w:szCs w:val="24"/>
        </w:rPr>
        <w:t xml:space="preserve"> has the meaning given to that term in the Put Option Agreements (if applicable).</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Put Option Agreement</w:t>
      </w:r>
      <w:r>
        <w:rPr>
          <w:b/>
          <w:bCs/>
          <w:sz w:val="24"/>
          <w:szCs w:val="24"/>
        </w:rPr>
        <w:t>”</w:t>
      </w:r>
      <w:r>
        <w:rPr>
          <w:sz w:val="24"/>
          <w:szCs w:val="24"/>
        </w:rPr>
        <w:t xml:space="preserve"> means, if applicable, a Put Option Agreement executed by an Asset LLC  and the applicable Sponsor, in form and substance reasonably satisfactory to the Agent.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Put Option Assignment</w:t>
      </w:r>
      <w:r>
        <w:rPr>
          <w:b/>
          <w:bCs/>
          <w:sz w:val="24"/>
          <w:szCs w:val="24"/>
        </w:rPr>
        <w:t>”</w:t>
      </w:r>
      <w:r>
        <w:rPr>
          <w:sz w:val="24"/>
          <w:szCs w:val="24"/>
        </w:rPr>
        <w:t xml:space="preserve"> means, if applicable, an Assignment by an Asset LLC to the Trust whereby such Asset LLC assigns to the Trust its rights to deliver a Put Notice, in form and substance reasonably satisfactory to the Agent.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Quarter</w:t>
      </w:r>
      <w:r>
        <w:rPr>
          <w:b/>
          <w:bCs/>
          <w:sz w:val="24"/>
          <w:szCs w:val="24"/>
        </w:rPr>
        <w:t>”</w:t>
      </w:r>
      <w:r>
        <w:rPr>
          <w:sz w:val="24"/>
          <w:szCs w:val="24"/>
        </w:rPr>
        <w:t xml:space="preserve"> means a period of three (3) calendar months ending on March 31</w:t>
      </w:r>
      <w:r>
        <w:rPr>
          <w:sz w:val="24"/>
          <w:szCs w:val="24"/>
          <w:vertAlign w:val="superscript"/>
        </w:rPr>
        <w:t>st</w:t>
      </w:r>
      <w:r>
        <w:rPr>
          <w:sz w:val="24"/>
          <w:szCs w:val="24"/>
        </w:rPr>
        <w:t>, June 30</w:t>
      </w:r>
      <w:r>
        <w:rPr>
          <w:sz w:val="24"/>
          <w:szCs w:val="24"/>
          <w:vertAlign w:val="superscript"/>
        </w:rPr>
        <w:t>th</w:t>
      </w:r>
      <w:r>
        <w:rPr>
          <w:sz w:val="24"/>
          <w:szCs w:val="24"/>
        </w:rPr>
        <w:t>, September 30</w:t>
      </w:r>
      <w:r>
        <w:rPr>
          <w:sz w:val="24"/>
          <w:szCs w:val="24"/>
          <w:vertAlign w:val="superscript"/>
        </w:rPr>
        <w:t>th</w:t>
      </w:r>
      <w:r>
        <w:rPr>
          <w:sz w:val="24"/>
          <w:szCs w:val="24"/>
        </w:rPr>
        <w:t xml:space="preserve"> or December 31</w:t>
      </w:r>
      <w:r>
        <w:rPr>
          <w:sz w:val="24"/>
          <w:szCs w:val="24"/>
          <w:vertAlign w:val="superscript"/>
        </w:rPr>
        <w:t>st</w:t>
      </w:r>
      <w:r>
        <w:rPr>
          <w:sz w:val="24"/>
          <w:szCs w:val="24"/>
        </w:rPr>
        <w:t xml:space="preserve"> in any year.</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Rate Fixing Day</w:t>
      </w:r>
      <w:r>
        <w:rPr>
          <w:b/>
          <w:bCs/>
          <w:sz w:val="24"/>
          <w:szCs w:val="24"/>
        </w:rPr>
        <w:t xml:space="preserve">” </w:t>
      </w:r>
      <w:r>
        <w:rPr>
          <w:sz w:val="24"/>
          <w:szCs w:val="24"/>
        </w:rPr>
        <w:t>means, in relation to any Interest Period, the Business Day that is two Business Days prior to the first day of such Interest Period.</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Record</w:t>
      </w:r>
      <w:r>
        <w:rPr>
          <w:b/>
          <w:bCs/>
          <w:sz w:val="24"/>
          <w:szCs w:val="24"/>
        </w:rPr>
        <w:t>”</w:t>
      </w:r>
      <w:r>
        <w:rPr>
          <w:sz w:val="24"/>
          <w:szCs w:val="24"/>
        </w:rPr>
        <w:t xml:space="preserve"> has the meaning given to such term in Section 23.2(d).</w:t>
      </w:r>
    </w:p>
    <w:p>
      <w:pPr>
        <w:pStyle w:val="Normal"/>
        <w:widowControl/>
        <w:jc w:val="both"/>
        <w:rPr>
          <w:sz w:val="24"/>
          <w:szCs w:val="24"/>
        </w:rPr>
      </w:pPr>
      <w:r>
        <w:rPr>
          <w:sz w:val="24"/>
          <w:szCs w:val="24"/>
        </w:rPr>
      </w:r>
    </w:p>
    <w:p>
      <w:pPr>
        <w:pStyle w:val="Normal"/>
        <w:widowControl/>
        <w:spacing w:lineRule="atLeast" w:line="480"/>
        <w:jc w:val="both"/>
        <w:rPr/>
      </w:pPr>
      <w:r>
        <w:rPr>
          <w:sz w:val="24"/>
          <w:szCs w:val="24"/>
        </w:rPr>
        <w:tab/>
      </w:r>
      <w:r>
        <w:rPr>
          <w:b/>
          <w:bCs/>
          <w:sz w:val="24"/>
          <w:szCs w:val="24"/>
        </w:rPr>
        <w:t>“</w:t>
      </w:r>
      <w:r>
        <w:rPr>
          <w:b/>
          <w:bCs/>
          <w:sz w:val="24"/>
          <w:szCs w:val="24"/>
          <w:u w:val="single"/>
        </w:rPr>
        <w:t>Recovery</w:t>
      </w:r>
      <w:r>
        <w:rPr>
          <w:b/>
          <w:bCs/>
          <w:sz w:val="24"/>
          <w:szCs w:val="24"/>
        </w:rPr>
        <w:t xml:space="preserve">” </w:t>
      </w:r>
      <w:r>
        <w:rPr>
          <w:sz w:val="24"/>
          <w:szCs w:val="24"/>
        </w:rPr>
        <w:t>has the meaning given to such term in Section 17.1.</w:t>
      </w:r>
    </w:p>
    <w:p>
      <w:pPr>
        <w:pStyle w:val="Normal"/>
        <w:widowControl/>
        <w:jc w:val="both"/>
        <w:rPr/>
      </w:pPr>
      <w:r>
        <w:rPr>
          <w:sz w:val="24"/>
          <w:szCs w:val="24"/>
        </w:rPr>
        <w:tab/>
      </w:r>
      <w:r>
        <w:rPr>
          <w:b/>
          <w:bCs/>
          <w:sz w:val="24"/>
          <w:szCs w:val="24"/>
        </w:rPr>
        <w:t>“</w:t>
      </w:r>
      <w:r>
        <w:rPr>
          <w:b/>
          <w:bCs/>
          <w:sz w:val="24"/>
          <w:szCs w:val="24"/>
          <w:u w:val="single"/>
        </w:rPr>
        <w:t>Reference Banks</w:t>
      </w:r>
      <w:r>
        <w:rPr>
          <w:b/>
          <w:bCs/>
          <w:sz w:val="24"/>
          <w:szCs w:val="24"/>
        </w:rPr>
        <w:t>”</w:t>
      </w:r>
      <w:r>
        <w:rPr>
          <w:sz w:val="24"/>
          <w:szCs w:val="24"/>
        </w:rPr>
        <w:t xml:space="preserve"> means four major banks selected by the Agent in the London interbank market.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Regulation A</w:t>
      </w:r>
      <w:r>
        <w:rPr>
          <w:b/>
          <w:bCs/>
          <w:sz w:val="24"/>
          <w:szCs w:val="24"/>
        </w:rPr>
        <w:t xml:space="preserve">” </w:t>
      </w:r>
      <w:r>
        <w:rPr>
          <w:sz w:val="24"/>
          <w:szCs w:val="24"/>
        </w:rPr>
        <w:t>means Regulation A of the Federal Reserve Board.</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Reimbursement and Disclosure Agreement</w:t>
      </w:r>
      <w:r>
        <w:rPr>
          <w:b/>
          <w:bCs/>
          <w:sz w:val="24"/>
          <w:szCs w:val="24"/>
        </w:rPr>
        <w:t>”</w:t>
      </w:r>
      <w:r>
        <w:rPr>
          <w:sz w:val="24"/>
          <w:szCs w:val="24"/>
        </w:rPr>
        <w:t xml:space="preserve"> means the Reimbursement and Disclosure Agreement dated as of November</w:t>
      </w:r>
      <w:r>
        <w:rPr>
          <w:b/>
          <w:bCs/>
          <w:sz w:val="24"/>
          <w:szCs w:val="24"/>
        </w:rPr>
        <w:t xml:space="preserve"> [</w:t>
      </w:r>
      <w:r>
        <w:rPr>
          <w:sz w:val="24"/>
          <w:szCs w:val="24"/>
        </w:rPr>
        <w:t>17</w:t>
      </w:r>
      <w:r>
        <w:rPr>
          <w:b/>
          <w:bCs/>
          <w:sz w:val="24"/>
          <w:szCs w:val="24"/>
        </w:rPr>
        <w:t>]</w:t>
      </w:r>
      <w:r>
        <w:rPr>
          <w:sz w:val="24"/>
          <w:szCs w:val="24"/>
        </w:rPr>
        <w:t>, 2000 among Enron, the Trust and the Agent.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Relevant Taxes</w:t>
      </w:r>
      <w:r>
        <w:rPr>
          <w:b/>
          <w:bCs/>
          <w:sz w:val="24"/>
          <w:szCs w:val="24"/>
        </w:rPr>
        <w:t>”</w:t>
      </w:r>
      <w:r>
        <w:rPr>
          <w:sz w:val="24"/>
          <w:szCs w:val="24"/>
        </w:rPr>
        <w:t xml:space="preserve"> has the meaning given to such term in Section 8.8.</w:t>
      </w:r>
    </w:p>
    <w:p>
      <w:pPr>
        <w:pStyle w:val="Normal"/>
        <w:widowControl/>
        <w:jc w:val="both"/>
        <w:rPr>
          <w:sz w:val="24"/>
          <w:szCs w:val="24"/>
        </w:rPr>
      </w:pPr>
      <w:r>
        <w:rPr>
          <w:sz w:val="24"/>
          <w:szCs w:val="24"/>
        </w:rPr>
      </w:r>
    </w:p>
    <w:p>
      <w:pPr>
        <w:pStyle w:val="Normal"/>
        <w:widowControl/>
        <w:jc w:val="both"/>
        <w:rPr/>
      </w:pPr>
      <w:r>
        <w:rPr>
          <w:sz w:val="24"/>
          <w:szCs w:val="24"/>
        </w:rPr>
        <w:tab/>
        <w:t>“</w:t>
      </w:r>
      <w:r>
        <w:rPr>
          <w:b/>
          <w:bCs/>
          <w:sz w:val="24"/>
          <w:szCs w:val="24"/>
          <w:u w:val="single"/>
        </w:rPr>
        <w:t>Repayment Date</w:t>
      </w:r>
      <w:r>
        <w:rPr>
          <w:sz w:val="24"/>
          <w:szCs w:val="24"/>
        </w:rPr>
        <w:t>” means, in respect of each Tranche, the date specified in the applicable Drawdown Request, but in no event earlier than one month after the applicable Drawdown Date, nor later than November</w:t>
      </w:r>
      <w:r>
        <w:rPr>
          <w:b/>
          <w:bCs/>
          <w:sz w:val="24"/>
          <w:szCs w:val="24"/>
        </w:rPr>
        <w:t xml:space="preserve"> [</w:t>
      </w:r>
      <w:r>
        <w:rPr>
          <w:sz w:val="24"/>
          <w:szCs w:val="24"/>
        </w:rPr>
        <w:t>16</w:t>
      </w:r>
      <w:r>
        <w:rPr>
          <w:b/>
          <w:bCs/>
          <w:sz w:val="24"/>
          <w:szCs w:val="24"/>
        </w:rPr>
        <w:t>],</w:t>
      </w:r>
      <w:r>
        <w:rPr>
          <w:sz w:val="24"/>
          <w:szCs w:val="24"/>
        </w:rPr>
        <w:t xml:space="preserve"> 2002.</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Replacement Funds</w:t>
      </w:r>
      <w:r>
        <w:rPr>
          <w:b/>
          <w:bCs/>
          <w:sz w:val="24"/>
          <w:szCs w:val="24"/>
        </w:rPr>
        <w:t>”</w:t>
      </w:r>
      <w:r>
        <w:rPr>
          <w:sz w:val="24"/>
          <w:szCs w:val="24"/>
        </w:rPr>
        <w:t xml:space="preserve"> has the meaning given to such term in Section 3.3(c).</w:t>
      </w:r>
    </w:p>
    <w:p>
      <w:pPr>
        <w:pStyle w:val="Normal"/>
        <w:widowControl/>
        <w:jc w:val="both"/>
        <w:rPr>
          <w:sz w:val="24"/>
          <w:szCs w:val="24"/>
        </w:rPr>
      </w:pPr>
      <w:r>
        <w:rPr>
          <w:sz w:val="24"/>
          <w:szCs w:val="24"/>
        </w:rPr>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Reservations</w:t>
      </w:r>
      <w:r>
        <w:rPr>
          <w:b/>
          <w:bCs/>
          <w:sz w:val="24"/>
          <w:szCs w:val="24"/>
        </w:rPr>
        <w:t>”</w:t>
      </w:r>
      <w:r>
        <w:rPr>
          <w:sz w:val="24"/>
          <w:szCs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S&amp;P</w:t>
      </w:r>
      <w:r>
        <w:rPr>
          <w:b/>
          <w:bCs/>
          <w:sz w:val="24"/>
          <w:szCs w:val="24"/>
        </w:rPr>
        <w:t>”</w:t>
      </w:r>
      <w:r>
        <w:rPr>
          <w:sz w:val="24"/>
          <w:szCs w:val="24"/>
        </w:rPr>
        <w:t xml:space="preserve"> means Standard &amp; Poor’s Ratings Services, a division of The McGraw Hill Companies.</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Schedule</w:t>
      </w:r>
      <w:r>
        <w:rPr>
          <w:b/>
          <w:bCs/>
          <w:sz w:val="24"/>
          <w:szCs w:val="24"/>
        </w:rPr>
        <w:t>”</w:t>
      </w:r>
      <w:r>
        <w:rPr>
          <w:sz w:val="24"/>
          <w:szCs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Second Closing Date</w:t>
      </w:r>
      <w:r>
        <w:rPr>
          <w:b/>
          <w:bCs/>
          <w:sz w:val="24"/>
          <w:szCs w:val="24"/>
        </w:rPr>
        <w:t>”</w:t>
      </w:r>
      <w:r>
        <w:rPr>
          <w:sz w:val="24"/>
          <w:szCs w:val="24"/>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w:t>
      </w:r>
      <w:r>
        <w:rPr>
          <w:b/>
          <w:bCs/>
          <w:sz w:val="24"/>
          <w:szCs w:val="24"/>
        </w:rPr>
        <w:t xml:space="preserve"> [</w:t>
      </w:r>
      <w:r>
        <w:rPr>
          <w:sz w:val="24"/>
          <w:szCs w:val="24"/>
        </w:rPr>
        <w:t>9</w:t>
      </w:r>
      <w:r>
        <w:rPr>
          <w:b/>
          <w:bCs/>
          <w:sz w:val="24"/>
          <w:szCs w:val="24"/>
        </w:rPr>
        <w:t>]</w:t>
      </w:r>
      <w:r>
        <w:rPr>
          <w:sz w:val="24"/>
          <w:szCs w:val="24"/>
        </w:rPr>
        <w:t>, 2001.</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Second Drawdown Date</w:t>
      </w:r>
      <w:r>
        <w:rPr>
          <w:b/>
          <w:bCs/>
          <w:sz w:val="24"/>
          <w:szCs w:val="24"/>
        </w:rPr>
        <w:t>”</w:t>
      </w:r>
      <w:r>
        <w:rPr>
          <w:sz w:val="24"/>
          <w:szCs w:val="24"/>
        </w:rPr>
        <w:t xml:space="preserve"> means the Drawdown Date first occurring on or after the Second Closing Date.</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Series</w:t>
      </w:r>
      <w:r>
        <w:rPr>
          <w:b/>
          <w:bCs/>
          <w:sz w:val="24"/>
          <w:szCs w:val="24"/>
        </w:rPr>
        <w:t>”</w:t>
      </w:r>
      <w:r>
        <w:rPr>
          <w:sz w:val="24"/>
          <w:szCs w:val="24"/>
        </w:rPr>
        <w:t xml:space="preserve"> has the meaning given to such term in the Trust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Series Property</w:t>
      </w:r>
      <w:r>
        <w:rPr>
          <w:b/>
          <w:bCs/>
          <w:sz w:val="24"/>
          <w:szCs w:val="24"/>
        </w:rPr>
        <w:t>”</w:t>
      </w:r>
      <w:r>
        <w:rPr>
          <w:sz w:val="24"/>
          <w:szCs w:val="24"/>
        </w:rPr>
        <w:t xml:space="preserve"> has the meaning given to such term in the Trust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Series Supplement</w:t>
      </w:r>
      <w:r>
        <w:rPr>
          <w:b/>
          <w:bCs/>
          <w:sz w:val="24"/>
          <w:szCs w:val="24"/>
        </w:rPr>
        <w:t>”</w:t>
      </w:r>
      <w:r>
        <w:rPr>
          <w:sz w:val="24"/>
          <w:szCs w:val="24"/>
        </w:rPr>
        <w:t xml:space="preserve"> has the meaning given to such term in the Trust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Sponsor</w:t>
      </w:r>
      <w:r>
        <w:rPr>
          <w:b/>
          <w:bCs/>
          <w:sz w:val="24"/>
          <w:szCs w:val="24"/>
        </w:rPr>
        <w:t>”</w:t>
      </w:r>
      <w:r>
        <w:rPr>
          <w:sz w:val="24"/>
          <w:szCs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Sponsor Designee</w:t>
      </w:r>
      <w:r>
        <w:rPr>
          <w:b/>
          <w:bCs/>
          <w:sz w:val="24"/>
          <w:szCs w:val="24"/>
        </w:rPr>
        <w:t>”</w:t>
      </w:r>
      <w:r>
        <w:rPr>
          <w:sz w:val="24"/>
          <w:szCs w:val="24"/>
        </w:rPr>
        <w:t xml:space="preserve"> has the meaning given to such term in the Trust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Subscriber</w:t>
      </w:r>
      <w:r>
        <w:rPr>
          <w:b/>
          <w:bCs/>
          <w:sz w:val="24"/>
          <w:szCs w:val="24"/>
        </w:rPr>
        <w:t>”</w:t>
      </w:r>
      <w:r>
        <w:rPr>
          <w:sz w:val="24"/>
          <w:szCs w:val="24"/>
        </w:rPr>
        <w:t xml:space="preserve"> shall mean CIBC Inc.</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Subscription Agreement</w:t>
      </w:r>
      <w:r>
        <w:rPr>
          <w:b/>
          <w:bCs/>
          <w:sz w:val="24"/>
          <w:szCs w:val="24"/>
        </w:rPr>
        <w:t>”</w:t>
      </w:r>
      <w:r>
        <w:rPr>
          <w:sz w:val="24"/>
          <w:szCs w:val="24"/>
        </w:rPr>
        <w:t xml:space="preserve"> shall mean that certain Subscription Agreement dated November</w:t>
      </w:r>
      <w:r>
        <w:rPr>
          <w:b/>
          <w:bCs/>
          <w:sz w:val="24"/>
          <w:szCs w:val="24"/>
        </w:rPr>
        <w:t> [</w:t>
      </w:r>
      <w:r>
        <w:rPr>
          <w:sz w:val="24"/>
          <w:szCs w:val="24"/>
        </w:rPr>
        <w:t>17</w:t>
      </w:r>
      <w:r>
        <w:rPr>
          <w:b/>
          <w:bCs/>
          <w:sz w:val="24"/>
          <w:szCs w:val="24"/>
        </w:rPr>
        <w:t>]</w:t>
      </w:r>
      <w:r>
        <w:rPr>
          <w:sz w:val="24"/>
          <w:szCs w:val="24"/>
        </w:rPr>
        <w:t>, 2000 and executed by the Trust and the Subscriber, as amended or restated after such date.</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Subsidiary</w:t>
      </w:r>
      <w:r>
        <w:rPr>
          <w:b/>
          <w:bCs/>
          <w:sz w:val="24"/>
          <w:szCs w:val="24"/>
        </w:rPr>
        <w:t>”</w:t>
      </w:r>
      <w:r>
        <w:rPr>
          <w:sz w:val="24"/>
          <w:szCs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Swap Confirmation</w:t>
      </w:r>
      <w:r>
        <w:rPr>
          <w:b/>
          <w:bCs/>
          <w:sz w:val="24"/>
          <w:szCs w:val="24"/>
        </w:rPr>
        <w:t>”</w:t>
      </w:r>
      <w:r>
        <w:rPr>
          <w:sz w:val="24"/>
          <w:szCs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widowControl/>
        <w:jc w:val="both"/>
        <w:rPr>
          <w:b/>
          <w:bCs/>
          <w:sz w:val="24"/>
          <w:szCs w:val="24"/>
        </w:rPr>
      </w:pPr>
      <w:r>
        <w:rPr>
          <w:b/>
          <w:bCs/>
          <w:sz w:val="24"/>
          <w:szCs w:val="24"/>
        </w:rPr>
      </w:r>
    </w:p>
    <w:p>
      <w:pPr>
        <w:pStyle w:val="Normal"/>
        <w:widowControl/>
        <w:jc w:val="both"/>
        <w:rPr/>
      </w:pPr>
      <w:r>
        <w:rPr>
          <w:sz w:val="24"/>
          <w:szCs w:val="24"/>
        </w:rPr>
        <w:tab/>
      </w:r>
      <w:r>
        <w:rPr>
          <w:b/>
          <w:bCs/>
          <w:sz w:val="24"/>
          <w:szCs w:val="24"/>
        </w:rPr>
        <w:t>“</w:t>
      </w:r>
      <w:r>
        <w:rPr>
          <w:b/>
          <w:bCs/>
          <w:sz w:val="24"/>
          <w:szCs w:val="24"/>
          <w:u w:val="single"/>
        </w:rPr>
        <w:t>Taxes</w:t>
      </w:r>
      <w:r>
        <w:rPr>
          <w:b/>
          <w:bCs/>
          <w:sz w:val="24"/>
          <w:szCs w:val="24"/>
        </w:rPr>
        <w:t>”</w:t>
      </w:r>
      <w:r>
        <w:rPr>
          <w:sz w:val="24"/>
          <w:szCs w:val="24"/>
        </w:rPr>
        <w:t xml:space="preserve"> means and includes all present and future taxes, levies, assessments, imposts, deductions, charges, duties and withholdings and any payments made on or in respect thereof, including income, franchise and similar taxes; and</w:t>
      </w:r>
      <w:r>
        <w:rPr>
          <w:b/>
          <w:bCs/>
          <w:sz w:val="24"/>
          <w:szCs w:val="24"/>
        </w:rPr>
        <w:t xml:space="preserve"> “</w:t>
      </w:r>
      <w:r>
        <w:rPr>
          <w:b/>
          <w:bCs/>
          <w:sz w:val="24"/>
          <w:szCs w:val="24"/>
          <w:u w:val="single"/>
        </w:rPr>
        <w:t>Tax</w:t>
      </w:r>
      <w:r>
        <w:rPr>
          <w:b/>
          <w:bCs/>
          <w:sz w:val="24"/>
          <w:szCs w:val="24"/>
        </w:rPr>
        <w:t xml:space="preserve">” </w:t>
      </w:r>
      <w:r>
        <w:rPr>
          <w:sz w:val="24"/>
          <w:szCs w:val="24"/>
        </w:rPr>
        <w:t xml:space="preserve">and </w:t>
      </w:r>
      <w:r>
        <w:rPr>
          <w:b/>
          <w:bCs/>
          <w:sz w:val="24"/>
          <w:szCs w:val="24"/>
        </w:rPr>
        <w:t>“</w:t>
      </w:r>
      <w:r>
        <w:rPr>
          <w:b/>
          <w:bCs/>
          <w:sz w:val="24"/>
          <w:szCs w:val="24"/>
          <w:u w:val="single"/>
        </w:rPr>
        <w:t>Taxation</w:t>
      </w:r>
      <w:r>
        <w:rPr>
          <w:b/>
          <w:bCs/>
          <w:sz w:val="24"/>
          <w:szCs w:val="24"/>
        </w:rPr>
        <w:t xml:space="preserve">” </w:t>
      </w:r>
      <w:r>
        <w:rPr>
          <w:sz w:val="24"/>
          <w:szCs w:val="24"/>
        </w:rPr>
        <w:t>shall be construed accordingly.</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Termination of Hawaii Facility Agreement</w:t>
      </w:r>
      <w:r>
        <w:rPr>
          <w:b/>
          <w:bCs/>
          <w:sz w:val="24"/>
          <w:szCs w:val="24"/>
        </w:rPr>
        <w:t>”</w:t>
      </w:r>
      <w:r>
        <w:rPr>
          <w:sz w:val="24"/>
          <w:szCs w:val="24"/>
        </w:rPr>
        <w:t xml:space="preserve"> means that certain Termination of Hawaii Facility Agreement, dated the date hereof, between the Trust, the Agent and Enron, terminating all obligations of all parties to the Hawaii Facility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Total Return Swap Agreement</w:t>
      </w:r>
      <w:r>
        <w:rPr>
          <w:b/>
          <w:bCs/>
          <w:sz w:val="24"/>
          <w:szCs w:val="24"/>
        </w:rPr>
        <w:t>”</w:t>
      </w:r>
      <w:r>
        <w:rPr>
          <w:sz w:val="24"/>
          <w:szCs w:val="24"/>
        </w:rPr>
        <w:t xml:space="preserve"> means (i) that certain ISDA Master Agreement dated November </w:t>
      </w:r>
      <w:r>
        <w:rPr>
          <w:b/>
          <w:bCs/>
          <w:sz w:val="24"/>
          <w:szCs w:val="24"/>
        </w:rPr>
        <w:t>[</w:t>
      </w:r>
      <w:r>
        <w:rPr>
          <w:sz w:val="24"/>
          <w:szCs w:val="24"/>
        </w:rPr>
        <w:t>17</w:t>
      </w:r>
      <w:r>
        <w:rPr>
          <w:b/>
          <w:bCs/>
          <w:sz w:val="24"/>
          <w:szCs w:val="24"/>
        </w:rPr>
        <w:t>]</w:t>
      </w:r>
      <w:r>
        <w:rPr>
          <w:sz w:val="24"/>
          <w:szCs w:val="24"/>
        </w:rPr>
        <w:t>,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widowControl/>
        <w:jc w:val="both"/>
        <w:rPr>
          <w:b/>
          <w:bCs/>
          <w:sz w:val="24"/>
          <w:szCs w:val="24"/>
        </w:rPr>
      </w:pPr>
      <w:r>
        <w:rPr>
          <w:b/>
          <w:bCs/>
          <w:sz w:val="24"/>
          <w:szCs w:val="24"/>
        </w:rPr>
      </w:r>
    </w:p>
    <w:p>
      <w:pPr>
        <w:pStyle w:val="Normal"/>
        <w:widowControl/>
        <w:jc w:val="both"/>
        <w:rPr/>
      </w:pPr>
      <w:r>
        <w:rPr>
          <w:b/>
          <w:bCs/>
          <w:sz w:val="24"/>
          <w:szCs w:val="24"/>
        </w:rPr>
        <w:tab/>
        <w:t>“</w:t>
      </w:r>
      <w:r>
        <w:rPr>
          <w:b/>
          <w:bCs/>
          <w:sz w:val="24"/>
          <w:szCs w:val="24"/>
          <w:u w:val="single"/>
        </w:rPr>
        <w:t>Tranche</w:t>
      </w:r>
      <w:r>
        <w:rPr>
          <w:b/>
          <w:bCs/>
          <w:sz w:val="24"/>
          <w:szCs w:val="24"/>
        </w:rPr>
        <w:t>”</w:t>
      </w:r>
      <w:r>
        <w:rPr>
          <w:sz w:val="24"/>
          <w:szCs w:val="24"/>
        </w:rPr>
        <w:t xml:space="preserve"> has the meaning given to such term in Section 2.1.</w:t>
      </w:r>
    </w:p>
    <w:p>
      <w:pPr>
        <w:pStyle w:val="Normal"/>
        <w:widowControl/>
        <w:jc w:val="both"/>
        <w:rPr>
          <w:sz w:val="24"/>
          <w:szCs w:val="24"/>
        </w:rPr>
      </w:pPr>
      <w:r>
        <w:rPr>
          <w:sz w:val="24"/>
          <w:szCs w:val="24"/>
        </w:rPr>
      </w:r>
    </w:p>
    <w:p>
      <w:pPr>
        <w:pStyle w:val="Normal"/>
        <w:widowControl/>
        <w:jc w:val="both"/>
        <w:rPr/>
      </w:pPr>
      <w:r>
        <w:rPr>
          <w:sz w:val="24"/>
          <w:szCs w:val="24"/>
        </w:rPr>
        <w:tab/>
        <w:t>“</w:t>
      </w:r>
      <w:r>
        <w:rPr>
          <w:b/>
          <w:bCs/>
          <w:sz w:val="24"/>
          <w:szCs w:val="24"/>
          <w:u w:val="single"/>
        </w:rPr>
        <w:t>Transfer and Auction Agreement</w:t>
      </w:r>
      <w:r>
        <w:rPr>
          <w:sz w:val="24"/>
          <w:szCs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Transferor</w:t>
      </w:r>
      <w:r>
        <w:rPr>
          <w:b/>
          <w:bCs/>
          <w:sz w:val="24"/>
          <w:szCs w:val="24"/>
        </w:rPr>
        <w:t>”</w:t>
      </w:r>
      <w:r>
        <w:rPr>
          <w:sz w:val="24"/>
          <w:szCs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Transferor Constitutional Document</w:t>
      </w:r>
      <w:r>
        <w:rPr>
          <w:b/>
          <w:bCs/>
          <w:sz w:val="24"/>
          <w:szCs w:val="24"/>
        </w:rPr>
        <w:t>”</w:t>
      </w:r>
      <w:r>
        <w:rPr>
          <w:sz w:val="24"/>
          <w:szCs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Transferor LLC Agreement</w:t>
      </w:r>
      <w:r>
        <w:rPr>
          <w:b/>
          <w:bCs/>
          <w:sz w:val="24"/>
          <w:szCs w:val="24"/>
        </w:rPr>
        <w:t>”</w:t>
      </w:r>
      <w:r>
        <w:rPr>
          <w:sz w:val="24"/>
          <w:szCs w:val="24"/>
        </w:rPr>
        <w:t xml:space="preserve"> means a limited liability company agreement substantially in the form of Part 2 of Exhibit I (with such amendments as the Agent may approve) .</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Trust</w:t>
      </w:r>
      <w:r>
        <w:rPr>
          <w:b/>
          <w:bCs/>
          <w:sz w:val="24"/>
          <w:szCs w:val="24"/>
        </w:rPr>
        <w:t>”</w:t>
      </w:r>
      <w:r>
        <w:rPr>
          <w:sz w:val="24"/>
          <w:szCs w:val="24"/>
        </w:rPr>
        <w:t xml:space="preserve"> has the meaning given to that term in the introductory paragraph to this Agreement.</w:t>
      </w:r>
    </w:p>
    <w:p>
      <w:pPr>
        <w:pStyle w:val="Normal"/>
        <w:widowControl/>
        <w:jc w:val="both"/>
        <w:rPr>
          <w:sz w:val="24"/>
          <w:szCs w:val="24"/>
        </w:rPr>
      </w:pPr>
      <w:r>
        <w:rPr>
          <w:sz w:val="24"/>
          <w:szCs w:val="24"/>
        </w:rPr>
      </w:r>
    </w:p>
    <w:p>
      <w:pPr>
        <w:pStyle w:val="Normal"/>
        <w:widowControl/>
        <w:jc w:val="both"/>
        <w:rPr/>
      </w:pPr>
      <w:r>
        <w:rPr>
          <w:b/>
          <w:bCs/>
          <w:sz w:val="24"/>
          <w:szCs w:val="24"/>
        </w:rPr>
        <w:tab/>
        <w:t>“</w:t>
      </w:r>
      <w:r>
        <w:rPr>
          <w:b/>
          <w:bCs/>
          <w:sz w:val="24"/>
          <w:szCs w:val="24"/>
          <w:u w:val="single"/>
        </w:rPr>
        <w:t>Trust Agreement</w:t>
      </w:r>
      <w:r>
        <w:rPr>
          <w:b/>
          <w:bCs/>
          <w:sz w:val="24"/>
          <w:szCs w:val="24"/>
        </w:rPr>
        <w:t>”</w:t>
      </w:r>
      <w:r>
        <w:rPr>
          <w:sz w:val="24"/>
          <w:szCs w:val="24"/>
        </w:rPr>
        <w:t xml:space="preserve"> means the Second Amended and Restated Trust Agreement of Hawaii II 125-0 Trust, dated as of November</w:t>
      </w:r>
      <w:r>
        <w:rPr>
          <w:b/>
          <w:bCs/>
          <w:sz w:val="24"/>
          <w:szCs w:val="24"/>
        </w:rPr>
        <w:t> [</w:t>
      </w:r>
      <w:r>
        <w:rPr>
          <w:sz w:val="24"/>
          <w:szCs w:val="24"/>
        </w:rPr>
        <w:t>17</w:t>
      </w:r>
      <w:r>
        <w:rPr>
          <w:b/>
          <w:bCs/>
          <w:sz w:val="24"/>
          <w:szCs w:val="24"/>
        </w:rPr>
        <w:t>]</w:t>
      </w:r>
      <w:r>
        <w:rPr>
          <w:sz w:val="24"/>
          <w:szCs w:val="24"/>
        </w:rPr>
        <w:t>,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Trust Property</w:t>
      </w:r>
      <w:r>
        <w:rPr>
          <w:b/>
          <w:bCs/>
          <w:sz w:val="24"/>
          <w:szCs w:val="24"/>
        </w:rPr>
        <w:t>”</w:t>
      </w:r>
      <w:r>
        <w:rPr>
          <w:sz w:val="24"/>
          <w:szCs w:val="24"/>
        </w:rPr>
        <w:t xml:space="preserve"> has the meaning given to such term in the Trust Agreement .</w:t>
      </w:r>
    </w:p>
    <w:p>
      <w:pPr>
        <w:pStyle w:val="Normal"/>
        <w:widowControl/>
        <w:jc w:val="both"/>
        <w:rPr>
          <w:b/>
          <w:bCs/>
          <w:sz w:val="24"/>
          <w:szCs w:val="24"/>
        </w:rPr>
      </w:pPr>
      <w:r>
        <w:rPr>
          <w:b/>
          <w:bCs/>
          <w:sz w:val="24"/>
          <w:szCs w:val="24"/>
        </w:rPr>
      </w:r>
    </w:p>
    <w:p>
      <w:pPr>
        <w:pStyle w:val="Normal"/>
        <w:widowControl/>
        <w:jc w:val="both"/>
        <w:rPr/>
      </w:pPr>
      <w:r>
        <w:rPr>
          <w:b/>
          <w:bCs/>
          <w:sz w:val="24"/>
          <w:szCs w:val="24"/>
        </w:rPr>
        <w:tab/>
        <w:t>“</w:t>
      </w:r>
      <w:r>
        <w:rPr>
          <w:b/>
          <w:bCs/>
          <w:sz w:val="24"/>
          <w:szCs w:val="24"/>
          <w:u w:val="single"/>
        </w:rPr>
        <w:t>Underlying Assets</w:t>
      </w:r>
      <w:r>
        <w:rPr>
          <w:b/>
          <w:bCs/>
          <w:sz w:val="24"/>
          <w:szCs w:val="24"/>
        </w:rPr>
        <w:t>”</w:t>
      </w:r>
      <w:r>
        <w:rPr>
          <w:sz w:val="24"/>
          <w:szCs w:val="24"/>
        </w:rPr>
        <w:t xml:space="preserve"> means, with respect to any Series, the assets owned by or to be transferred to the applicable Asset LLC by the Sponsor pursuant to the applicable Asset LLC Agreement.</w:t>
      </w:r>
    </w:p>
    <w:p>
      <w:pPr>
        <w:pStyle w:val="Normal"/>
        <w:widowControl/>
        <w:jc w:val="both"/>
        <w:rPr>
          <w:sz w:val="24"/>
          <w:szCs w:val="24"/>
        </w:rPr>
      </w:pPr>
      <w:r>
        <w:rPr>
          <w:sz w:val="24"/>
          <w:szCs w:val="24"/>
        </w:rPr>
      </w:r>
    </w:p>
    <w:p>
      <w:pPr>
        <w:pStyle w:val="Normal"/>
        <w:widowControl/>
        <w:jc w:val="both"/>
        <w:rPr/>
      </w:pPr>
      <w:r>
        <w:rPr>
          <w:sz w:val="24"/>
          <w:szCs w:val="24"/>
        </w:rPr>
        <w:tab/>
      </w:r>
      <w:r>
        <w:rPr>
          <w:b/>
          <w:bCs/>
          <w:sz w:val="24"/>
          <w:szCs w:val="24"/>
        </w:rPr>
        <w:t>“</w:t>
      </w:r>
      <w:r>
        <w:rPr>
          <w:b/>
          <w:bCs/>
          <w:sz w:val="24"/>
          <w:szCs w:val="24"/>
          <w:u w:val="single"/>
        </w:rPr>
        <w:t>Unpaid Sum</w:t>
      </w:r>
      <w:r>
        <w:rPr>
          <w:b/>
          <w:bCs/>
          <w:sz w:val="24"/>
          <w:szCs w:val="24"/>
        </w:rPr>
        <w:t>”</w:t>
      </w:r>
      <w:r>
        <w:rPr>
          <w:sz w:val="24"/>
          <w:szCs w:val="24"/>
        </w:rPr>
        <w:t xml:space="preserve"> has the meaning given to such term in Section 8.3(a).</w:t>
      </w:r>
    </w:p>
    <w:p>
      <w:pPr>
        <w:pStyle w:val="Normal"/>
        <w:keepNext w:val="true"/>
        <w:widowControl/>
        <w:jc w:val="both"/>
        <w:rPr>
          <w:sz w:val="24"/>
          <w:szCs w:val="24"/>
        </w:rPr>
      </w:pPr>
      <w:r>
        <w:rPr>
          <w:sz w:val="24"/>
          <w:szCs w:val="24"/>
        </w:rPr>
      </w:r>
    </w:p>
    <w:p>
      <w:pPr>
        <w:pStyle w:val="Normal"/>
        <w:keepNext w:val="true"/>
        <w:keepLines/>
        <w:widowControl/>
        <w:numPr>
          <w:ilvl w:val="1"/>
          <w:numId w:val="3"/>
        </w:numPr>
        <w:tabs>
          <w:tab w:val="clear" w:pos="720"/>
          <w:tab w:val="left" w:pos="0" w:leader="none"/>
        </w:tabs>
        <w:ind w:hanging="0" w:start="0"/>
        <w:jc w:val="both"/>
        <w:rPr/>
      </w:pPr>
      <w:r>
        <w:rPr>
          <w:rStyle w:val="SectionHead"/>
          <w:sz w:val="24"/>
          <w:szCs w:val="24"/>
        </w:rPr>
        <w:tab/>
        <w:t xml:space="preserve">Section     Interpretation </w:t>
      </w:r>
      <w:ins w:id="7" w:author="foobar" w:date="2000-11-09T12:47:00Z">
        <w:r>
          <w:fldChar w:fldCharType="begin"/>
        </w:r>
        <w:r>
          <w:rPr/>
          <w:instrText xml:space="preserve"> TC "Section     Interpretation " \l 2 </w:instrText>
        </w:r>
      </w:ins>
      <w:r>
        <w:rPr/>
        <w:fldChar w:fldCharType="separate"/>
      </w:r>
      <w:ins w:id="8" w:author="foobar" w:date="2000-11-09T12:47:00Z">
        <w:r>
          <w:rPr/>
        </w:r>
      </w:ins>
      <w:r>
        <w:rPr/>
        <w:fldChar w:fldCharType="end"/>
      </w:r>
      <w:r>
        <w:rPr>
          <w:sz w:val="24"/>
          <w:szCs w:val="24"/>
        </w:rPr>
        <w:t>.  In this Agreement, unless the context otherwise requires, a reference to:</w:t>
      </w:r>
    </w:p>
    <w:p>
      <w:pPr>
        <w:pStyle w:val="Normal"/>
        <w:keepNext w:val="true"/>
        <w:keepLines/>
        <w:widowControl/>
        <w:numPr>
          <w:ilvl w:val="1"/>
          <w:numId w:val="3"/>
        </w:numPr>
        <w:tabs>
          <w:tab w:val="clear" w:pos="720"/>
          <w:tab w:val="left" w:pos="0" w:leader="none"/>
        </w:tabs>
        <w:ind w:hanging="0" w:start="0"/>
        <w:jc w:val="both"/>
        <w:rPr>
          <w:sz w:val="24"/>
          <w:szCs w:val="24"/>
        </w:rPr>
      </w:pPr>
      <w:r>
        <w:rPr>
          <w:sz w:val="24"/>
          <w:szCs w:val="24"/>
        </w:rPr>
      </w:r>
    </w:p>
    <w:p>
      <w:pPr>
        <w:pStyle w:val="a"/>
        <w:keepLines/>
        <w:widowControl/>
        <w:numPr>
          <w:ilvl w:val="2"/>
          <w:numId w:val="3"/>
        </w:numPr>
        <w:tabs>
          <w:tab w:val="clear" w:pos="720"/>
          <w:tab w:val="left" w:pos="0" w:leader="none"/>
        </w:tabs>
        <w:ind w:hanging="0" w:start="0"/>
        <w:jc w:val="both"/>
        <w:rPr/>
      </w:pPr>
      <w:r>
        <w:rPr/>
        <w:t xml:space="preserve">a </w:t>
      </w:r>
      <w:r>
        <w:rPr>
          <w:b/>
          <w:bCs/>
        </w:rPr>
        <w:t>“</w:t>
      </w:r>
      <w:r>
        <w:rPr>
          <w:b/>
          <w:bCs/>
          <w:u w:val="single"/>
        </w:rPr>
        <w:t>Month</w:t>
      </w:r>
      <w:r>
        <w:rPr>
          <w:b/>
          <w:bCs/>
        </w:rPr>
        <w:t>”</w:t>
      </w:r>
      <w:r>
        <w:rPr/>
        <w:t xml:space="preserve"> means (except where used in the expression</w:t>
      </w:r>
      <w:r>
        <w:rPr>
          <w:b/>
          <w:bCs/>
        </w:rPr>
        <w:t xml:space="preserve"> “</w:t>
      </w:r>
      <w:r>
        <w:rPr>
          <w:b/>
          <w:bCs/>
          <w:u w:val="single"/>
        </w:rPr>
        <w:t>calendar month</w:t>
      </w:r>
      <w:r>
        <w:rPr>
          <w:b/>
          <w:bCs/>
        </w:rPr>
        <w:t>”</w:t>
      </w:r>
      <w:r>
        <w:rPr/>
        <w:t xml:space="preserve">) a period starting on one day in a calendar month and ending on the numerically corresponding day in the next calendar month (or in a subsequent calendar month in the case of the plural </w:t>
      </w:r>
      <w:r>
        <w:rPr>
          <w:b/>
          <w:bCs/>
        </w:rPr>
        <w:t>“</w:t>
      </w:r>
      <w:r>
        <w:rPr>
          <w:b/>
          <w:bCs/>
          <w:u w:val="single"/>
        </w:rPr>
        <w:t>months</w:t>
      </w:r>
      <w:r>
        <w:rPr>
          <w:b/>
          <w:bCs/>
        </w:rPr>
        <w:t>”</w:t>
      </w:r>
      <w:r>
        <w:rPr/>
        <w:t>), provided that if:</w:t>
      </w:r>
    </w:p>
    <w:p>
      <w:pPr>
        <w:pStyle w:val="i"/>
        <w:widowControl/>
        <w:numPr>
          <w:ilvl w:val="3"/>
          <w:numId w:val="3"/>
        </w:numPr>
        <w:tabs>
          <w:tab w:val="clear" w:pos="720"/>
          <w:tab w:val="left" w:pos="0" w:leader="none"/>
        </w:tabs>
        <w:ind w:hanging="0" w:start="720"/>
        <w:jc w:val="both"/>
        <w:rPr/>
      </w:pPr>
      <w:r>
        <w:rPr/>
        <w:t>any such period would otherwise end on a day which is not a Business Day, it shall end on the next Business Day in the same calendar month, or if none, on the preceding Business Day, and</w:t>
      </w:r>
    </w:p>
    <w:p>
      <w:pPr>
        <w:pStyle w:val="i"/>
        <w:widowControl/>
        <w:numPr>
          <w:ilvl w:val="3"/>
          <w:numId w:val="3"/>
        </w:numPr>
        <w:tabs>
          <w:tab w:val="clear" w:pos="720"/>
          <w:tab w:val="left" w:pos="0" w:leader="none"/>
        </w:tabs>
        <w:ind w:hanging="0" w:start="720"/>
        <w:jc w:val="both"/>
        <w:rPr/>
      </w:pPr>
      <w:r>
        <w:rPr/>
        <w:tab/>
        <w:t>a period starts on the last Business Day in a calendar month or if there is no numerically corresponding day in the month in which that period ends, that period shall end on the last Business Day in that later month.</w:t>
      </w:r>
    </w:p>
    <w:p>
      <w:pPr>
        <w:pStyle w:val="a"/>
        <w:widowControl/>
        <w:numPr>
          <w:ilvl w:val="2"/>
          <w:numId w:val="3"/>
        </w:numPr>
        <w:tabs>
          <w:tab w:val="clear" w:pos="720"/>
          <w:tab w:val="left" w:pos="0" w:leader="none"/>
        </w:tabs>
        <w:ind w:hanging="0" w:start="0"/>
        <w:jc w:val="both"/>
        <w:rPr/>
      </w:pPr>
      <w:r>
        <w:rPr/>
        <w:tab/>
        <w:t>a reference to the Trust or a Finance Party is, where relevant, deemed to be a reference to or to include, as appropriate, their respective successors or assigns;</w:t>
      </w:r>
    </w:p>
    <w:p>
      <w:pPr>
        <w:pStyle w:val="a"/>
        <w:widowControl/>
        <w:numPr>
          <w:ilvl w:val="2"/>
          <w:numId w:val="3"/>
        </w:numPr>
        <w:tabs>
          <w:tab w:val="clear" w:pos="720"/>
          <w:tab w:val="left" w:pos="0" w:leader="none"/>
        </w:tabs>
        <w:ind w:hanging="0" w:start="0"/>
        <w:jc w:val="both"/>
        <w:rPr/>
      </w:pPr>
      <w:r>
        <w:rPr/>
        <w:tab/>
        <w:t>references to Articles, Sections, Schedules and Exhibits are references to, respectively, articles and sections of and schedules and exhibits to this Agreement;</w:t>
      </w:r>
    </w:p>
    <w:p>
      <w:pPr>
        <w:pStyle w:val="a"/>
        <w:widowControl/>
        <w:numPr>
          <w:ilvl w:val="2"/>
          <w:numId w:val="3"/>
        </w:numPr>
        <w:tabs>
          <w:tab w:val="clear" w:pos="720"/>
          <w:tab w:val="left" w:pos="0" w:leader="none"/>
        </w:tabs>
        <w:ind w:hanging="0" w:start="0"/>
        <w:jc w:val="both"/>
        <w:rPr/>
      </w:pPr>
      <w:r>
        <w:rPr/>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a"/>
        <w:widowControl/>
        <w:numPr>
          <w:ilvl w:val="2"/>
          <w:numId w:val="3"/>
        </w:numPr>
        <w:tabs>
          <w:tab w:val="clear" w:pos="720"/>
          <w:tab w:val="left" w:pos="0" w:leader="none"/>
        </w:tabs>
        <w:ind w:hanging="0" w:start="0"/>
        <w:jc w:val="both"/>
        <w:rPr/>
      </w:pPr>
      <w:r>
        <w:rPr/>
        <w:tab/>
        <w:t>a reference to a statute, law, rule, regulation or statutory instrument is to be construed as a reference to that statute as the same may have been or may from time to time hereafter be, amended or re-enacted and any includes any successor thereto;</w:t>
      </w:r>
    </w:p>
    <w:p>
      <w:pPr>
        <w:pStyle w:val="a"/>
        <w:widowControl/>
        <w:numPr>
          <w:ilvl w:val="2"/>
          <w:numId w:val="3"/>
        </w:numPr>
        <w:tabs>
          <w:tab w:val="clear" w:pos="720"/>
          <w:tab w:val="left" w:pos="0" w:leader="none"/>
        </w:tabs>
        <w:ind w:hanging="0" w:start="0"/>
        <w:jc w:val="both"/>
        <w:rPr/>
      </w:pPr>
      <w:r>
        <w:rPr/>
        <w:tab/>
        <w:t>unless otherwise specified, a time of day is a reference to New York, New York time;</w:t>
      </w:r>
    </w:p>
    <w:p>
      <w:pPr>
        <w:pStyle w:val="a"/>
        <w:widowControl/>
        <w:numPr>
          <w:ilvl w:val="2"/>
          <w:numId w:val="3"/>
        </w:numPr>
        <w:tabs>
          <w:tab w:val="clear" w:pos="720"/>
          <w:tab w:val="left" w:pos="0" w:leader="none"/>
        </w:tabs>
        <w:ind w:hanging="0" w:start="0"/>
        <w:jc w:val="both"/>
        <w:rPr/>
      </w:pPr>
      <w:r>
        <w:rPr/>
        <w:tab/>
        <w:t>the index to and the headings in this Agreement are inserted for convenience only and are to be ignored in construing this Agreement;</w:t>
      </w:r>
    </w:p>
    <w:p>
      <w:pPr>
        <w:pStyle w:val="a"/>
        <w:widowControl/>
        <w:numPr>
          <w:ilvl w:val="2"/>
          <w:numId w:val="3"/>
        </w:numPr>
        <w:tabs>
          <w:tab w:val="clear" w:pos="720"/>
          <w:tab w:val="left" w:pos="0" w:leader="none"/>
        </w:tabs>
        <w:ind w:hanging="0" w:start="0"/>
        <w:jc w:val="both"/>
        <w:rPr/>
      </w:pPr>
      <w:r>
        <w:rPr/>
        <w:tab/>
        <w:t xml:space="preserve">references to the singular shall include the plural and </w:t>
      </w:r>
      <w:r>
        <w:rPr>
          <w:u w:val="single"/>
        </w:rPr>
        <w:t>vice</w:t>
      </w:r>
      <w:r>
        <w:rPr/>
        <w:t xml:space="preserve"> </w:t>
      </w:r>
      <w:r>
        <w:rPr>
          <w:u w:val="single"/>
        </w:rPr>
        <w:t>versa</w:t>
      </w:r>
      <w:r>
        <w:rPr/>
        <w:t xml:space="preserve">, and reference by way of masculine pronoun or adjective shall include references by way of the feminine, and </w:t>
      </w:r>
      <w:r>
        <w:rPr>
          <w:u w:val="single"/>
        </w:rPr>
        <w:t>vice</w:t>
      </w:r>
      <w:r>
        <w:rPr/>
        <w:t xml:space="preserve"> </w:t>
      </w:r>
      <w:r>
        <w:rPr>
          <w:u w:val="single"/>
        </w:rPr>
        <w:t>versa</w:t>
      </w:r>
      <w:r>
        <w:rPr/>
        <w:t>;</w:t>
      </w:r>
    </w:p>
    <w:p>
      <w:pPr>
        <w:pStyle w:val="a"/>
        <w:widowControl/>
        <w:numPr>
          <w:ilvl w:val="2"/>
          <w:numId w:val="3"/>
        </w:numPr>
        <w:tabs>
          <w:tab w:val="clear" w:pos="720"/>
          <w:tab w:val="left" w:pos="0" w:leader="none"/>
        </w:tabs>
        <w:ind w:hanging="0" w:start="0"/>
        <w:jc w:val="both"/>
        <w:rPr/>
      </w:pPr>
      <w:r>
        <w:rPr/>
        <w:tab/>
        <w:t>accounting terms are to be construed in accordance with GAAP;</w:t>
      </w:r>
    </w:p>
    <w:p>
      <w:pPr>
        <w:pStyle w:val="a"/>
        <w:widowControl/>
        <w:numPr>
          <w:ilvl w:val="2"/>
          <w:numId w:val="3"/>
        </w:numPr>
        <w:tabs>
          <w:tab w:val="clear" w:pos="720"/>
          <w:tab w:val="left" w:pos="0" w:leader="none"/>
        </w:tabs>
        <w:ind w:hanging="0" w:start="0"/>
        <w:jc w:val="both"/>
        <w:rPr/>
      </w:pPr>
      <w:r>
        <w:rPr/>
        <w:tab/>
        <w:t>references to</w:t>
      </w:r>
      <w:r>
        <w:rPr>
          <w:b/>
          <w:bCs/>
        </w:rPr>
        <w:t xml:space="preserve"> “</w:t>
      </w:r>
      <w:r>
        <w:rPr>
          <w:b/>
          <w:bCs/>
          <w:u w:val="single"/>
        </w:rPr>
        <w:t>continue</w:t>
      </w:r>
      <w:r>
        <w:rPr>
          <w:b/>
          <w:bCs/>
        </w:rPr>
        <w:t>”</w:t>
      </w:r>
      <w:r>
        <w:rPr/>
        <w:t xml:space="preserve">, </w:t>
      </w:r>
      <w:r>
        <w:rPr>
          <w:b/>
          <w:bCs/>
        </w:rPr>
        <w:t>“</w:t>
      </w:r>
      <w:r>
        <w:rPr>
          <w:b/>
          <w:bCs/>
          <w:u w:val="single"/>
        </w:rPr>
        <w:t>continuation</w:t>
      </w:r>
      <w:r>
        <w:rPr>
          <w:b/>
          <w:bCs/>
        </w:rPr>
        <w:t>”</w:t>
      </w:r>
      <w:r>
        <w:rPr/>
        <w:t xml:space="preserve"> and </w:t>
      </w:r>
      <w:r>
        <w:rPr>
          <w:b/>
          <w:bCs/>
        </w:rPr>
        <w:t>“</w:t>
      </w:r>
      <w:r>
        <w:rPr>
          <w:b/>
          <w:bCs/>
          <w:u w:val="single"/>
        </w:rPr>
        <w:t>continued</w:t>
      </w:r>
      <w:r>
        <w:rPr>
          <w:b/>
          <w:bCs/>
        </w:rPr>
        <w:t>”</w:t>
      </w:r>
      <w:r>
        <w:rPr/>
        <w:t xml:space="preserve"> shall refer to the continuation pursuant hereto of a LIBOR Advance as such from one Interest Period to the next;</w:t>
      </w:r>
    </w:p>
    <w:p>
      <w:pPr>
        <w:pStyle w:val="a"/>
        <w:widowControl/>
        <w:numPr>
          <w:ilvl w:val="2"/>
          <w:numId w:val="3"/>
        </w:numPr>
        <w:tabs>
          <w:tab w:val="clear" w:pos="720"/>
          <w:tab w:val="left" w:pos="0" w:leader="none"/>
        </w:tabs>
        <w:ind w:hanging="0" w:start="0"/>
        <w:jc w:val="both"/>
        <w:rPr/>
      </w:pPr>
      <w:r>
        <w:rPr/>
        <w:tab/>
        <w:t xml:space="preserve">references to </w:t>
      </w:r>
      <w:r>
        <w:rPr>
          <w:b/>
          <w:bCs/>
        </w:rPr>
        <w:t>“</w:t>
      </w:r>
      <w:r>
        <w:rPr>
          <w:b/>
          <w:bCs/>
          <w:u w:val="single"/>
        </w:rPr>
        <w:t>convert</w:t>
      </w:r>
      <w:r>
        <w:rPr>
          <w:b/>
          <w:bCs/>
        </w:rPr>
        <w:t>”</w:t>
      </w:r>
      <w:r>
        <w:rPr/>
        <w:t xml:space="preserve">, </w:t>
      </w:r>
      <w:r>
        <w:rPr>
          <w:b/>
          <w:bCs/>
        </w:rPr>
        <w:t>“</w:t>
      </w:r>
      <w:r>
        <w:rPr>
          <w:b/>
          <w:bCs/>
          <w:u w:val="single"/>
        </w:rPr>
        <w:t>conversion</w:t>
      </w:r>
      <w:r>
        <w:rPr>
          <w:b/>
          <w:bCs/>
        </w:rPr>
        <w:t>”</w:t>
      </w:r>
      <w:r>
        <w:rPr/>
        <w:t xml:space="preserve"> and </w:t>
      </w:r>
      <w:r>
        <w:rPr>
          <w:b/>
          <w:bCs/>
        </w:rPr>
        <w:t>“</w:t>
      </w:r>
      <w:r>
        <w:rPr>
          <w:b/>
          <w:bCs/>
          <w:u w:val="single"/>
        </w:rPr>
        <w:t>converted</w:t>
      </w:r>
      <w:r>
        <w:rPr>
          <w:b/>
          <w:bCs/>
        </w:rPr>
        <w:t>”</w:t>
      </w:r>
      <w:r>
        <w:rPr/>
        <w:t xml:space="preserve"> shall refer to the conversion pursuant hereto of LIBOR Advances into Alternate Base Rate Advances and </w:t>
      </w:r>
      <w:r>
        <w:rPr>
          <w:u w:val="single"/>
        </w:rPr>
        <w:t>vice</w:t>
      </w:r>
      <w:r>
        <w:rPr/>
        <w:t xml:space="preserve"> </w:t>
      </w:r>
      <w:r>
        <w:rPr>
          <w:u w:val="single"/>
        </w:rPr>
        <w:t>versa</w:t>
      </w:r>
      <w:r>
        <w:rPr/>
        <w:t>; and</w:t>
      </w:r>
    </w:p>
    <w:p>
      <w:pPr>
        <w:pStyle w:val="a"/>
        <w:keepNext w:val="true"/>
        <w:widowControl/>
        <w:numPr>
          <w:ilvl w:val="2"/>
          <w:numId w:val="3"/>
        </w:numPr>
        <w:tabs>
          <w:tab w:val="clear" w:pos="720"/>
          <w:tab w:val="left" w:pos="0" w:leader="none"/>
        </w:tabs>
        <w:ind w:hanging="0" w:start="0"/>
        <w:jc w:val="both"/>
        <w:rPr/>
      </w:pPr>
      <w:r>
        <w:rPr/>
        <w:tab/>
        <w:t xml:space="preserve">references to a </w:t>
      </w:r>
      <w:r>
        <w:rPr>
          <w:b/>
          <w:bCs/>
        </w:rPr>
        <w:t>“</w:t>
      </w:r>
      <w:r>
        <w:rPr>
          <w:b/>
          <w:bCs/>
          <w:u w:val="single"/>
        </w:rPr>
        <w:t>type</w:t>
      </w:r>
      <w:r>
        <w:rPr>
          <w:b/>
          <w:bCs/>
        </w:rPr>
        <w:t>”</w:t>
      </w:r>
      <w:r>
        <w:rPr/>
        <w:t xml:space="preserve"> of Advance shall refer to either an Alternate Base Rate Advance or a LIBOR Advance, each of which shall be a type of Advance.</w:t>
      </w:r>
    </w:p>
    <w:p>
      <w:pPr>
        <w:pStyle w:val="ARTICLE"/>
        <w:keepNext w:val="true"/>
        <w:keepLines/>
        <w:widowControl/>
        <w:numPr>
          <w:ilvl w:val="0"/>
          <w:numId w:val="3"/>
        </w:numPr>
        <w:tabs>
          <w:tab w:val="clear" w:pos="720"/>
          <w:tab w:val="left" w:pos="0" w:leader="none"/>
        </w:tabs>
        <w:ind w:hanging="0" w:start="1440"/>
        <w:rPr/>
      </w:pPr>
      <w:r>
        <w:rPr>
          <w:b/>
          <w:bCs/>
        </w:rPr>
        <w:t>ARTICLE TRANCHES AND ADVANCES</w:t>
      </w:r>
      <w:ins w:id="9" w:author="foobar" w:date="2000-11-09T12:47:00Z">
        <w:r>
          <w:fldChar w:fldCharType="begin"/>
        </w:r>
        <w:r>
          <w:rPr/>
          <w:instrText xml:space="preserve"> TC "ARTICLE TRANCHES AND ADVANCES" \l 1 </w:instrText>
        </w:r>
      </w:ins>
      <w:r>
        <w:rPr/>
        <w:fldChar w:fldCharType="separate"/>
      </w:r>
      <w:ins w:id="10" w:author="foobar" w:date="2000-11-09T12:47:00Z">
        <w:r>
          <w:rPr/>
        </w:r>
      </w:ins>
      <w:r>
        <w:rPr/>
        <w:fldChar w:fldCharType="end"/>
      </w:r>
    </w:p>
    <w:p>
      <w:pPr>
        <w:pStyle w:val="ARTICLE"/>
        <w:keepNext w:val="true"/>
        <w:keepLines/>
        <w:widowControl/>
        <w:ind w:start="0" w:end="0"/>
        <w:jc w:val="both"/>
        <w:rPr/>
      </w:pPr>
      <w:r>
        <w:rPr/>
      </w:r>
    </w:p>
    <w:p>
      <w:pPr>
        <w:pStyle w:val="Normal"/>
        <w:keepLines/>
        <w:widowControl/>
        <w:numPr>
          <w:ilvl w:val="1"/>
          <w:numId w:val="4"/>
        </w:numPr>
        <w:tabs>
          <w:tab w:val="clear" w:pos="720"/>
          <w:tab w:val="left" w:pos="0" w:leader="none"/>
        </w:tabs>
        <w:ind w:hanging="0" w:start="0"/>
        <w:jc w:val="both"/>
        <w:rPr/>
      </w:pPr>
      <w:r>
        <w:rPr>
          <w:rStyle w:val="SectionHead"/>
          <w:sz w:val="24"/>
          <w:szCs w:val="24"/>
        </w:rPr>
        <w:tab/>
        <w:t xml:space="preserve">Section     Tranches </w:t>
      </w:r>
      <w:ins w:id="11" w:author="foobar" w:date="2000-11-09T12:47:00Z">
        <w:r>
          <w:fldChar w:fldCharType="begin"/>
        </w:r>
        <w:r>
          <w:rPr/>
          <w:instrText xml:space="preserve"> TC "Section     Tranches " \l 2 </w:instrText>
        </w:r>
      </w:ins>
      <w:r>
        <w:rPr/>
        <w:fldChar w:fldCharType="separate"/>
      </w:r>
      <w:ins w:id="12" w:author="foobar" w:date="2000-11-09T12:47:00Z">
        <w:r>
          <w:rPr/>
        </w:r>
      </w:ins>
      <w:r>
        <w:rPr/>
        <w:fldChar w:fldCharType="end"/>
      </w:r>
      <w:r>
        <w:rPr>
          <w:sz w:val="24"/>
          <w:szCs w:val="24"/>
        </w:rPr>
        <w:t xml:space="preserve">.  The facility extended to the Trust hereunder will be drawn down in tranches (each, a </w:t>
      </w:r>
      <w:r>
        <w:rPr>
          <w:b/>
          <w:bCs/>
          <w:sz w:val="24"/>
          <w:szCs w:val="24"/>
        </w:rPr>
        <w:t>“</w:t>
      </w:r>
      <w:r>
        <w:rPr>
          <w:b/>
          <w:bCs/>
          <w:sz w:val="24"/>
          <w:szCs w:val="24"/>
          <w:u w:val="single"/>
        </w:rPr>
        <w:t>Tranche</w:t>
      </w:r>
      <w:r>
        <w:rPr>
          <w:b/>
          <w:bCs/>
          <w:sz w:val="24"/>
          <w:szCs w:val="24"/>
        </w:rPr>
        <w:t>”</w:t>
      </w:r>
      <w:r>
        <w:rPr>
          <w:sz w:val="24"/>
          <w:szCs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widowControl/>
        <w:jc w:val="both"/>
        <w:rPr>
          <w:sz w:val="24"/>
          <w:szCs w:val="24"/>
        </w:rPr>
      </w:pPr>
      <w:r>
        <w:rPr>
          <w:sz w:val="24"/>
          <w:szCs w:val="24"/>
        </w:rPr>
      </w:r>
    </w:p>
    <w:p>
      <w:pPr>
        <w:pStyle w:val="Normal"/>
        <w:keepNext w:val="true"/>
        <w:keepLines/>
        <w:widowControl/>
        <w:numPr>
          <w:ilvl w:val="1"/>
          <w:numId w:val="5"/>
        </w:numPr>
        <w:tabs>
          <w:tab w:val="clear" w:pos="720"/>
          <w:tab w:val="left" w:pos="0" w:leader="none"/>
        </w:tabs>
        <w:ind w:hanging="0" w:start="0"/>
        <w:jc w:val="both"/>
        <w:rPr/>
      </w:pPr>
      <w:r>
        <w:rPr>
          <w:rStyle w:val="SectionHead"/>
          <w:sz w:val="24"/>
          <w:szCs w:val="24"/>
        </w:rPr>
        <w:tab/>
        <w:t xml:space="preserve">Section     Advances </w:t>
      </w:r>
      <w:ins w:id="13" w:author="foobar" w:date="2000-11-09T12:47:00Z">
        <w:r>
          <w:fldChar w:fldCharType="begin"/>
        </w:r>
        <w:r>
          <w:rPr/>
          <w:instrText xml:space="preserve"> TC "Section     Advances " \l 2 </w:instrText>
        </w:r>
      </w:ins>
      <w:r>
        <w:rPr/>
        <w:fldChar w:fldCharType="separate"/>
      </w:r>
      <w:ins w:id="14" w:author="foobar" w:date="2000-11-09T12:47:00Z">
        <w:r>
          <w:rPr/>
        </w:r>
      </w:ins>
      <w:r>
        <w:rPr/>
        <w:fldChar w:fldCharType="end"/>
      </w:r>
      <w:r>
        <w:rPr>
          <w:sz w:val="24"/>
          <w:szCs w:val="24"/>
        </w:rPr>
        <w:t>.</w:t>
      </w:r>
    </w:p>
    <w:p>
      <w:pPr>
        <w:pStyle w:val="Normal"/>
        <w:keepNext w:val="true"/>
        <w:keepLines/>
        <w:widowControl/>
        <w:jc w:val="both"/>
        <w:rPr>
          <w:sz w:val="24"/>
          <w:szCs w:val="24"/>
        </w:rPr>
      </w:pPr>
      <w:r>
        <w:rPr>
          <w:sz w:val="24"/>
          <w:szCs w:val="24"/>
        </w:rPr>
      </w:r>
    </w:p>
    <w:p>
      <w:pPr>
        <w:pStyle w:val="a"/>
        <w:keepLines/>
        <w:widowControl/>
        <w:numPr>
          <w:ilvl w:val="2"/>
          <w:numId w:val="6"/>
        </w:numPr>
        <w:tabs>
          <w:tab w:val="clear" w:pos="720"/>
          <w:tab w:val="left" w:pos="0" w:leader="none"/>
        </w:tabs>
        <w:ind w:hanging="0" w:start="0"/>
        <w:jc w:val="both"/>
        <w:rPr/>
      </w:pPr>
      <w:r>
        <w:rPr/>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bCs/>
        </w:rPr>
        <w:t>“</w:t>
      </w:r>
      <w:r>
        <w:rPr>
          <w:b/>
          <w:bCs/>
          <w:u w:val="single"/>
        </w:rPr>
        <w:t>Advance</w:t>
      </w:r>
      <w:r>
        <w:rPr>
          <w:b/>
          <w:bCs/>
        </w:rPr>
        <w:t>”</w:t>
      </w:r>
      <w:r>
        <w:rPr/>
        <w:t xml:space="preserve"> and, collectively with all such Advances made by the Lenders hereunder including those maintained by the Lenders from time to time hereunder pursuant to an assignment or assignments of all or part of the initial Advances, the </w:t>
      </w:r>
      <w:r>
        <w:rPr>
          <w:b/>
          <w:bCs/>
        </w:rPr>
        <w:t>“</w:t>
      </w:r>
      <w:r>
        <w:rPr>
          <w:b/>
          <w:bCs/>
          <w:u w:val="single"/>
        </w:rPr>
        <w:t>Advances</w:t>
      </w:r>
      <w:r>
        <w:rPr>
          <w:b/>
          <w:bCs/>
        </w:rPr>
        <w:t>”</w:t>
      </w:r>
      <w:r>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a"/>
        <w:widowControl/>
        <w:numPr>
          <w:ilvl w:val="2"/>
          <w:numId w:val="6"/>
        </w:numPr>
        <w:tabs>
          <w:tab w:val="clear" w:pos="720"/>
          <w:tab w:val="left" w:pos="0" w:leader="none"/>
        </w:tabs>
        <w:ind w:hanging="0" w:start="0"/>
        <w:jc w:val="both"/>
        <w:rPr/>
      </w:pPr>
      <w:r>
        <w:rPr/>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(i) on the Closing Date, the Trust will use the proceeds of the Hawaii Tranches to repay the outstanding principal balance on the existing notes under the Hawaii Facility Agreement and (ii) from time to time the Trust may use the proceeds of a Tranche to acquire a Class B Interest in an Asset LLC from the Hawaii I 125-0 Trust, a Delaware business trust, (such Tranches being referred to herein as the “</w:t>
      </w:r>
      <w:r>
        <w:rPr>
          <w:b/>
          <w:bCs/>
          <w:u w:val="single"/>
        </w:rPr>
        <w:t>Hawaii I Tranches</w:t>
      </w:r>
      <w:r>
        <w:rPr/>
        <w:t>”).</w:t>
      </w:r>
    </w:p>
    <w:p>
      <w:pPr>
        <w:pStyle w:val="a"/>
        <w:keepNext w:val="true"/>
        <w:widowControl/>
        <w:numPr>
          <w:ilvl w:val="2"/>
          <w:numId w:val="6"/>
        </w:numPr>
        <w:tabs>
          <w:tab w:val="clear" w:pos="720"/>
          <w:tab w:val="left" w:pos="0" w:leader="none"/>
        </w:tabs>
        <w:ind w:hanging="0" w:start="0"/>
        <w:jc w:val="both"/>
        <w:rPr/>
      </w:pPr>
      <w:r>
        <w:rPr/>
        <w:tab/>
        <w:t>Each Lender’s obligation to make Advances shall terminate at [2:00 p.m.</w:t>
      </w:r>
      <w:r>
        <w:rPr>
          <w:b/>
          <w:bCs/>
        </w:rPr>
        <w:t>]</w:t>
      </w:r>
      <w:r>
        <w:rPr/>
        <w:t xml:space="preserve"> on the Final Advance Date and the Commitments shall reduce to zero at </w:t>
      </w:r>
      <w:r>
        <w:rPr>
          <w:b/>
          <w:bCs/>
        </w:rPr>
        <w:t>[</w:t>
      </w:r>
      <w:r>
        <w:rPr/>
        <w:t>2:00 p.m.</w:t>
      </w:r>
      <w:r>
        <w:rPr>
          <w:b/>
          <w:bCs/>
        </w:rPr>
        <w:t>]</w:t>
      </w:r>
      <w:r>
        <w:rPr/>
        <w:t xml:space="preserve"> on the Final Advance Date.</w:t>
      </w:r>
    </w:p>
    <w:p>
      <w:pPr>
        <w:pStyle w:val="ARTICLE"/>
        <w:keepNext w:val="true"/>
        <w:keepLines/>
        <w:widowControl/>
        <w:numPr>
          <w:ilvl w:val="0"/>
          <w:numId w:val="6"/>
        </w:numPr>
        <w:tabs>
          <w:tab w:val="clear" w:pos="720"/>
          <w:tab w:val="left" w:pos="0" w:leader="none"/>
        </w:tabs>
        <w:ind w:hanging="0" w:start="1440"/>
        <w:rPr/>
      </w:pPr>
      <w:r>
        <w:rPr>
          <w:b/>
          <w:bCs/>
        </w:rPr>
        <w:t>ARTICLE PARTICIPATION OF LENDERS</w:t>
      </w:r>
      <w:ins w:id="15" w:author="foobar" w:date="2000-11-09T12:47:00Z">
        <w:r>
          <w:fldChar w:fldCharType="begin"/>
        </w:r>
        <w:r>
          <w:rPr/>
          <w:instrText xml:space="preserve"> TC "ARTICLE PARTICIPATION OF LENDERS" \l 1 </w:instrText>
        </w:r>
      </w:ins>
      <w:r>
        <w:rPr/>
        <w:fldChar w:fldCharType="separate"/>
      </w:r>
      <w:ins w:id="16" w:author="foobar" w:date="2000-11-09T12:47:00Z">
        <w:r>
          <w:rPr/>
        </w:r>
      </w:ins>
      <w:r>
        <w:rPr/>
        <w:fldChar w:fldCharType="end"/>
      </w:r>
    </w:p>
    <w:p>
      <w:pPr>
        <w:pStyle w:val="ARTICLE"/>
        <w:keepNext w:val="true"/>
        <w:keepLines/>
        <w:widowControl/>
        <w:ind w:start="0" w:end="0"/>
        <w:jc w:val="both"/>
        <w:rPr/>
      </w:pPr>
      <w:r>
        <w:rPr/>
      </w:r>
    </w:p>
    <w:p>
      <w:pPr>
        <w:pStyle w:val="Normal"/>
        <w:keepNext w:val="true"/>
        <w:keepLines/>
        <w:widowControl/>
        <w:numPr>
          <w:ilvl w:val="1"/>
          <w:numId w:val="7"/>
        </w:numPr>
        <w:tabs>
          <w:tab w:val="clear" w:pos="720"/>
          <w:tab w:val="left" w:pos="0" w:leader="none"/>
        </w:tabs>
        <w:ind w:hanging="0" w:start="0"/>
        <w:jc w:val="both"/>
        <w:rPr/>
      </w:pPr>
      <w:r>
        <w:rPr>
          <w:rStyle w:val="SectionHead"/>
          <w:sz w:val="24"/>
          <w:szCs w:val="24"/>
        </w:rPr>
        <w:tab/>
        <w:t xml:space="preserve">Section     Funding Office </w:t>
      </w:r>
      <w:ins w:id="17" w:author="foobar" w:date="2000-11-09T12:47:00Z">
        <w:r>
          <w:fldChar w:fldCharType="begin"/>
        </w:r>
        <w:r>
          <w:rPr/>
          <w:instrText xml:space="preserve"> TC "Section     Funding Office " \l 2 </w:instrText>
        </w:r>
      </w:ins>
      <w:r>
        <w:rPr/>
        <w:fldChar w:fldCharType="separate"/>
      </w:r>
      <w:ins w:id="18" w:author="foobar" w:date="2000-11-09T12:47:00Z">
        <w:r>
          <w:rPr/>
        </w:r>
      </w:ins>
      <w:r>
        <w:rPr/>
        <w:fldChar w:fldCharType="end"/>
      </w:r>
      <w:r>
        <w:rPr>
          <w:sz w:val="24"/>
          <w:szCs w:val="24"/>
        </w:rPr>
        <w:t>.</w:t>
      </w:r>
    </w:p>
    <w:p>
      <w:pPr>
        <w:pStyle w:val="Normal"/>
        <w:keepNext w:val="true"/>
        <w:keepLines/>
        <w:widowControl/>
        <w:numPr>
          <w:ilvl w:val="1"/>
          <w:numId w:val="7"/>
        </w:numPr>
        <w:tabs>
          <w:tab w:val="clear" w:pos="720"/>
          <w:tab w:val="left" w:pos="0" w:leader="none"/>
        </w:tabs>
        <w:ind w:hanging="0" w:start="0"/>
        <w:jc w:val="both"/>
        <w:rPr>
          <w:sz w:val="24"/>
          <w:szCs w:val="24"/>
        </w:rPr>
      </w:pPr>
      <w:r>
        <w:rPr>
          <w:sz w:val="24"/>
          <w:szCs w:val="24"/>
        </w:rPr>
      </w:r>
    </w:p>
    <w:p>
      <w:pPr>
        <w:pStyle w:val="a"/>
        <w:keepNext w:val="true"/>
        <w:keepLines/>
        <w:widowControl/>
        <w:numPr>
          <w:ilvl w:val="2"/>
          <w:numId w:val="7"/>
        </w:numPr>
        <w:tabs>
          <w:tab w:val="clear" w:pos="720"/>
          <w:tab w:val="left" w:pos="0" w:leader="none"/>
        </w:tabs>
        <w:ind w:hanging="0" w:start="0"/>
        <w:jc w:val="both"/>
        <w:rPr/>
      </w:pPr>
      <w:r>
        <w:rPr/>
        <w:tab/>
        <w:t>Each Lender will make its Advances through its Funding Office.</w:t>
      </w:r>
    </w:p>
    <w:p>
      <w:pPr>
        <w:pStyle w:val="a"/>
        <w:keepLines/>
        <w:widowControl/>
        <w:numPr>
          <w:ilvl w:val="2"/>
          <w:numId w:val="7"/>
        </w:numPr>
        <w:tabs>
          <w:tab w:val="clear" w:pos="720"/>
          <w:tab w:val="left" w:pos="0" w:leader="none"/>
        </w:tabs>
        <w:ind w:hanging="0" w:start="0"/>
        <w:jc w:val="both"/>
        <w:rPr/>
      </w:pPr>
      <w:r>
        <w:rPr/>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widowControl/>
        <w:numPr>
          <w:ilvl w:val="1"/>
          <w:numId w:val="7"/>
        </w:numPr>
        <w:tabs>
          <w:tab w:val="clear" w:pos="720"/>
          <w:tab w:val="left" w:pos="0" w:leader="none"/>
        </w:tabs>
        <w:ind w:hanging="0" w:start="0"/>
        <w:jc w:val="both"/>
        <w:rPr/>
      </w:pPr>
      <w:r>
        <w:rPr>
          <w:rStyle w:val="SectionHead"/>
          <w:sz w:val="24"/>
          <w:szCs w:val="24"/>
        </w:rPr>
        <w:tab/>
        <w:t xml:space="preserve">Section     Rights and Obligations of Finance Parties </w:t>
      </w:r>
      <w:ins w:id="19" w:author="foobar" w:date="2000-11-09T12:47:00Z">
        <w:r>
          <w:fldChar w:fldCharType="begin"/>
        </w:r>
        <w:r>
          <w:rPr/>
          <w:instrText xml:space="preserve"> TC "Section     Rights and Obligations of Finance Parties " \l 2 </w:instrText>
        </w:r>
      </w:ins>
      <w:r>
        <w:rPr/>
        <w:fldChar w:fldCharType="separate"/>
      </w:r>
      <w:ins w:id="20" w:author="foobar" w:date="2000-11-09T12:47:00Z">
        <w:r>
          <w:rPr/>
        </w:r>
      </w:ins>
      <w:r>
        <w:rPr/>
        <w:fldChar w:fldCharType="end"/>
      </w:r>
      <w:r>
        <w:rPr>
          <w:sz w:val="24"/>
          <w:szCs w:val="24"/>
        </w:rPr>
        <w:t>.</w:t>
      </w:r>
    </w:p>
    <w:p>
      <w:pPr>
        <w:pStyle w:val="Normal"/>
        <w:keepLines/>
        <w:widowControl/>
        <w:numPr>
          <w:ilvl w:val="1"/>
          <w:numId w:val="7"/>
        </w:numPr>
        <w:tabs>
          <w:tab w:val="clear" w:pos="720"/>
          <w:tab w:val="left" w:pos="0" w:leader="none"/>
        </w:tabs>
        <w:ind w:hanging="0" w:start="0"/>
        <w:jc w:val="both"/>
        <w:rPr>
          <w:sz w:val="24"/>
          <w:szCs w:val="24"/>
        </w:rPr>
      </w:pPr>
      <w:r>
        <w:rPr>
          <w:sz w:val="24"/>
          <w:szCs w:val="24"/>
        </w:rPr>
      </w:r>
    </w:p>
    <w:p>
      <w:pPr>
        <w:pStyle w:val="a"/>
        <w:keepLines/>
        <w:widowControl/>
        <w:numPr>
          <w:ilvl w:val="2"/>
          <w:numId w:val="7"/>
        </w:numPr>
        <w:tabs>
          <w:tab w:val="clear" w:pos="720"/>
          <w:tab w:val="left" w:pos="0" w:leader="none"/>
        </w:tabs>
        <w:ind w:hanging="0" w:start="0"/>
        <w:jc w:val="both"/>
        <w:rPr/>
      </w:pPr>
      <w:r>
        <w:rPr/>
        <w:tab/>
        <w:t>The rights and obligations of each of the Finance Parties under the Finance Documents are several. Failure of any Finance Party to observe and perform its obligations under any Finance Document shall neither:</w:t>
      </w:r>
    </w:p>
    <w:p>
      <w:pPr>
        <w:pStyle w:val="i"/>
        <w:widowControl/>
        <w:numPr>
          <w:ilvl w:val="3"/>
          <w:numId w:val="7"/>
        </w:numPr>
        <w:tabs>
          <w:tab w:val="clear" w:pos="720"/>
          <w:tab w:val="left" w:pos="0" w:leader="none"/>
        </w:tabs>
        <w:ind w:hanging="0" w:start="720"/>
        <w:jc w:val="both"/>
        <w:rPr/>
      </w:pPr>
      <w:r>
        <w:rPr/>
        <w:tab/>
        <w:t>result in any other non-defaulting Finance Party incurring any liability whatsoever; nor</w:t>
      </w:r>
    </w:p>
    <w:p>
      <w:pPr>
        <w:pStyle w:val="i"/>
        <w:widowControl/>
        <w:numPr>
          <w:ilvl w:val="3"/>
          <w:numId w:val="7"/>
        </w:numPr>
        <w:tabs>
          <w:tab w:val="clear" w:pos="720"/>
          <w:tab w:val="left" w:pos="0" w:leader="none"/>
        </w:tabs>
        <w:ind w:hanging="0" w:start="720"/>
        <w:jc w:val="both"/>
        <w:rPr/>
      </w:pPr>
      <w:r>
        <w:rPr/>
        <w:tab/>
        <w:t>relieve the Trust or any other Finance Party from their respective obligations under the Finance Documents.</w:t>
      </w:r>
    </w:p>
    <w:p>
      <w:pPr>
        <w:pStyle w:val="a"/>
        <w:keepNext w:val="true"/>
        <w:widowControl/>
        <w:numPr>
          <w:ilvl w:val="2"/>
          <w:numId w:val="7"/>
        </w:numPr>
        <w:tabs>
          <w:tab w:val="clear" w:pos="720"/>
          <w:tab w:val="left" w:pos="0" w:leader="none"/>
        </w:tabs>
        <w:ind w:hanging="0" w:start="0"/>
        <w:jc w:val="both"/>
        <w:rPr/>
      </w:pPr>
      <w:r>
        <w:rPr/>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widowControl/>
        <w:numPr>
          <w:ilvl w:val="1"/>
          <w:numId w:val="7"/>
        </w:numPr>
        <w:tabs>
          <w:tab w:val="clear" w:pos="720"/>
          <w:tab w:val="left" w:pos="0" w:leader="none"/>
        </w:tabs>
        <w:ind w:hanging="0" w:start="0"/>
        <w:jc w:val="both"/>
        <w:rPr/>
      </w:pPr>
      <w:r>
        <w:rPr>
          <w:rStyle w:val="SectionHead"/>
          <w:sz w:val="24"/>
          <w:szCs w:val="24"/>
        </w:rPr>
        <w:tab/>
        <w:t xml:space="preserve">Section     Second Closing Date; Addition of Lenders and Increase in Commitments </w:t>
      </w:r>
      <w:ins w:id="21" w:author="foobar" w:date="2000-11-09T12:47:00Z">
        <w:r>
          <w:fldChar w:fldCharType="begin"/>
        </w:r>
        <w:r>
          <w:rPr/>
          <w:instrText xml:space="preserve"> TC "Section     Second Closing Date; Addition of Lenders and Increase in Commitments " \l 2 </w:instrText>
        </w:r>
      </w:ins>
      <w:r>
        <w:rPr/>
        <w:fldChar w:fldCharType="separate"/>
      </w:r>
      <w:ins w:id="22" w:author="foobar" w:date="2000-11-09T12:47:00Z">
        <w:r>
          <w:rPr/>
        </w:r>
      </w:ins>
      <w:r>
        <w:rPr/>
        <w:fldChar w:fldCharType="end"/>
      </w:r>
      <w:r>
        <w:rPr>
          <w:sz w:val="24"/>
          <w:szCs w:val="24"/>
        </w:rPr>
        <w:t>.</w:t>
      </w:r>
    </w:p>
    <w:p>
      <w:pPr>
        <w:pStyle w:val="Normal"/>
        <w:keepNext w:val="true"/>
        <w:keepLines/>
        <w:widowControl/>
        <w:numPr>
          <w:ilvl w:val="1"/>
          <w:numId w:val="7"/>
        </w:numPr>
        <w:tabs>
          <w:tab w:val="clear" w:pos="720"/>
          <w:tab w:val="left" w:pos="0" w:leader="none"/>
        </w:tabs>
        <w:ind w:hanging="0" w:start="0"/>
        <w:jc w:val="both"/>
        <w:rPr>
          <w:sz w:val="24"/>
          <w:szCs w:val="24"/>
        </w:rPr>
      </w:pPr>
      <w:r>
        <w:rPr>
          <w:sz w:val="24"/>
          <w:szCs w:val="24"/>
        </w:rPr>
      </w:r>
    </w:p>
    <w:p>
      <w:pPr>
        <w:pStyle w:val="a"/>
        <w:keepLines/>
        <w:widowControl/>
        <w:numPr>
          <w:ilvl w:val="2"/>
          <w:numId w:val="7"/>
        </w:numPr>
        <w:tabs>
          <w:tab w:val="clear" w:pos="720"/>
          <w:tab w:val="left" w:pos="0" w:leader="none"/>
        </w:tabs>
        <w:ind w:hanging="0" w:start="0"/>
        <w:jc w:val="both"/>
        <w:rPr/>
      </w:pPr>
      <w:r>
        <w:rPr/>
        <w:tab/>
        <w:t xml:space="preserve">On the Second Closing Date, each financial institution which shall have executed and delivered to the Trust and the Agent a certificate (the </w:t>
      </w:r>
      <w:r>
        <w:rPr>
          <w:b/>
          <w:bCs/>
        </w:rPr>
        <w:t>“</w:t>
      </w:r>
      <w:r>
        <w:rPr>
          <w:b/>
          <w:bCs/>
          <w:u w:val="single"/>
        </w:rPr>
        <w:t>Additional Lender Certificate</w:t>
      </w:r>
      <w:r>
        <w:rPr>
          <w:b/>
          <w:bCs/>
        </w:rPr>
        <w:t>”</w:t>
      </w:r>
      <w:r>
        <w:rPr/>
        <w:t xml:space="preserve">) substantially in the form of </w:t>
      </w:r>
      <w:r>
        <w:rPr>
          <w:u w:val="single"/>
        </w:rPr>
        <w:t>Exhibit L1</w:t>
      </w:r>
      <w:r>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widowControl/>
        <w:jc w:val="both"/>
        <w:rPr/>
      </w:pPr>
      <w:r>
        <w:rPr>
          <w:sz w:val="24"/>
          <w:szCs w:val="24"/>
        </w:rPr>
        <w:tab/>
        <w:t>(b)</w:t>
        <w:tab/>
        <w:t>On the Second Closing Date (i) the Commitments of each existing Lender (each, an “</w:t>
      </w:r>
      <w:r>
        <w:rPr>
          <w:b/>
          <w:bCs/>
          <w:sz w:val="24"/>
          <w:szCs w:val="24"/>
          <w:u w:val="single"/>
        </w:rPr>
        <w:t>Increased Commitment Lender</w:t>
      </w:r>
      <w:r>
        <w:rPr>
          <w:sz w:val="24"/>
          <w:szCs w:val="24"/>
        </w:rPr>
        <w:t>”) which has executed and delivered to the Trust and to the Agent a certificate (the “</w:t>
      </w:r>
      <w:r>
        <w:rPr>
          <w:b/>
          <w:bCs/>
          <w:sz w:val="24"/>
          <w:szCs w:val="24"/>
          <w:u w:val="single"/>
        </w:rPr>
        <w:t>Increased Commitment Certificate</w:t>
      </w:r>
      <w:r>
        <w:rPr>
          <w:sz w:val="24"/>
          <w:szCs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w:t>
      </w:r>
      <w:r>
        <w:rPr>
          <w:b/>
          <w:bCs/>
          <w:sz w:val="24"/>
          <w:szCs w:val="24"/>
        </w:rPr>
        <w:t>$[462,000,000]</w:t>
      </w:r>
      <w:r>
        <w:rPr>
          <w:sz w:val="24"/>
          <w:szCs w:val="24"/>
        </w:rPr>
        <w:t xml:space="preserve"> unless otherwise agreed by the Agent), and the definition of </w:t>
      </w:r>
      <w:r>
        <w:rPr>
          <w:b/>
          <w:bCs/>
          <w:sz w:val="24"/>
          <w:szCs w:val="24"/>
        </w:rPr>
        <w:t>“</w:t>
      </w:r>
      <w:r>
        <w:rPr>
          <w:b/>
          <w:bCs/>
          <w:sz w:val="24"/>
          <w:szCs w:val="24"/>
          <w:u w:val="single"/>
        </w:rPr>
        <w:t>Commitment Amount</w:t>
      </w:r>
      <w:r>
        <w:rPr>
          <w:b/>
          <w:bCs/>
          <w:sz w:val="24"/>
          <w:szCs w:val="24"/>
        </w:rPr>
        <w:t xml:space="preserve">” </w:t>
      </w:r>
      <w:r>
        <w:rPr>
          <w:sz w:val="24"/>
          <w:szCs w:val="24"/>
        </w:rPr>
        <w:t xml:space="preserve">shall be deemed increased by such increase in the Commitments; (iii) </w:t>
      </w:r>
      <w:r>
        <w:rPr>
          <w:sz w:val="24"/>
          <w:szCs w:val="24"/>
          <w:u w:val="single"/>
        </w:rPr>
        <w:t>Schedule I</w:t>
      </w:r>
      <w:r>
        <w:rPr>
          <w:sz w:val="24"/>
          <w:szCs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widowControl/>
        <w:jc w:val="both"/>
        <w:rPr>
          <w:sz w:val="24"/>
          <w:szCs w:val="24"/>
        </w:rPr>
      </w:pPr>
      <w:r>
        <w:rPr>
          <w:sz w:val="24"/>
          <w:szCs w:val="24"/>
        </w:rPr>
      </w:r>
    </w:p>
    <w:p>
      <w:pPr>
        <w:pStyle w:val="Normal"/>
        <w:widowControl/>
        <w:jc w:val="both"/>
        <w:rPr/>
      </w:pPr>
      <w:r>
        <w:rPr>
          <w:sz w:val="24"/>
          <w:szCs w:val="24"/>
        </w:rPr>
        <w:tab/>
        <w:t>(c)</w:t>
        <w:tab/>
        <w:t xml:space="preserve">For the purposes of this Section 3.3(c), </w:t>
      </w:r>
      <w:r>
        <w:rPr>
          <w:b/>
          <w:bCs/>
          <w:sz w:val="24"/>
          <w:szCs w:val="24"/>
        </w:rPr>
        <w:t>“</w:t>
      </w:r>
      <w:r>
        <w:rPr>
          <w:b/>
          <w:bCs/>
          <w:sz w:val="24"/>
          <w:szCs w:val="24"/>
          <w:u w:val="single"/>
        </w:rPr>
        <w:t>Existing Advances</w:t>
      </w:r>
      <w:r>
        <w:rPr>
          <w:b/>
          <w:bCs/>
          <w:sz w:val="24"/>
          <w:szCs w:val="24"/>
        </w:rPr>
        <w:t>”</w:t>
      </w:r>
      <w:r>
        <w:rPr>
          <w:sz w:val="24"/>
          <w:szCs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b/>
          <w:bCs/>
          <w:sz w:val="24"/>
          <w:szCs w:val="24"/>
        </w:rPr>
        <w:t>“</w:t>
      </w:r>
      <w:r>
        <w:rPr>
          <w:b/>
          <w:bCs/>
          <w:sz w:val="24"/>
          <w:szCs w:val="24"/>
          <w:u w:val="single"/>
        </w:rPr>
        <w:t>Replacement Funds</w:t>
      </w:r>
      <w:r>
        <w:rPr>
          <w:b/>
          <w:bCs/>
          <w:sz w:val="24"/>
          <w:szCs w:val="24"/>
        </w:rPr>
        <w:t>”</w:t>
      </w:r>
      <w:r>
        <w:rPr>
          <w:sz w:val="24"/>
          <w:szCs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bCs/>
          <w:sz w:val="24"/>
          <w:szCs w:val="24"/>
        </w:rPr>
        <w:t>“</w:t>
      </w:r>
      <w:r>
        <w:rPr>
          <w:b/>
          <w:bCs/>
          <w:sz w:val="24"/>
          <w:szCs w:val="24"/>
          <w:u w:val="single"/>
        </w:rPr>
        <w:t>Assigned Interest</w:t>
      </w:r>
      <w:r>
        <w:rPr>
          <w:b/>
          <w:bCs/>
          <w:sz w:val="24"/>
          <w:szCs w:val="24"/>
        </w:rPr>
        <w:t>”)</w:t>
      </w:r>
      <w:r>
        <w:rPr>
          <w:sz w:val="24"/>
          <w:szCs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(f)</w:t>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keepNext w:val="true"/>
        <w:widowControl/>
        <w:jc w:val="both"/>
        <w:rPr>
          <w:sz w:val="24"/>
          <w:szCs w:val="24"/>
        </w:rPr>
      </w:pPr>
      <w:r>
        <w:rPr>
          <w:sz w:val="24"/>
          <w:szCs w:val="24"/>
        </w:rPr>
      </w:r>
    </w:p>
    <w:p>
      <w:pPr>
        <w:pStyle w:val="ARTICLE"/>
        <w:keepNext w:val="true"/>
        <w:keepLines/>
        <w:widowControl/>
        <w:numPr>
          <w:ilvl w:val="0"/>
          <w:numId w:val="8"/>
        </w:numPr>
        <w:tabs>
          <w:tab w:val="clear" w:pos="720"/>
          <w:tab w:val="left" w:pos="0" w:leader="none"/>
        </w:tabs>
        <w:ind w:hanging="0" w:start="1440"/>
        <w:rPr/>
      </w:pPr>
      <w:r>
        <w:rPr>
          <w:b/>
          <w:bCs/>
        </w:rPr>
        <w:t>ARTICLE CONDITIONS PRECEDENT</w:t>
      </w:r>
      <w:ins w:id="23" w:author="foobar" w:date="2000-11-09T12:47:00Z">
        <w:r>
          <w:fldChar w:fldCharType="begin"/>
        </w:r>
        <w:r>
          <w:rPr/>
          <w:instrText xml:space="preserve"> TC "ARTICLE CONDITIONS PRECEDENT" \l 1 </w:instrText>
        </w:r>
      </w:ins>
      <w:r>
        <w:rPr/>
        <w:fldChar w:fldCharType="separate"/>
      </w:r>
      <w:ins w:id="24" w:author="foobar" w:date="2000-11-09T12:47:00Z">
        <w:r>
          <w:rPr/>
        </w:r>
      </w:ins>
      <w:r>
        <w:rPr/>
        <w:fldChar w:fldCharType="end"/>
      </w:r>
    </w:p>
    <w:p>
      <w:pPr>
        <w:pStyle w:val="ARTICLE"/>
        <w:keepNext w:val="true"/>
        <w:keepLines/>
        <w:widowControl/>
        <w:ind w:start="0" w:end="0"/>
        <w:jc w:val="both"/>
        <w:rPr/>
      </w:pPr>
      <w:r>
        <w:rPr/>
      </w:r>
    </w:p>
    <w:p>
      <w:pPr>
        <w:pStyle w:val="Normal"/>
        <w:keepLines/>
        <w:widowControl/>
        <w:numPr>
          <w:ilvl w:val="1"/>
          <w:numId w:val="9"/>
        </w:numPr>
        <w:tabs>
          <w:tab w:val="clear" w:pos="720"/>
          <w:tab w:val="left" w:pos="0" w:leader="none"/>
        </w:tabs>
        <w:ind w:hanging="0" w:start="0"/>
        <w:jc w:val="both"/>
        <w:rPr/>
      </w:pPr>
      <w:r>
        <w:rPr>
          <w:rStyle w:val="SectionHead"/>
          <w:sz w:val="24"/>
          <w:szCs w:val="24"/>
        </w:rPr>
        <w:tab/>
        <w:t xml:space="preserve">Section     Conditions Precedent to Lenders’ Obligations under this Agreement.   </w:t>
      </w:r>
      <w:ins w:id="25" w:author="foobar" w:date="2000-11-09T12:47:00Z">
        <w:r>
          <w:fldChar w:fldCharType="begin"/>
        </w:r>
        <w:r>
          <w:rPr/>
          <w:instrText xml:space="preserve"> TC "Section     Conditions Precedent to Lenders’ Obligations under this Agreement.   " \l 2 </w:instrText>
        </w:r>
      </w:ins>
      <w:r>
        <w:rPr/>
        <w:fldChar w:fldCharType="separate"/>
      </w:r>
      <w:ins w:id="26" w:author="foobar" w:date="2000-11-09T12:47:00Z">
        <w:r>
          <w:rPr/>
        </w:r>
      </w:ins>
      <w:r>
        <w:rPr/>
        <w:fldChar w:fldCharType="end"/>
      </w:r>
      <w:r>
        <w:rPr>
          <w:sz w:val="24"/>
          <w:szCs w:val="24"/>
        </w:rPr>
        <w:t>The obligations of the Lenders under this Agreement are conditioned upon the Agent having received the following items in all respects (except where otherwise specified) in form and substance reasonably satisfactory to the Agent:</w:t>
      </w:r>
    </w:p>
    <w:p>
      <w:pPr>
        <w:pStyle w:val="Normal"/>
        <w:widowControl/>
        <w:jc w:val="both"/>
        <w:rPr>
          <w:sz w:val="24"/>
          <w:szCs w:val="24"/>
        </w:rPr>
      </w:pPr>
      <w:r>
        <w:rPr>
          <w:sz w:val="24"/>
          <w:szCs w:val="24"/>
        </w:rPr>
      </w:r>
    </w:p>
    <w:p>
      <w:pPr>
        <w:pStyle w:val="i"/>
        <w:widowControl/>
        <w:numPr>
          <w:ilvl w:val="3"/>
          <w:numId w:val="10"/>
        </w:numPr>
        <w:tabs>
          <w:tab w:val="clear" w:pos="720"/>
          <w:tab w:val="left" w:pos="0" w:leader="none"/>
        </w:tabs>
        <w:ind w:hanging="0" w:start="720"/>
        <w:jc w:val="both"/>
        <w:rPr/>
      </w:pPr>
      <w:r>
        <w:rPr/>
        <w:tab/>
        <w:t>a copy, certified as of the applicable Drawdown Date, or such other date as agreed by the Agent, as true and complete by a duly authorized representative of the Trust and Enron as the case may be of:</w:t>
      </w:r>
    </w:p>
    <w:p>
      <w:pPr>
        <w:pStyle w:val="AUC"/>
        <w:widowControl/>
        <w:numPr>
          <w:ilvl w:val="4"/>
          <w:numId w:val="10"/>
        </w:numPr>
        <w:tabs>
          <w:tab w:val="clear" w:pos="720"/>
          <w:tab w:val="left" w:pos="0" w:leader="none"/>
        </w:tabs>
        <w:ind w:hanging="0" w:start="1440"/>
        <w:jc w:val="both"/>
        <w:rPr/>
      </w:pPr>
      <w:r>
        <w:rPr/>
        <w:t>the organizational documents of Enron and the Trust including evidence of due formation and “good standing” of Enron and the Trust.</w:t>
      </w:r>
    </w:p>
    <w:p>
      <w:pPr>
        <w:pStyle w:val="AUC"/>
        <w:widowControl/>
        <w:numPr>
          <w:ilvl w:val="4"/>
          <w:numId w:val="10"/>
        </w:numPr>
        <w:tabs>
          <w:tab w:val="clear" w:pos="720"/>
          <w:tab w:val="left" w:pos="0" w:leader="none"/>
        </w:tabs>
        <w:ind w:hanging="0" w:start="1440"/>
        <w:jc w:val="both"/>
        <w:rPr/>
      </w:pPr>
      <w:r>
        <w:rPr/>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AUC"/>
        <w:widowControl/>
        <w:numPr>
          <w:ilvl w:val="4"/>
          <w:numId w:val="10"/>
        </w:numPr>
        <w:tabs>
          <w:tab w:val="clear" w:pos="720"/>
          <w:tab w:val="left" w:pos="0" w:leader="none"/>
        </w:tabs>
        <w:ind w:hanging="0" w:start="1440"/>
        <w:jc w:val="both"/>
        <w:rPr/>
      </w:pPr>
      <w:r>
        <w:rPr/>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i"/>
        <w:widowControl/>
        <w:numPr>
          <w:ilvl w:val="3"/>
          <w:numId w:val="10"/>
        </w:numPr>
        <w:tabs>
          <w:tab w:val="clear" w:pos="720"/>
          <w:tab w:val="left" w:pos="0" w:leader="none"/>
        </w:tabs>
        <w:ind w:hanging="0" w:start="720"/>
        <w:jc w:val="both"/>
        <w:rPr/>
      </w:pPr>
      <w:r>
        <w:rPr/>
        <w:tab/>
        <w:t>on the Closing Date, and in the case of clause (E), on the Second Closing Date, duly executed counterparts of:</w:t>
      </w:r>
    </w:p>
    <w:p>
      <w:pPr>
        <w:pStyle w:val="AUC"/>
        <w:widowControl/>
        <w:numPr>
          <w:ilvl w:val="4"/>
          <w:numId w:val="10"/>
        </w:numPr>
        <w:tabs>
          <w:tab w:val="clear" w:pos="720"/>
          <w:tab w:val="left" w:pos="0" w:leader="none"/>
        </w:tabs>
        <w:ind w:hanging="0" w:start="1440"/>
        <w:jc w:val="both"/>
        <w:rPr/>
      </w:pPr>
      <w:r>
        <w:rPr/>
        <w:tab/>
        <w:t>this Agreement;</w:t>
      </w:r>
    </w:p>
    <w:p>
      <w:pPr>
        <w:pStyle w:val="AUC"/>
        <w:widowControl/>
        <w:numPr>
          <w:ilvl w:val="4"/>
          <w:numId w:val="10"/>
        </w:numPr>
        <w:tabs>
          <w:tab w:val="clear" w:pos="720"/>
          <w:tab w:val="left" w:pos="0" w:leader="none"/>
        </w:tabs>
        <w:ind w:hanging="0" w:start="1440"/>
        <w:jc w:val="both"/>
        <w:rPr/>
      </w:pPr>
      <w:r>
        <w:rPr/>
        <w:tab/>
        <w:t>the Trust Agreement;</w:t>
      </w:r>
    </w:p>
    <w:p>
      <w:pPr>
        <w:pStyle w:val="AUC"/>
        <w:widowControl/>
        <w:numPr>
          <w:ilvl w:val="4"/>
          <w:numId w:val="10"/>
        </w:numPr>
        <w:tabs>
          <w:tab w:val="clear" w:pos="720"/>
          <w:tab w:val="left" w:pos="0" w:leader="none"/>
        </w:tabs>
        <w:ind w:hanging="0" w:start="1440"/>
        <w:jc w:val="both"/>
        <w:rPr/>
      </w:pPr>
      <w:r>
        <w:rPr/>
        <w:tab/>
        <w:t>the Total Return Swap Agreement described in clause (i) of the definition of Total Return Swap Agreement (not including the Swap Confirmations);</w:t>
      </w:r>
    </w:p>
    <w:p>
      <w:pPr>
        <w:pStyle w:val="AUC"/>
        <w:widowControl/>
        <w:numPr>
          <w:ilvl w:val="4"/>
          <w:numId w:val="10"/>
        </w:numPr>
        <w:tabs>
          <w:tab w:val="clear" w:pos="720"/>
          <w:tab w:val="left" w:pos="0" w:leader="none"/>
        </w:tabs>
        <w:ind w:hanging="0" w:start="1440"/>
        <w:jc w:val="both"/>
        <w:rPr/>
      </w:pPr>
      <w:r>
        <w:rPr/>
        <w:tab/>
        <w:t>the Reimbursement and Disclosure Agreement;</w:t>
      </w:r>
    </w:p>
    <w:p>
      <w:pPr>
        <w:pStyle w:val="AUC"/>
        <w:widowControl/>
        <w:numPr>
          <w:ilvl w:val="4"/>
          <w:numId w:val="10"/>
        </w:numPr>
        <w:tabs>
          <w:tab w:val="clear" w:pos="720"/>
          <w:tab w:val="left" w:pos="0" w:leader="none"/>
        </w:tabs>
        <w:ind w:hanging="0" w:start="1440"/>
        <w:jc w:val="both"/>
        <w:rPr/>
      </w:pPr>
      <w:r>
        <w:rPr/>
        <w:tab/>
        <w:t>the replacement Beneficial Interest Certificate and the Notes including on the Second Closing Date any Notes required to be issued to additional Lenders under Section 3.3;</w:t>
      </w:r>
    </w:p>
    <w:p>
      <w:pPr>
        <w:pStyle w:val="AUC"/>
        <w:widowControl/>
        <w:numPr>
          <w:ilvl w:val="4"/>
          <w:numId w:val="10"/>
        </w:numPr>
        <w:tabs>
          <w:tab w:val="clear" w:pos="720"/>
          <w:tab w:val="left" w:pos="0" w:leader="none"/>
        </w:tabs>
        <w:ind w:hanging="0" w:start="1440"/>
        <w:jc w:val="both"/>
        <w:rPr/>
      </w:pPr>
      <w:r>
        <w:rPr/>
        <w:tab/>
        <w:t>Termination of Facility Agreement;</w:t>
      </w:r>
    </w:p>
    <w:p>
      <w:pPr>
        <w:pStyle w:val="AUC"/>
        <w:widowControl/>
        <w:numPr>
          <w:ilvl w:val="4"/>
          <w:numId w:val="10"/>
        </w:numPr>
        <w:tabs>
          <w:tab w:val="clear" w:pos="720"/>
          <w:tab w:val="left" w:pos="0" w:leader="none"/>
        </w:tabs>
        <w:ind w:hanging="0" w:start="1440"/>
        <w:jc w:val="both"/>
        <w:rPr/>
      </w:pPr>
      <w:r>
        <w:rPr/>
        <w:tab/>
        <w:t>the fee letter referred to in clause (i) of the definition of Fee Letters;</w:t>
      </w:r>
    </w:p>
    <w:p>
      <w:pPr>
        <w:pStyle w:val="AUC"/>
        <w:widowControl/>
        <w:numPr>
          <w:ilvl w:val="4"/>
          <w:numId w:val="10"/>
        </w:numPr>
        <w:tabs>
          <w:tab w:val="clear" w:pos="720"/>
          <w:tab w:val="left" w:pos="0" w:leader="none"/>
        </w:tabs>
        <w:ind w:hanging="0" w:start="1440"/>
        <w:jc w:val="both"/>
        <w:rPr/>
      </w:pPr>
      <w:r>
        <w:rPr/>
        <w:tab/>
        <w:t>the Enron Guaranty; and</w:t>
      </w:r>
    </w:p>
    <w:p>
      <w:pPr>
        <w:pStyle w:val="AUC"/>
        <w:keepNext w:val="true"/>
        <w:widowControl/>
        <w:numPr>
          <w:ilvl w:val="4"/>
          <w:numId w:val="10"/>
        </w:numPr>
        <w:tabs>
          <w:tab w:val="clear" w:pos="720"/>
          <w:tab w:val="left" w:pos="0" w:leader="none"/>
        </w:tabs>
        <w:ind w:hanging="0" w:start="1440"/>
        <w:jc w:val="both"/>
        <w:rPr/>
      </w:pPr>
      <w:r>
        <w:rPr/>
        <w:tab/>
        <w:t>the Funding Indemnity Agreement.</w:t>
      </w:r>
    </w:p>
    <w:p>
      <w:pPr>
        <w:pStyle w:val="Normal"/>
        <w:keepLines/>
        <w:widowControl/>
        <w:numPr>
          <w:ilvl w:val="1"/>
          <w:numId w:val="10"/>
        </w:numPr>
        <w:tabs>
          <w:tab w:val="clear" w:pos="720"/>
          <w:tab w:val="left" w:pos="0" w:leader="none"/>
        </w:tabs>
        <w:ind w:hanging="0" w:start="0"/>
        <w:jc w:val="both"/>
        <w:rPr/>
      </w:pPr>
      <w:r>
        <w:rPr>
          <w:rStyle w:val="SectionHead"/>
          <w:sz w:val="24"/>
          <w:szCs w:val="24"/>
        </w:rPr>
        <w:tab/>
        <w:t xml:space="preserve">Section     Conditions Precedent to Lenders’ Obligations to Make Advances.   </w:t>
      </w:r>
      <w:ins w:id="27" w:author="foobar" w:date="2000-11-09T12:47:00Z">
        <w:r>
          <w:fldChar w:fldCharType="begin"/>
        </w:r>
        <w:r>
          <w:rPr/>
          <w:instrText xml:space="preserve"> TC "Section     Conditions Precedent to Lenders’ Obligations to Make Advances.   " \l 2 </w:instrText>
        </w:r>
      </w:ins>
      <w:r>
        <w:rPr/>
        <w:fldChar w:fldCharType="separate"/>
      </w:r>
      <w:ins w:id="28" w:author="foobar" w:date="2000-11-09T12:47:00Z">
        <w:r>
          <w:rPr/>
        </w:r>
      </w:ins>
      <w:r>
        <w:rPr/>
        <w:fldChar w:fldCharType="end"/>
      </w:r>
      <w:r>
        <w:rPr>
          <w:sz w:val="24"/>
          <w:szCs w:val="24"/>
        </w:rPr>
        <w:t>The obligations of the Lenders to make the Advances available to the Trust under this Agreement comprising each Tranche, other than the Hawaii Tranches and the Hawaii I Tranches, are conditioned upon the satisfaction of the following conditions precedent:</w:t>
      </w:r>
    </w:p>
    <w:p>
      <w:pPr>
        <w:pStyle w:val="Normal"/>
        <w:widowControl/>
        <w:jc w:val="both"/>
        <w:rPr>
          <w:sz w:val="24"/>
          <w:szCs w:val="24"/>
        </w:rPr>
      </w:pPr>
      <w:r>
        <w:rPr>
          <w:sz w:val="24"/>
          <w:szCs w:val="24"/>
        </w:rPr>
      </w:r>
    </w:p>
    <w:p>
      <w:pPr>
        <w:pStyle w:val="a"/>
        <w:widowControl/>
        <w:numPr>
          <w:ilvl w:val="2"/>
          <w:numId w:val="11"/>
        </w:numPr>
        <w:tabs>
          <w:tab w:val="clear" w:pos="720"/>
          <w:tab w:val="left" w:pos="0" w:leader="none"/>
        </w:tabs>
        <w:ind w:hanging="0" w:start="0"/>
        <w:jc w:val="both"/>
        <w:rPr/>
      </w:pPr>
      <w:r>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i"/>
        <w:widowControl/>
        <w:numPr>
          <w:ilvl w:val="3"/>
          <w:numId w:val="11"/>
        </w:numPr>
        <w:tabs>
          <w:tab w:val="clear" w:pos="720"/>
          <w:tab w:val="left" w:pos="0" w:leader="none"/>
        </w:tabs>
        <w:ind w:hanging="0" w:start="720"/>
        <w:jc w:val="both"/>
        <w:rPr/>
      </w:pPr>
      <w:r>
        <w:rPr/>
        <w:tab/>
        <w:t>duly executed counterparts (or, in the case of (D) only, a copy certified by an officer of the Transferor as being true and correct) of:</w:t>
      </w:r>
    </w:p>
    <w:p>
      <w:pPr>
        <w:pStyle w:val="AUC"/>
        <w:widowControl/>
        <w:numPr>
          <w:ilvl w:val="4"/>
          <w:numId w:val="11"/>
        </w:numPr>
        <w:tabs>
          <w:tab w:val="clear" w:pos="720"/>
          <w:tab w:val="left" w:pos="0" w:leader="none"/>
        </w:tabs>
        <w:ind w:hanging="0" w:start="1440"/>
        <w:jc w:val="both"/>
        <w:rPr/>
      </w:pPr>
      <w:r>
        <w:rPr/>
        <w:tab/>
        <w:t>the applicable Series Supplement;</w:t>
      </w:r>
    </w:p>
    <w:p>
      <w:pPr>
        <w:pStyle w:val="AUC"/>
        <w:widowControl/>
        <w:numPr>
          <w:ilvl w:val="4"/>
          <w:numId w:val="11"/>
        </w:numPr>
        <w:tabs>
          <w:tab w:val="clear" w:pos="720"/>
          <w:tab w:val="left" w:pos="0" w:leader="none"/>
        </w:tabs>
        <w:ind w:hanging="0" w:start="1440"/>
        <w:jc w:val="both"/>
        <w:rPr/>
      </w:pPr>
      <w:r>
        <w:rPr/>
        <w:tab/>
        <w:t>the applicable Drawdown Request;</w:t>
      </w:r>
    </w:p>
    <w:p>
      <w:pPr>
        <w:pStyle w:val="AUC"/>
        <w:widowControl/>
        <w:numPr>
          <w:ilvl w:val="4"/>
          <w:numId w:val="11"/>
        </w:numPr>
        <w:tabs>
          <w:tab w:val="clear" w:pos="720"/>
          <w:tab w:val="left" w:pos="0" w:leader="none"/>
        </w:tabs>
        <w:ind w:hanging="0" w:start="1440"/>
        <w:jc w:val="both"/>
        <w:rPr/>
      </w:pPr>
      <w:r>
        <w:rPr/>
        <w:tab/>
        <w:t>the applicable Asset LLC Agreement;</w:t>
      </w:r>
    </w:p>
    <w:p>
      <w:pPr>
        <w:pStyle w:val="AUC"/>
        <w:widowControl/>
        <w:numPr>
          <w:ilvl w:val="4"/>
          <w:numId w:val="11"/>
        </w:numPr>
        <w:tabs>
          <w:tab w:val="clear" w:pos="720"/>
          <w:tab w:val="left" w:pos="0" w:leader="none"/>
        </w:tabs>
        <w:ind w:hanging="0" w:start="1440"/>
        <w:jc w:val="both"/>
        <w:rPr/>
      </w:pPr>
      <w:r>
        <w:rPr/>
        <w:tab/>
        <w:t>the applicable Transferor Constitutional Document;</w:t>
      </w:r>
    </w:p>
    <w:p>
      <w:pPr>
        <w:pStyle w:val="AUC"/>
        <w:widowControl/>
        <w:numPr>
          <w:ilvl w:val="4"/>
          <w:numId w:val="11"/>
        </w:numPr>
        <w:tabs>
          <w:tab w:val="clear" w:pos="720"/>
          <w:tab w:val="left" w:pos="0" w:leader="none"/>
        </w:tabs>
        <w:ind w:hanging="0" w:start="1440"/>
        <w:jc w:val="both"/>
        <w:rPr/>
      </w:pPr>
      <w:r>
        <w:rPr/>
        <w:tab/>
        <w:t>the applicable Swap Confirmation and, if applicable, the related Total Return Swap Agreement described in clause (ii) of the definition of Total Return Swap Agreement;</w:t>
      </w:r>
    </w:p>
    <w:p>
      <w:pPr>
        <w:pStyle w:val="AUC"/>
        <w:widowControl/>
        <w:numPr>
          <w:ilvl w:val="4"/>
          <w:numId w:val="11"/>
        </w:numPr>
        <w:tabs>
          <w:tab w:val="clear" w:pos="720"/>
          <w:tab w:val="left" w:pos="0" w:leader="none"/>
        </w:tabs>
        <w:ind w:hanging="0" w:start="1440"/>
        <w:jc w:val="both"/>
        <w:rPr/>
      </w:pPr>
      <w:r>
        <w:rPr/>
        <w:tab/>
        <w:t>the applicable Series Certificate (the initial holder of which shall be CIBC Inc. or its assignee);</w:t>
      </w:r>
    </w:p>
    <w:p>
      <w:pPr>
        <w:pStyle w:val="AUC"/>
        <w:widowControl/>
        <w:numPr>
          <w:ilvl w:val="4"/>
          <w:numId w:val="11"/>
        </w:numPr>
        <w:tabs>
          <w:tab w:val="clear" w:pos="720"/>
          <w:tab w:val="left" w:pos="0" w:leader="none"/>
        </w:tabs>
        <w:ind w:hanging="0" w:start="1440"/>
        <w:jc w:val="both"/>
        <w:rPr/>
      </w:pPr>
      <w:r>
        <w:rPr/>
        <w:tab/>
        <w:t>the applicable Independent Auctioneer Letter;</w:t>
      </w:r>
    </w:p>
    <w:p>
      <w:pPr>
        <w:pStyle w:val="AUC"/>
        <w:widowControl/>
        <w:numPr>
          <w:ilvl w:val="4"/>
          <w:numId w:val="11"/>
        </w:numPr>
        <w:tabs>
          <w:tab w:val="clear" w:pos="720"/>
          <w:tab w:val="left" w:pos="0" w:leader="none"/>
        </w:tabs>
        <w:ind w:hanging="0" w:start="1440"/>
        <w:jc w:val="both"/>
        <w:rPr/>
      </w:pPr>
      <w:r>
        <w:rPr/>
        <w:tab/>
        <w:t>the applicable Transfer and Auction Agreement;</w:t>
      </w:r>
    </w:p>
    <w:p>
      <w:pPr>
        <w:pStyle w:val="AUC"/>
        <w:widowControl/>
        <w:numPr>
          <w:ilvl w:val="4"/>
          <w:numId w:val="11"/>
        </w:numPr>
        <w:tabs>
          <w:tab w:val="clear" w:pos="720"/>
          <w:tab w:val="left" w:pos="0" w:leader="none"/>
        </w:tabs>
        <w:ind w:hanging="0" w:start="1440"/>
        <w:jc w:val="both"/>
        <w:rPr/>
      </w:pPr>
      <w:r>
        <w:rPr/>
        <w:tab/>
        <w:t>as applicable, either (i) the applicable Put Option Agreement and the applicable Put Option Assignment and/or (ii) the applicable Demand Note and the applicable Demand Note Assignment;</w:t>
      </w:r>
    </w:p>
    <w:p>
      <w:pPr>
        <w:pStyle w:val="AUC"/>
        <w:widowControl/>
        <w:numPr>
          <w:ilvl w:val="4"/>
          <w:numId w:val="11"/>
        </w:numPr>
        <w:tabs>
          <w:tab w:val="clear" w:pos="720"/>
          <w:tab w:val="left" w:pos="0" w:leader="none"/>
        </w:tabs>
        <w:ind w:hanging="0" w:start="1440"/>
        <w:jc w:val="both"/>
        <w:rPr/>
      </w:pPr>
      <w:r>
        <w:rPr/>
        <w:tab/>
        <w:t>the applicable Asset Notice;</w:t>
      </w:r>
    </w:p>
    <w:p>
      <w:pPr>
        <w:pStyle w:val="AUC"/>
        <w:widowControl/>
        <w:numPr>
          <w:ilvl w:val="4"/>
          <w:numId w:val="11"/>
        </w:numPr>
        <w:tabs>
          <w:tab w:val="clear" w:pos="720"/>
          <w:tab w:val="left" w:pos="0" w:leader="none"/>
        </w:tabs>
        <w:ind w:hanging="0" w:start="1440"/>
        <w:jc w:val="both"/>
        <w:rPr/>
      </w:pPr>
      <w:r>
        <w:rPr/>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AUC"/>
        <w:widowControl/>
        <w:numPr>
          <w:ilvl w:val="4"/>
          <w:numId w:val="11"/>
        </w:numPr>
        <w:tabs>
          <w:tab w:val="clear" w:pos="720"/>
          <w:tab w:val="left" w:pos="0" w:leader="none"/>
        </w:tabs>
        <w:ind w:hanging="0" w:start="1440"/>
        <w:jc w:val="both"/>
        <w:rPr/>
      </w:pPr>
      <w:r>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i"/>
        <w:widowControl/>
        <w:numPr>
          <w:ilvl w:val="3"/>
          <w:numId w:val="11"/>
        </w:numPr>
        <w:tabs>
          <w:tab w:val="clear" w:pos="720"/>
          <w:tab w:val="left" w:pos="0" w:leader="none"/>
        </w:tabs>
        <w:ind w:hanging="0" w:start="720"/>
        <w:jc w:val="both"/>
        <w:rPr/>
      </w:pPr>
      <w:r>
        <w:rPr/>
        <w:tab/>
        <w:t>legal opinions in substantially the form of Exhibit J hereto and dated the Drawdown Date from:</w:t>
      </w:r>
    </w:p>
    <w:p>
      <w:pPr>
        <w:pStyle w:val="AUC"/>
        <w:widowControl/>
        <w:numPr>
          <w:ilvl w:val="4"/>
          <w:numId w:val="11"/>
        </w:numPr>
        <w:tabs>
          <w:tab w:val="clear" w:pos="720"/>
          <w:tab w:val="left" w:pos="0" w:leader="none"/>
        </w:tabs>
        <w:ind w:hanging="0" w:start="1440"/>
        <w:jc w:val="both"/>
        <w:rPr/>
      </w:pPr>
      <w:r>
        <w:rPr/>
        <w:tab/>
        <w:t>Andrews &amp; Kurth L.L.P., special counsel to the applicable Asset LLC, the Sponsor, Enron and the applicable Permitted Swap Party (if any);</w:t>
      </w:r>
    </w:p>
    <w:p>
      <w:pPr>
        <w:pStyle w:val="AUC"/>
        <w:widowControl/>
        <w:numPr>
          <w:ilvl w:val="4"/>
          <w:numId w:val="11"/>
        </w:numPr>
        <w:tabs>
          <w:tab w:val="clear" w:pos="720"/>
          <w:tab w:val="left" w:pos="0" w:leader="none"/>
        </w:tabs>
        <w:ind w:hanging="0" w:start="1440"/>
        <w:jc w:val="both"/>
        <w:rPr/>
      </w:pPr>
      <w:r>
        <w:rPr/>
        <w:tab/>
        <w:t>Prickett, Jones &amp; Elliott, special Delaware counsel to the applicable Asset LLC;</w:t>
      </w:r>
    </w:p>
    <w:p>
      <w:pPr>
        <w:pStyle w:val="AUC"/>
        <w:widowControl/>
        <w:numPr>
          <w:ilvl w:val="4"/>
          <w:numId w:val="11"/>
        </w:numPr>
        <w:tabs>
          <w:tab w:val="clear" w:pos="720"/>
          <w:tab w:val="left" w:pos="0" w:leader="none"/>
        </w:tabs>
        <w:ind w:hanging="0" w:start="1440"/>
        <w:jc w:val="both"/>
        <w:rPr/>
      </w:pPr>
      <w:r>
        <w:rPr/>
        <w:tab/>
        <w:t>General counsel to Enron, the Sponsor and the applicable Permitted Swap Party (if any), respectively;</w:t>
      </w:r>
    </w:p>
    <w:p>
      <w:pPr>
        <w:pStyle w:val="AUC"/>
        <w:widowControl/>
        <w:numPr>
          <w:ilvl w:val="4"/>
          <w:numId w:val="11"/>
        </w:numPr>
        <w:tabs>
          <w:tab w:val="clear" w:pos="720"/>
          <w:tab w:val="left" w:pos="0" w:leader="none"/>
        </w:tabs>
        <w:ind w:hanging="0" w:start="1440"/>
        <w:jc w:val="both"/>
        <w:rPr/>
      </w:pPr>
      <w:r>
        <w:rPr/>
        <w:tab/>
        <w:t>Richards, Layton &amp; Finger, counsel to the Trust;</w:t>
      </w:r>
    </w:p>
    <w:p>
      <w:pPr>
        <w:pStyle w:val="AUC"/>
        <w:widowControl/>
        <w:numPr>
          <w:ilvl w:val="4"/>
          <w:numId w:val="11"/>
        </w:numPr>
        <w:tabs>
          <w:tab w:val="clear" w:pos="720"/>
          <w:tab w:val="left" w:pos="0" w:leader="none"/>
        </w:tabs>
        <w:ind w:hanging="0" w:start="1440"/>
        <w:jc w:val="both"/>
        <w:rPr/>
      </w:pPr>
      <w:r>
        <w:rPr/>
        <w:tab/>
        <w:t>only on the Second Drawdown Date, an opinion of Mayer Brown &amp; Platt, counsel to the Agent; and</w:t>
      </w:r>
    </w:p>
    <w:p>
      <w:pPr>
        <w:pStyle w:val="AUC"/>
        <w:widowControl/>
        <w:numPr>
          <w:ilvl w:val="4"/>
          <w:numId w:val="11"/>
        </w:numPr>
        <w:tabs>
          <w:tab w:val="clear" w:pos="720"/>
          <w:tab w:val="left" w:pos="0" w:leader="none"/>
        </w:tabs>
        <w:ind w:hanging="0" w:start="1440"/>
        <w:jc w:val="both"/>
        <w:rPr/>
      </w:pPr>
      <w:r>
        <w:rPr/>
        <w:tab/>
        <w:t>Andrews &amp; Kurth L.L.P., Prickett, Jones &amp; Elliott, Richards, Layton &amp; Finger or such other counsel as may be reasonably acceptable to the Agent, as special counsel to the applicable Transferor.</w:t>
      </w:r>
    </w:p>
    <w:p>
      <w:pPr>
        <w:pStyle w:val="Normal"/>
        <w:widowControl/>
        <w:tabs>
          <w:tab w:val="left" w:pos="720" w:leader="none"/>
          <w:tab w:val="left" w:pos="1440" w:leader="none"/>
        </w:tabs>
        <w:ind w:hanging="1440" w:start="1440" w:end="0"/>
        <w:jc w:val="both"/>
        <w:rPr>
          <w:sz w:val="24"/>
          <w:szCs w:val="24"/>
        </w:rPr>
      </w:pPr>
      <w:r>
        <w:rPr>
          <w:sz w:val="24"/>
          <w:szCs w:val="24"/>
        </w:rPr>
        <w:tab/>
        <w:tab/>
        <w:t>(iii)</w:t>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widowControl/>
        <w:jc w:val="both"/>
        <w:rPr>
          <w:sz w:val="24"/>
          <w:szCs w:val="24"/>
        </w:rPr>
      </w:pPr>
      <w:r>
        <w:rPr>
          <w:sz w:val="24"/>
          <w:szCs w:val="24"/>
        </w:rPr>
      </w:r>
    </w:p>
    <w:p>
      <w:pPr>
        <w:pStyle w:val="Normal"/>
        <w:widowControl/>
        <w:ind w:start="1440" w:end="0"/>
        <w:jc w:val="both"/>
        <w:rPr>
          <w:sz w:val="24"/>
          <w:szCs w:val="24"/>
        </w:rPr>
      </w:pPr>
      <w:r>
        <w:rPr>
          <w:sz w:val="24"/>
          <w:szCs w:val="24"/>
        </w:rPr>
        <w:tab/>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widowControl/>
        <w:ind w:start="1440" w:end="0"/>
        <w:jc w:val="both"/>
        <w:rPr>
          <w:sz w:val="24"/>
          <w:szCs w:val="24"/>
        </w:rPr>
      </w:pPr>
      <w:r>
        <w:rPr>
          <w:sz w:val="24"/>
          <w:szCs w:val="24"/>
        </w:rPr>
        <w:tab/>
        <w:t>(C)</w:t>
        <w:tab/>
        <w:t>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widowControl/>
        <w:jc w:val="both"/>
        <w:rPr>
          <w:sz w:val="24"/>
          <w:szCs w:val="24"/>
        </w:rPr>
      </w:pPr>
      <w:r>
        <w:rPr>
          <w:sz w:val="24"/>
          <w:szCs w:val="24"/>
        </w:rPr>
      </w:r>
    </w:p>
    <w:p>
      <w:pPr>
        <w:pStyle w:val="a"/>
        <w:widowControl/>
        <w:numPr>
          <w:ilvl w:val="2"/>
          <w:numId w:val="12"/>
        </w:numPr>
        <w:tabs>
          <w:tab w:val="clear" w:pos="720"/>
          <w:tab w:val="left" w:pos="0" w:leader="none"/>
        </w:tabs>
        <w:ind w:hanging="0" w:start="0"/>
        <w:jc w:val="both"/>
        <w:rPr/>
      </w:pPr>
      <w:r>
        <w:rPr/>
        <w:tab/>
        <w:t>Since the date of this Agreement:</w:t>
      </w:r>
    </w:p>
    <w:p>
      <w:pPr>
        <w:pStyle w:val="i"/>
        <w:widowControl/>
        <w:numPr>
          <w:ilvl w:val="3"/>
          <w:numId w:val="12"/>
        </w:numPr>
        <w:tabs>
          <w:tab w:val="clear" w:pos="720"/>
          <w:tab w:val="left" w:pos="0" w:leader="none"/>
        </w:tabs>
        <w:ind w:hanging="0" w:start="720"/>
        <w:jc w:val="both"/>
        <w:rPr/>
      </w:pPr>
      <w:r>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i"/>
        <w:keepNext w:val="true"/>
        <w:widowControl/>
        <w:numPr>
          <w:ilvl w:val="3"/>
          <w:numId w:val="12"/>
        </w:numPr>
        <w:tabs>
          <w:tab w:val="clear" w:pos="720"/>
          <w:tab w:val="left" w:pos="0" w:leader="none"/>
        </w:tabs>
        <w:ind w:hanging="0" w:start="720"/>
        <w:jc w:val="both"/>
        <w:rPr/>
      </w:pPr>
      <w:r>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widowControl/>
        <w:numPr>
          <w:ilvl w:val="1"/>
          <w:numId w:val="12"/>
        </w:numPr>
        <w:tabs>
          <w:tab w:val="clear" w:pos="720"/>
          <w:tab w:val="left" w:pos="0" w:leader="none"/>
        </w:tabs>
        <w:ind w:hanging="0" w:start="0"/>
        <w:jc w:val="both"/>
        <w:rPr/>
      </w:pPr>
      <w:r>
        <w:rPr>
          <w:rStyle w:val="SectionHead"/>
          <w:sz w:val="24"/>
          <w:szCs w:val="24"/>
        </w:rPr>
        <w:tab/>
        <w:t xml:space="preserve">Section     Conditions Precedent to Lenders’ Obligations to Make Advances with Respect to the Hawaii Tranches.   </w:t>
      </w:r>
      <w:ins w:id="29" w:author="foobar" w:date="2000-11-09T12:47:00Z">
        <w:r>
          <w:fldChar w:fldCharType="begin"/>
        </w:r>
        <w:r>
          <w:rPr/>
          <w:instrText xml:space="preserve"> TC "Section     Conditions Precedent to Lenders’ Obligations to Make Advances with Respect to the Hawaii Tranches.   " \l 2 </w:instrText>
        </w:r>
      </w:ins>
      <w:r>
        <w:rPr/>
        <w:fldChar w:fldCharType="separate"/>
      </w:r>
      <w:ins w:id="30" w:author="foobar" w:date="2000-11-09T12:47:00Z">
        <w:r>
          <w:rPr/>
        </w:r>
      </w:ins>
      <w:r>
        <w:rPr/>
        <w:fldChar w:fldCharType="end"/>
      </w:r>
      <w:r>
        <w:rPr>
          <w:sz w:val="24"/>
          <w:szCs w:val="24"/>
        </w:rPr>
        <w:t>The obligations of the Lenders to make the Advances with respect to the Hawaii Tranches available to the Trust on the Closing Date under this Agreement are conditioned upon the satisfaction of the following conditions precedent:</w:t>
      </w:r>
    </w:p>
    <w:p>
      <w:pPr>
        <w:pStyle w:val="Normal"/>
        <w:widowControl/>
        <w:jc w:val="both"/>
        <w:rPr>
          <w:sz w:val="24"/>
          <w:szCs w:val="24"/>
        </w:rPr>
      </w:pPr>
      <w:r>
        <w:rPr>
          <w:sz w:val="24"/>
          <w:szCs w:val="24"/>
        </w:rPr>
      </w:r>
    </w:p>
    <w:p>
      <w:pPr>
        <w:pStyle w:val="a"/>
        <w:widowControl/>
        <w:numPr>
          <w:ilvl w:val="2"/>
          <w:numId w:val="13"/>
        </w:numPr>
        <w:tabs>
          <w:tab w:val="clear" w:pos="720"/>
          <w:tab w:val="left" w:pos="0" w:leader="none"/>
        </w:tabs>
        <w:ind w:hanging="0" w:start="0"/>
        <w:jc w:val="both"/>
        <w:rPr/>
      </w:pPr>
      <w:r>
        <w:rPr/>
        <w:tab/>
        <w:t>the Agent shall have received the following items, with respect to each Hawaii Tranche, in all respects (except where otherwise specified) in form and substance reasonably satisfactory to the Agent:</w:t>
      </w:r>
    </w:p>
    <w:p>
      <w:pPr>
        <w:pStyle w:val="i"/>
        <w:widowControl/>
        <w:numPr>
          <w:ilvl w:val="3"/>
          <w:numId w:val="13"/>
        </w:numPr>
        <w:tabs>
          <w:tab w:val="clear" w:pos="720"/>
          <w:tab w:val="left" w:pos="0" w:leader="none"/>
        </w:tabs>
        <w:ind w:hanging="0" w:start="720"/>
        <w:jc w:val="both"/>
        <w:rPr/>
      </w:pPr>
      <w:r>
        <w:rPr/>
        <w:tab/>
        <w:t>duly executed counterparts of:</w:t>
      </w:r>
    </w:p>
    <w:p>
      <w:pPr>
        <w:pStyle w:val="AUC"/>
        <w:widowControl/>
        <w:numPr>
          <w:ilvl w:val="4"/>
          <w:numId w:val="13"/>
        </w:numPr>
        <w:tabs>
          <w:tab w:val="clear" w:pos="720"/>
          <w:tab w:val="left" w:pos="0" w:leader="none"/>
        </w:tabs>
        <w:ind w:hanging="0" w:start="1440"/>
        <w:jc w:val="both"/>
        <w:rPr/>
      </w:pPr>
      <w:r>
        <w:rPr/>
        <w:tab/>
        <w:t>the applicable Drawdown Request with a copy of the Asset Notice executed and delivered in connection with the drawdown of the applicable Hawaii Tranche under the Hawaii Facility Agreement;</w:t>
      </w:r>
    </w:p>
    <w:p>
      <w:pPr>
        <w:pStyle w:val="AUC"/>
        <w:widowControl/>
        <w:numPr>
          <w:ilvl w:val="4"/>
          <w:numId w:val="13"/>
        </w:numPr>
        <w:tabs>
          <w:tab w:val="clear" w:pos="720"/>
          <w:tab w:val="left" w:pos="0" w:leader="none"/>
        </w:tabs>
        <w:ind w:hanging="0" w:start="1440"/>
        <w:jc w:val="both"/>
        <w:rPr/>
      </w:pPr>
      <w:r>
        <w:rPr/>
        <w:tab/>
        <w:t>the applicable replacement Series Certificate (the initial holder of which shall be CIBC Inc. or its assignee);</w:t>
      </w:r>
    </w:p>
    <w:p>
      <w:pPr>
        <w:pStyle w:val="AUC"/>
        <w:widowControl/>
        <w:numPr>
          <w:ilvl w:val="4"/>
          <w:numId w:val="13"/>
        </w:numPr>
        <w:tabs>
          <w:tab w:val="clear" w:pos="720"/>
          <w:tab w:val="left" w:pos="0" w:leader="none"/>
        </w:tabs>
        <w:ind w:hanging="0" w:start="1440"/>
        <w:jc w:val="both"/>
        <w:rPr/>
      </w:pPr>
      <w:r>
        <w:rPr/>
        <w:tab/>
        <w:t>the applicable Omnibus Amendment; and</w:t>
      </w:r>
    </w:p>
    <w:p>
      <w:pPr>
        <w:pStyle w:val="AUC"/>
        <w:widowControl/>
        <w:numPr>
          <w:ilvl w:val="4"/>
          <w:numId w:val="13"/>
        </w:numPr>
        <w:tabs>
          <w:tab w:val="clear" w:pos="720"/>
          <w:tab w:val="left" w:pos="0" w:leader="none"/>
        </w:tabs>
        <w:ind w:hanging="0" w:start="1440"/>
        <w:jc w:val="both"/>
        <w:rPr/>
      </w:pPr>
      <w:r>
        <w:rPr/>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i"/>
        <w:widowControl/>
        <w:numPr>
          <w:ilvl w:val="3"/>
          <w:numId w:val="13"/>
        </w:numPr>
        <w:tabs>
          <w:tab w:val="clear" w:pos="720"/>
          <w:tab w:val="left" w:pos="0" w:leader="none"/>
        </w:tabs>
        <w:ind w:hanging="0" w:start="720"/>
        <w:jc w:val="both"/>
        <w:rPr/>
      </w:pPr>
      <w:r>
        <w:rPr/>
        <w:tab/>
        <w:t>legal opinions in substantially the form of Exhibit J hereto and dated the Drawdown Date from:</w:t>
      </w:r>
    </w:p>
    <w:p>
      <w:pPr>
        <w:pStyle w:val="AUC"/>
        <w:widowControl/>
        <w:numPr>
          <w:ilvl w:val="4"/>
          <w:numId w:val="13"/>
        </w:numPr>
        <w:tabs>
          <w:tab w:val="clear" w:pos="720"/>
          <w:tab w:val="left" w:pos="0" w:leader="none"/>
        </w:tabs>
        <w:ind w:hanging="0" w:start="1440"/>
        <w:jc w:val="both"/>
        <w:rPr/>
      </w:pPr>
      <w:r>
        <w:rPr/>
        <w:tab/>
        <w:t>Andrews &amp; Kurth L.L.P., special counsel to the applicable Asset LLC, the Sponsor the Permitted Swap Party (if any) and Enron;</w:t>
      </w:r>
    </w:p>
    <w:p>
      <w:pPr>
        <w:pStyle w:val="AUC"/>
        <w:widowControl/>
        <w:numPr>
          <w:ilvl w:val="4"/>
          <w:numId w:val="13"/>
        </w:numPr>
        <w:tabs>
          <w:tab w:val="clear" w:pos="720"/>
          <w:tab w:val="left" w:pos="0" w:leader="none"/>
        </w:tabs>
        <w:ind w:hanging="0" w:start="1440"/>
        <w:jc w:val="both"/>
        <w:rPr/>
      </w:pPr>
      <w:r>
        <w:rPr/>
        <w:tab/>
        <w:t>Prickett, Jones &amp; Elliott, special counsel to the applicable Asset LLC;</w:t>
      </w:r>
    </w:p>
    <w:p>
      <w:pPr>
        <w:pStyle w:val="AUC"/>
        <w:widowControl/>
        <w:numPr>
          <w:ilvl w:val="4"/>
          <w:numId w:val="13"/>
        </w:numPr>
        <w:tabs>
          <w:tab w:val="clear" w:pos="720"/>
          <w:tab w:val="left" w:pos="0" w:leader="none"/>
        </w:tabs>
        <w:ind w:hanging="0" w:start="1440"/>
        <w:jc w:val="both"/>
        <w:rPr/>
      </w:pPr>
      <w:r>
        <w:rPr/>
        <w:tab/>
        <w:t xml:space="preserve">General counsel to Enron the Sponsor and the applicable Permitted Swap Party (if any), respectively; </w:t>
      </w:r>
    </w:p>
    <w:p>
      <w:pPr>
        <w:pStyle w:val="AUC"/>
        <w:widowControl/>
        <w:numPr>
          <w:ilvl w:val="4"/>
          <w:numId w:val="13"/>
        </w:numPr>
        <w:tabs>
          <w:tab w:val="clear" w:pos="720"/>
          <w:tab w:val="left" w:pos="0" w:leader="none"/>
        </w:tabs>
        <w:ind w:hanging="0" w:start="1440"/>
        <w:jc w:val="both"/>
        <w:rPr/>
      </w:pPr>
      <w:r>
        <w:rPr/>
        <w:tab/>
        <w:t>Richards, Layton &amp; Finger, counsel to the Trust;</w:t>
      </w:r>
    </w:p>
    <w:p>
      <w:pPr>
        <w:pStyle w:val="AUC"/>
        <w:widowControl/>
        <w:numPr>
          <w:ilvl w:val="4"/>
          <w:numId w:val="13"/>
        </w:numPr>
        <w:tabs>
          <w:tab w:val="clear" w:pos="720"/>
          <w:tab w:val="left" w:pos="0" w:leader="none"/>
        </w:tabs>
        <w:ind w:hanging="0" w:start="1440"/>
        <w:jc w:val="both"/>
        <w:rPr/>
      </w:pPr>
      <w:r>
        <w:rPr/>
        <w:tab/>
        <w:t>only on the First Drawdown Date, an opinion of Mayer Brown &amp; Platt, counsel to the Agent; and</w:t>
      </w:r>
    </w:p>
    <w:p>
      <w:pPr>
        <w:pStyle w:val="AUC"/>
        <w:widowControl/>
        <w:numPr>
          <w:ilvl w:val="4"/>
          <w:numId w:val="13"/>
        </w:numPr>
        <w:tabs>
          <w:tab w:val="clear" w:pos="720"/>
          <w:tab w:val="left" w:pos="0" w:leader="none"/>
        </w:tabs>
        <w:ind w:hanging="0" w:start="1440"/>
        <w:jc w:val="both"/>
        <w:rPr/>
      </w:pPr>
      <w:r>
        <w:rPr/>
        <w:tab/>
        <w:t>Andrews &amp; Kurth L.L.P., Prickett, Jones &amp; Elliott, Richards, Layton &amp; Finger or such other counsel as may be reasonably acceptable to the Agent, as special counsel to the applicable Transferor.</w:t>
      </w:r>
    </w:p>
    <w:p>
      <w:pPr>
        <w:pStyle w:val="Normal"/>
        <w:widowControl/>
        <w:tabs>
          <w:tab w:val="left" w:pos="720" w:leader="none"/>
          <w:tab w:val="left" w:pos="1440" w:leader="none"/>
        </w:tabs>
        <w:ind w:hanging="1440" w:start="1440" w:end="0"/>
        <w:jc w:val="both"/>
        <w:rPr>
          <w:sz w:val="24"/>
          <w:szCs w:val="24"/>
        </w:rPr>
      </w:pPr>
      <w:r>
        <w:rPr>
          <w:sz w:val="24"/>
          <w:szCs w:val="24"/>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jc w:val="both"/>
        <w:rPr>
          <w:sz w:val="24"/>
          <w:szCs w:val="24"/>
        </w:rPr>
      </w:pPr>
      <w:r>
        <w:rPr>
          <w:sz w:val="24"/>
          <w:szCs w:val="24"/>
        </w:rPr>
      </w:r>
    </w:p>
    <w:p>
      <w:pPr>
        <w:pStyle w:val="Normal"/>
        <w:widowControl/>
        <w:ind w:start="1440" w:end="0"/>
        <w:jc w:val="both"/>
        <w:rPr>
          <w:sz w:val="24"/>
          <w:szCs w:val="24"/>
        </w:rPr>
      </w:pPr>
      <w:r>
        <w:rPr>
          <w:sz w:val="24"/>
          <w:szCs w:val="24"/>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widowControl/>
        <w:jc w:val="both"/>
        <w:rPr>
          <w:sz w:val="24"/>
          <w:szCs w:val="24"/>
        </w:rPr>
      </w:pPr>
      <w:r>
        <w:rPr>
          <w:sz w:val="24"/>
          <w:szCs w:val="24"/>
        </w:rPr>
      </w:r>
    </w:p>
    <w:p>
      <w:pPr>
        <w:pStyle w:val="a"/>
        <w:widowControl/>
        <w:numPr>
          <w:ilvl w:val="2"/>
          <w:numId w:val="14"/>
        </w:numPr>
        <w:tabs>
          <w:tab w:val="clear" w:pos="720"/>
          <w:tab w:val="left" w:pos="0" w:leader="none"/>
        </w:tabs>
        <w:ind w:hanging="0" w:start="0"/>
        <w:jc w:val="both"/>
        <w:rPr/>
      </w:pPr>
      <w:r>
        <w:rPr/>
        <w:tab/>
        <w:t>Since the date of this Agreement:</w:t>
      </w:r>
    </w:p>
    <w:p>
      <w:pPr>
        <w:pStyle w:val="i"/>
        <w:widowControl/>
        <w:numPr>
          <w:ilvl w:val="3"/>
          <w:numId w:val="14"/>
        </w:numPr>
        <w:tabs>
          <w:tab w:val="clear" w:pos="720"/>
          <w:tab w:val="left" w:pos="0" w:leader="none"/>
        </w:tabs>
        <w:ind w:hanging="0" w:start="720"/>
        <w:jc w:val="both"/>
        <w:rPr/>
      </w:pPr>
      <w:r>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i"/>
        <w:keepNext w:val="true"/>
        <w:widowControl/>
        <w:numPr>
          <w:ilvl w:val="3"/>
          <w:numId w:val="14"/>
        </w:numPr>
        <w:tabs>
          <w:tab w:val="clear" w:pos="720"/>
          <w:tab w:val="left" w:pos="0" w:leader="none"/>
        </w:tabs>
        <w:ind w:hanging="0" w:start="720"/>
        <w:jc w:val="both"/>
        <w:rPr/>
      </w:pPr>
      <w:r>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widowControl/>
        <w:numPr>
          <w:ilvl w:val="1"/>
          <w:numId w:val="14"/>
        </w:numPr>
        <w:tabs>
          <w:tab w:val="clear" w:pos="720"/>
          <w:tab w:val="left" w:pos="0" w:leader="none"/>
        </w:tabs>
        <w:ind w:hanging="0" w:start="0"/>
        <w:jc w:val="both"/>
        <w:rPr/>
      </w:pPr>
      <w:r>
        <w:rPr>
          <w:rStyle w:val="SectionHead"/>
          <w:sz w:val="24"/>
          <w:szCs w:val="24"/>
        </w:rPr>
        <w:tab/>
        <w:t xml:space="preserve">Section     Conditions Precedent to Lenders’ Obligations to Make Advances with Respect to the Hawaii I Tranches.   </w:t>
      </w:r>
      <w:ins w:id="31" w:author="foobar" w:date="2000-11-09T12:47:00Z">
        <w:r>
          <w:fldChar w:fldCharType="begin"/>
        </w:r>
        <w:r>
          <w:rPr/>
          <w:instrText xml:space="preserve"> TC "Section     Conditions Precedent to Lenders’ Obligations to Make Advances with Respect to the Hawaii I Tranches.   " \l 2 </w:instrText>
        </w:r>
      </w:ins>
      <w:r>
        <w:rPr/>
        <w:fldChar w:fldCharType="separate"/>
      </w:r>
      <w:ins w:id="32" w:author="foobar" w:date="2000-11-09T12:47:00Z">
        <w:r>
          <w:rPr/>
        </w:r>
      </w:ins>
      <w:r>
        <w:rPr/>
        <w:fldChar w:fldCharType="end"/>
      </w:r>
      <w:r>
        <w:rPr>
          <w:sz w:val="24"/>
          <w:szCs w:val="24"/>
        </w:rPr>
        <w:t>The obligations of the Lenders to make the Advances available to the Trust under this Agreement comprising each Hawaii I Tranche are conditioned upon the satisfaction of the following conditions precedent:</w:t>
      </w:r>
    </w:p>
    <w:p>
      <w:pPr>
        <w:pStyle w:val="Normal"/>
        <w:widowControl/>
        <w:jc w:val="both"/>
        <w:rPr>
          <w:sz w:val="24"/>
          <w:szCs w:val="24"/>
        </w:rPr>
      </w:pPr>
      <w:r>
        <w:rPr>
          <w:sz w:val="24"/>
          <w:szCs w:val="24"/>
        </w:rPr>
      </w:r>
    </w:p>
    <w:p>
      <w:pPr>
        <w:pStyle w:val="a"/>
        <w:widowControl/>
        <w:numPr>
          <w:ilvl w:val="2"/>
          <w:numId w:val="15"/>
        </w:numPr>
        <w:tabs>
          <w:tab w:val="clear" w:pos="720"/>
          <w:tab w:val="left" w:pos="0" w:leader="none"/>
        </w:tabs>
        <w:ind w:hanging="0" w:start="0"/>
        <w:jc w:val="both"/>
        <w:rPr/>
      </w:pPr>
      <w:r>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i"/>
        <w:widowControl/>
        <w:numPr>
          <w:ilvl w:val="3"/>
          <w:numId w:val="15"/>
        </w:numPr>
        <w:tabs>
          <w:tab w:val="clear" w:pos="720"/>
          <w:tab w:val="left" w:pos="0" w:leader="none"/>
        </w:tabs>
        <w:ind w:hanging="0" w:start="720"/>
        <w:jc w:val="both"/>
        <w:rPr/>
      </w:pPr>
      <w:r>
        <w:rPr/>
        <w:tab/>
        <w:t>duly executed counterparts of:</w:t>
      </w:r>
    </w:p>
    <w:p>
      <w:pPr>
        <w:pStyle w:val="AUC"/>
        <w:widowControl/>
        <w:numPr>
          <w:ilvl w:val="4"/>
          <w:numId w:val="15"/>
        </w:numPr>
        <w:tabs>
          <w:tab w:val="clear" w:pos="720"/>
          <w:tab w:val="left" w:pos="0" w:leader="none"/>
        </w:tabs>
        <w:ind w:hanging="0" w:start="1440"/>
        <w:jc w:val="both"/>
        <w:rPr/>
      </w:pPr>
      <w:r>
        <w:rPr/>
        <w:tab/>
        <w:t>the applicable Series Supplement;</w:t>
      </w:r>
    </w:p>
    <w:p>
      <w:pPr>
        <w:pStyle w:val="AUC"/>
        <w:widowControl/>
        <w:numPr>
          <w:ilvl w:val="4"/>
          <w:numId w:val="15"/>
        </w:numPr>
        <w:tabs>
          <w:tab w:val="clear" w:pos="720"/>
          <w:tab w:val="left" w:pos="0" w:leader="none"/>
        </w:tabs>
        <w:ind w:hanging="0" w:start="1440"/>
        <w:jc w:val="both"/>
        <w:rPr/>
      </w:pPr>
      <w:r>
        <w:rPr/>
        <w:tab/>
        <w:t>the applicable Drawdown Request with a copy of the Asset Notice executed and delivered in connection with the drawdown of the applicable Hawaii I Tranche under the Hawaii I Facility Agreement;</w:t>
      </w:r>
    </w:p>
    <w:p>
      <w:pPr>
        <w:pStyle w:val="AUC"/>
        <w:widowControl/>
        <w:numPr>
          <w:ilvl w:val="4"/>
          <w:numId w:val="15"/>
        </w:numPr>
        <w:tabs>
          <w:tab w:val="clear" w:pos="720"/>
          <w:tab w:val="left" w:pos="0" w:leader="none"/>
        </w:tabs>
        <w:ind w:hanging="0" w:start="1440"/>
        <w:jc w:val="both"/>
        <w:rPr/>
      </w:pPr>
      <w:r>
        <w:rPr/>
        <w:tab/>
        <w:t>the applicable Swap Confirmation and, if applicable, the related Total Return Swap Agreement described in clause (ii) of the definition of Total Return Swap Agreement;</w:t>
      </w:r>
    </w:p>
    <w:p>
      <w:pPr>
        <w:pStyle w:val="AUC"/>
        <w:widowControl/>
        <w:numPr>
          <w:ilvl w:val="4"/>
          <w:numId w:val="15"/>
        </w:numPr>
        <w:tabs>
          <w:tab w:val="clear" w:pos="720"/>
          <w:tab w:val="left" w:pos="0" w:leader="none"/>
        </w:tabs>
        <w:ind w:hanging="0" w:start="1440"/>
        <w:jc w:val="both"/>
        <w:rPr/>
      </w:pPr>
      <w:r>
        <w:rPr/>
        <w:tab/>
        <w:t>if Enron is not a party to the Total Return Swap Agreement, the Enron Guaranty;</w:t>
      </w:r>
    </w:p>
    <w:p>
      <w:pPr>
        <w:pStyle w:val="AUC"/>
        <w:widowControl/>
        <w:numPr>
          <w:ilvl w:val="4"/>
          <w:numId w:val="15"/>
        </w:numPr>
        <w:tabs>
          <w:tab w:val="clear" w:pos="720"/>
          <w:tab w:val="left" w:pos="0" w:leader="none"/>
        </w:tabs>
        <w:ind w:hanging="0" w:start="1440"/>
        <w:jc w:val="both"/>
        <w:rPr/>
      </w:pPr>
      <w:r>
        <w:rPr/>
        <w:tab/>
        <w:t>the applicable Series Certificate (the initial holder of which shall be CIBC Inc. or its assignee);</w:t>
      </w:r>
    </w:p>
    <w:p>
      <w:pPr>
        <w:pStyle w:val="AUC"/>
        <w:widowControl/>
        <w:numPr>
          <w:ilvl w:val="4"/>
          <w:numId w:val="15"/>
        </w:numPr>
        <w:tabs>
          <w:tab w:val="clear" w:pos="720"/>
          <w:tab w:val="left" w:pos="0" w:leader="none"/>
        </w:tabs>
        <w:ind w:hanging="0" w:start="1440"/>
        <w:jc w:val="both"/>
        <w:rPr/>
      </w:pPr>
      <w:r>
        <w:rPr/>
        <w:tab/>
        <w:t xml:space="preserve">the applicable Transfer and Auction Agreement; </w:t>
      </w:r>
    </w:p>
    <w:p>
      <w:pPr>
        <w:pStyle w:val="AUC"/>
        <w:widowControl/>
        <w:numPr>
          <w:ilvl w:val="4"/>
          <w:numId w:val="15"/>
        </w:numPr>
        <w:tabs>
          <w:tab w:val="clear" w:pos="720"/>
          <w:tab w:val="left" w:pos="0" w:leader="none"/>
        </w:tabs>
        <w:ind w:hanging="0" w:start="1440"/>
        <w:jc w:val="both"/>
        <w:rPr/>
      </w:pPr>
      <w:r>
        <w:rPr/>
        <w:tab/>
        <w:t>as applicable, either (i) the applicable Put Option Assignment and/or (ii) the applicable Demand Note Assignment;</w:t>
      </w:r>
    </w:p>
    <w:p>
      <w:pPr>
        <w:pStyle w:val="AUC"/>
        <w:widowControl/>
        <w:numPr>
          <w:ilvl w:val="4"/>
          <w:numId w:val="15"/>
        </w:numPr>
        <w:tabs>
          <w:tab w:val="clear" w:pos="720"/>
          <w:tab w:val="left" w:pos="0" w:leader="none"/>
        </w:tabs>
        <w:ind w:hanging="0" w:start="1440"/>
        <w:jc w:val="both"/>
        <w:rPr/>
      </w:pPr>
      <w:r>
        <w:rPr/>
        <w:tab/>
        <w:t>the applicable Independent Auctioneer Letter;</w:t>
      </w:r>
    </w:p>
    <w:p>
      <w:pPr>
        <w:pStyle w:val="AUC"/>
        <w:widowControl/>
        <w:numPr>
          <w:ilvl w:val="4"/>
          <w:numId w:val="15"/>
        </w:numPr>
        <w:tabs>
          <w:tab w:val="clear" w:pos="720"/>
          <w:tab w:val="left" w:pos="0" w:leader="none"/>
        </w:tabs>
        <w:ind w:hanging="0" w:start="1440"/>
        <w:jc w:val="both"/>
        <w:rPr/>
      </w:pPr>
      <w:r>
        <w:rPr/>
        <w:tab/>
        <w:t>written confirmation (i) from the Agent under the Hawaii I Facility Agreement that all amounts of principal and interest and all other amounts due in respect of the applicable tranche under the Hawaii I Facility Agreement has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p>
    <w:p>
      <w:pPr>
        <w:pStyle w:val="AUC"/>
        <w:widowControl/>
        <w:numPr>
          <w:ilvl w:val="4"/>
          <w:numId w:val="15"/>
        </w:numPr>
        <w:tabs>
          <w:tab w:val="clear" w:pos="720"/>
          <w:tab w:val="left" w:pos="0" w:leader="none"/>
        </w:tabs>
        <w:ind w:hanging="0" w:start="1440"/>
        <w:jc w:val="both"/>
        <w:rPr/>
      </w:pPr>
      <w:r>
        <w:rPr/>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i"/>
        <w:widowControl/>
        <w:numPr>
          <w:ilvl w:val="3"/>
          <w:numId w:val="15"/>
        </w:numPr>
        <w:tabs>
          <w:tab w:val="clear" w:pos="720"/>
          <w:tab w:val="left" w:pos="0" w:leader="none"/>
        </w:tabs>
        <w:ind w:hanging="0" w:start="720"/>
        <w:jc w:val="both"/>
        <w:rPr/>
      </w:pPr>
      <w:r>
        <w:rPr/>
        <w:tab/>
        <w:t>legal opinions in substantially the form of Exhibit J hereto and dated the Drawdown Date from:</w:t>
      </w:r>
    </w:p>
    <w:p>
      <w:pPr>
        <w:pStyle w:val="AUC"/>
        <w:widowControl/>
        <w:numPr>
          <w:ilvl w:val="4"/>
          <w:numId w:val="15"/>
        </w:numPr>
        <w:tabs>
          <w:tab w:val="clear" w:pos="720"/>
          <w:tab w:val="left" w:pos="0" w:leader="none"/>
        </w:tabs>
        <w:ind w:hanging="0" w:start="1440"/>
        <w:jc w:val="both"/>
        <w:rPr/>
      </w:pPr>
      <w:r>
        <w:rPr/>
        <w:tab/>
        <w:t>Andrews &amp; Kurth L.L.P., special counsel to the applicable Asset LLC, the Sponsor the Permitted Swap Party (if any) and Enron;</w:t>
      </w:r>
    </w:p>
    <w:p>
      <w:pPr>
        <w:pStyle w:val="AUC"/>
        <w:widowControl/>
        <w:numPr>
          <w:ilvl w:val="4"/>
          <w:numId w:val="15"/>
        </w:numPr>
        <w:tabs>
          <w:tab w:val="clear" w:pos="720"/>
          <w:tab w:val="left" w:pos="0" w:leader="none"/>
        </w:tabs>
        <w:ind w:hanging="0" w:start="1440"/>
        <w:jc w:val="both"/>
        <w:rPr/>
      </w:pPr>
      <w:r>
        <w:rPr/>
        <w:tab/>
        <w:t>Prickett, Jones &amp; Elliott, special counsel to the applicable Asset LLC;</w:t>
      </w:r>
    </w:p>
    <w:p>
      <w:pPr>
        <w:pStyle w:val="AUC"/>
        <w:widowControl/>
        <w:numPr>
          <w:ilvl w:val="4"/>
          <w:numId w:val="15"/>
        </w:numPr>
        <w:tabs>
          <w:tab w:val="clear" w:pos="720"/>
          <w:tab w:val="left" w:pos="0" w:leader="none"/>
        </w:tabs>
        <w:ind w:hanging="0" w:start="1440"/>
        <w:jc w:val="both"/>
        <w:rPr/>
      </w:pPr>
      <w:r>
        <w:rPr/>
        <w:tab/>
        <w:t xml:space="preserve">general counsel to Enron, the Sponsor and the applicable Permitted Swap (if any), respectively; </w:t>
      </w:r>
    </w:p>
    <w:p>
      <w:pPr>
        <w:pStyle w:val="AUC"/>
        <w:widowControl/>
        <w:numPr>
          <w:ilvl w:val="4"/>
          <w:numId w:val="15"/>
        </w:numPr>
        <w:tabs>
          <w:tab w:val="clear" w:pos="720"/>
          <w:tab w:val="left" w:pos="0" w:leader="none"/>
        </w:tabs>
        <w:ind w:hanging="0" w:start="1440"/>
        <w:jc w:val="both"/>
        <w:rPr/>
      </w:pPr>
      <w:r>
        <w:rPr/>
        <w:tab/>
        <w:t>Richards, Layton &amp; Finger, counsel to the Trust; and</w:t>
      </w:r>
    </w:p>
    <w:p>
      <w:pPr>
        <w:pStyle w:val="AUC"/>
        <w:widowControl/>
        <w:numPr>
          <w:ilvl w:val="4"/>
          <w:numId w:val="15"/>
        </w:numPr>
        <w:tabs>
          <w:tab w:val="clear" w:pos="720"/>
          <w:tab w:val="left" w:pos="0" w:leader="none"/>
        </w:tabs>
        <w:ind w:hanging="0" w:start="1440"/>
        <w:jc w:val="both"/>
        <w:rPr/>
      </w:pPr>
      <w:r>
        <w:rPr/>
        <w:tab/>
        <w:t>Andrews &amp; Kurth L.L.P., Prickett, Jones &amp; Elliott, Richards, Layton &amp; Finger or such other counsel as may be reasonably acceptable to the Agent, as special counsel to the applicable Transferor.</w:t>
      </w:r>
    </w:p>
    <w:p>
      <w:pPr>
        <w:pStyle w:val="Normal"/>
        <w:widowControl/>
        <w:tabs>
          <w:tab w:val="left" w:pos="720" w:leader="none"/>
          <w:tab w:val="left" w:pos="1440" w:leader="none"/>
        </w:tabs>
        <w:ind w:hanging="1440" w:start="1440" w:end="0"/>
        <w:jc w:val="both"/>
        <w:rPr>
          <w:sz w:val="24"/>
          <w:szCs w:val="24"/>
        </w:rPr>
      </w:pPr>
      <w:r>
        <w:rPr>
          <w:sz w:val="24"/>
          <w:szCs w:val="24"/>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ind w:start="1440" w:end="0"/>
        <w:jc w:val="both"/>
        <w:rPr>
          <w:sz w:val="24"/>
          <w:szCs w:val="24"/>
        </w:rPr>
      </w:pPr>
      <w:r>
        <w:rPr>
          <w:sz w:val="24"/>
          <w:szCs w:val="24"/>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widowControl/>
        <w:jc w:val="both"/>
        <w:rPr>
          <w:sz w:val="24"/>
          <w:szCs w:val="24"/>
        </w:rPr>
      </w:pPr>
      <w:r>
        <w:rPr>
          <w:sz w:val="24"/>
          <w:szCs w:val="24"/>
        </w:rPr>
      </w:r>
    </w:p>
    <w:p>
      <w:pPr>
        <w:pStyle w:val="a"/>
        <w:widowControl/>
        <w:numPr>
          <w:ilvl w:val="2"/>
          <w:numId w:val="16"/>
        </w:numPr>
        <w:tabs>
          <w:tab w:val="clear" w:pos="720"/>
          <w:tab w:val="left" w:pos="0" w:leader="none"/>
        </w:tabs>
        <w:ind w:hanging="0" w:start="0"/>
        <w:jc w:val="both"/>
        <w:rPr/>
      </w:pPr>
      <w:r>
        <w:rPr/>
        <w:tab/>
        <w:t>Since the date of this Agreement:</w:t>
      </w:r>
    </w:p>
    <w:p>
      <w:pPr>
        <w:pStyle w:val="i"/>
        <w:widowControl/>
        <w:numPr>
          <w:ilvl w:val="3"/>
          <w:numId w:val="16"/>
        </w:numPr>
        <w:tabs>
          <w:tab w:val="clear" w:pos="720"/>
          <w:tab w:val="left" w:pos="0" w:leader="none"/>
        </w:tabs>
        <w:ind w:hanging="0" w:start="720"/>
        <w:jc w:val="both"/>
        <w:rPr/>
      </w:pPr>
      <w:r>
        <w:rPr/>
        <w:tab/>
        <w:t>no Material Adverse Effect, Event of Default or Default, and no “Material Adverse Effect”, “Event of Default” or “Default” (as such terms are defined in the Hawaii I Facility Agreement), shall have occurred and be continuing unremedied or will occur as a result of the making of the Advances; and</w:t>
      </w:r>
    </w:p>
    <w:p>
      <w:pPr>
        <w:pStyle w:val="i"/>
        <w:keepNext w:val="true"/>
        <w:widowControl/>
        <w:numPr>
          <w:ilvl w:val="3"/>
          <w:numId w:val="16"/>
        </w:numPr>
        <w:tabs>
          <w:tab w:val="clear" w:pos="720"/>
          <w:tab w:val="left" w:pos="0" w:leader="none"/>
        </w:tabs>
        <w:ind w:hanging="0" w:start="720"/>
        <w:jc w:val="both"/>
        <w:rPr/>
      </w:pPr>
      <w:r>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widowControl/>
        <w:numPr>
          <w:ilvl w:val="1"/>
          <w:numId w:val="16"/>
        </w:numPr>
        <w:tabs>
          <w:tab w:val="clear" w:pos="720"/>
          <w:tab w:val="left" w:pos="0" w:leader="none"/>
        </w:tabs>
        <w:ind w:hanging="0" w:start="0"/>
        <w:jc w:val="both"/>
        <w:rPr/>
      </w:pPr>
      <w:r>
        <w:rPr>
          <w:rStyle w:val="SectionHead"/>
          <w:sz w:val="24"/>
          <w:szCs w:val="24"/>
        </w:rPr>
        <w:tab/>
        <w:t xml:space="preserve">Section     Commitments Not Drawn.   </w:t>
      </w:r>
      <w:ins w:id="33" w:author="foobar" w:date="2000-11-09T12:47:00Z">
        <w:r>
          <w:fldChar w:fldCharType="begin"/>
        </w:r>
        <w:r>
          <w:rPr/>
          <w:instrText xml:space="preserve"> TC "Section     Commitments Not Drawn.   " \l 2 </w:instrText>
        </w:r>
      </w:ins>
      <w:r>
        <w:rPr/>
        <w:fldChar w:fldCharType="separate"/>
      </w:r>
      <w:ins w:id="34" w:author="foobar" w:date="2000-11-09T12:47:00Z">
        <w:r>
          <w:rPr/>
        </w:r>
      </w:ins>
      <w:r>
        <w:rPr/>
        <w:fldChar w:fldCharType="end"/>
      </w:r>
      <w:r>
        <w:rPr>
          <w:sz w:val="24"/>
          <w:szCs w:val="24"/>
        </w:rPr>
        <w:t>Any Commitments not drawn on or before the Final Advance Date shall be canceled.</w:t>
      </w:r>
    </w:p>
    <w:p>
      <w:pPr>
        <w:pStyle w:val="Normal"/>
        <w:keepNext w:val="true"/>
        <w:keepLines/>
        <w:widowControl/>
        <w:numPr>
          <w:ilvl w:val="1"/>
          <w:numId w:val="16"/>
        </w:numPr>
        <w:tabs>
          <w:tab w:val="clear" w:pos="720"/>
          <w:tab w:val="left" w:pos="0" w:leader="none"/>
        </w:tabs>
        <w:ind w:hanging="0" w:start="0"/>
        <w:jc w:val="both"/>
        <w:rPr>
          <w:sz w:val="24"/>
          <w:szCs w:val="24"/>
        </w:rPr>
      </w:pPr>
      <w:r>
        <w:rPr>
          <w:sz w:val="24"/>
          <w:szCs w:val="24"/>
        </w:rPr>
      </w:r>
    </w:p>
    <w:p>
      <w:pPr>
        <w:pStyle w:val="Normal"/>
        <w:keepNext w:val="true"/>
        <w:keepLines/>
        <w:widowControl/>
        <w:jc w:val="both"/>
        <w:rPr>
          <w:sz w:val="24"/>
          <w:szCs w:val="24"/>
        </w:rPr>
      </w:pPr>
      <w:r>
        <w:rPr>
          <w:sz w:val="24"/>
          <w:szCs w:val="24"/>
        </w:rPr>
      </w:r>
    </w:p>
    <w:p>
      <w:pPr>
        <w:pStyle w:val="ARTICLE"/>
        <w:keepNext w:val="true"/>
        <w:keepLines/>
        <w:widowControl/>
        <w:numPr>
          <w:ilvl w:val="0"/>
          <w:numId w:val="17"/>
        </w:numPr>
        <w:tabs>
          <w:tab w:val="clear" w:pos="720"/>
          <w:tab w:val="left" w:pos="0" w:leader="none"/>
        </w:tabs>
        <w:ind w:hanging="0" w:start="1440"/>
        <w:rPr/>
      </w:pPr>
      <w:r>
        <w:rPr>
          <w:b/>
          <w:bCs/>
        </w:rPr>
        <w:t>ARTICLE DRAWDOWN CERTIFICATION AND DRAWDOWN PROCEDURES</w:t>
      </w:r>
      <w:ins w:id="35" w:author="foobar" w:date="2000-11-09T12:47:00Z">
        <w:r>
          <w:fldChar w:fldCharType="begin"/>
        </w:r>
        <w:r>
          <w:rPr/>
          <w:instrText xml:space="preserve"> TC "ARTICLE DRAWDOWN CERTIFICATION AND DRAWDOWN PROCEDURES" \l 1 </w:instrText>
        </w:r>
      </w:ins>
      <w:r>
        <w:rPr/>
        <w:fldChar w:fldCharType="separate"/>
      </w:r>
      <w:ins w:id="36" w:author="foobar" w:date="2000-11-09T12:47:00Z">
        <w:r>
          <w:rPr/>
        </w:r>
      </w:ins>
      <w:r>
        <w:rPr/>
        <w:fldChar w:fldCharType="end"/>
      </w:r>
    </w:p>
    <w:p>
      <w:pPr>
        <w:pStyle w:val="ARTICLE"/>
        <w:keepNext w:val="true"/>
        <w:keepLines/>
        <w:widowControl/>
        <w:ind w:start="0" w:end="0"/>
        <w:jc w:val="both"/>
        <w:rPr/>
      </w:pPr>
      <w:r>
        <w:rPr/>
      </w:r>
    </w:p>
    <w:p>
      <w:pPr>
        <w:pStyle w:val="Normal"/>
        <w:keepLines/>
        <w:widowControl/>
        <w:numPr>
          <w:ilvl w:val="1"/>
          <w:numId w:val="18"/>
        </w:numPr>
        <w:tabs>
          <w:tab w:val="clear" w:pos="720"/>
          <w:tab w:val="left" w:pos="0" w:leader="none"/>
        </w:tabs>
        <w:ind w:hanging="0" w:start="0"/>
        <w:jc w:val="both"/>
        <w:rPr/>
      </w:pPr>
      <w:r>
        <w:rPr>
          <w:rStyle w:val="SectionHead"/>
          <w:sz w:val="24"/>
          <w:szCs w:val="24"/>
        </w:rPr>
        <w:tab/>
        <w:t xml:space="preserve">Section     Certification Procedure. </w:t>
      </w:r>
      <w:ins w:id="37" w:author="foobar" w:date="2000-11-09T12:47:00Z">
        <w:r>
          <w:fldChar w:fldCharType="begin"/>
        </w:r>
        <w:r>
          <w:rPr/>
          <w:instrText xml:space="preserve"> TC "Section     Certification Procedure. " \l 2 </w:instrText>
        </w:r>
      </w:ins>
      <w:r>
        <w:rPr/>
        <w:fldChar w:fldCharType="separate"/>
      </w:r>
      <w:ins w:id="38" w:author="foobar" w:date="2000-11-09T12:47:00Z">
        <w:r>
          <w:rPr/>
        </w:r>
      </w:ins>
      <w:r>
        <w:rPr/>
        <w:fldChar w:fldCharType="end"/>
      </w:r>
      <w:r>
        <w:rPr>
          <w:sz w:val="24"/>
          <w:szCs w:val="24"/>
        </w:rPr>
        <w:t xml:space="preserve">  (a) With respect to each Tranche, other than the Hawaii Tranches and the Hawaii 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widowControl/>
        <w:jc w:val="both"/>
        <w:rPr>
          <w:sz w:val="24"/>
          <w:szCs w:val="24"/>
        </w:rPr>
      </w:pPr>
      <w:r>
        <w:rPr>
          <w:sz w:val="24"/>
          <w:szCs w:val="24"/>
        </w:rPr>
      </w:r>
    </w:p>
    <w:p>
      <w:pPr>
        <w:pStyle w:val="i"/>
        <w:widowControl/>
        <w:numPr>
          <w:ilvl w:val="3"/>
          <w:numId w:val="19"/>
        </w:numPr>
        <w:tabs>
          <w:tab w:val="clear" w:pos="720"/>
          <w:tab w:val="left" w:pos="0" w:leader="none"/>
        </w:tabs>
        <w:ind w:hanging="0" w:start="720"/>
        <w:jc w:val="both"/>
        <w:rPr/>
      </w:pPr>
      <w:r>
        <w:rPr/>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i"/>
        <w:widowControl/>
        <w:numPr>
          <w:ilvl w:val="3"/>
          <w:numId w:val="19"/>
        </w:numPr>
        <w:tabs>
          <w:tab w:val="clear" w:pos="720"/>
          <w:tab w:val="left" w:pos="0" w:leader="none"/>
        </w:tabs>
        <w:ind w:hanging="0" w:start="720"/>
        <w:jc w:val="both"/>
        <w:rPr/>
      </w:pPr>
      <w:r>
        <w:rPr/>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widowControl/>
        <w:jc w:val="both"/>
        <w:rPr>
          <w:sz w:val="24"/>
          <w:szCs w:val="24"/>
        </w:rPr>
      </w:pPr>
      <w:r>
        <w:rPr>
          <w:sz w:val="24"/>
          <w:szCs w:val="24"/>
        </w:rPr>
        <w:tab/>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(b)</w:t>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widowControl/>
        <w:jc w:val="both"/>
        <w:rPr>
          <w:sz w:val="24"/>
          <w:szCs w:val="24"/>
        </w:rPr>
      </w:pPr>
      <w:r>
        <w:rPr>
          <w:sz w:val="24"/>
          <w:szCs w:val="24"/>
        </w:rPr>
      </w:r>
    </w:p>
    <w:p>
      <w:pPr>
        <w:pStyle w:val="Normal"/>
        <w:keepNext w:val="true"/>
        <w:widowControl/>
        <w:jc w:val="both"/>
        <w:rPr>
          <w:sz w:val="24"/>
          <w:szCs w:val="24"/>
        </w:rPr>
      </w:pPr>
      <w:r>
        <w:rPr>
          <w:sz w:val="24"/>
          <w:szCs w:val="24"/>
        </w:rPr>
        <w:tab/>
        <w:t>(1)</w:t>
        <w:tab/>
        <w:t>Canadian Imperial Bank of Commerce, as Agent</w:t>
      </w:r>
    </w:p>
    <w:p>
      <w:pPr>
        <w:pStyle w:val="Normal"/>
        <w:keepNext w:val="true"/>
        <w:keepLines/>
        <w:widowControl/>
        <w:tabs>
          <w:tab w:val="left" w:pos="720" w:leader="none"/>
          <w:tab w:val="left" w:pos="1440" w:leader="none"/>
        </w:tabs>
        <w:ind w:hanging="1440" w:start="1440" w:end="0"/>
        <w:jc w:val="both"/>
        <w:rPr>
          <w:sz w:val="24"/>
          <w:szCs w:val="24"/>
        </w:rPr>
      </w:pPr>
      <w:r>
        <w:rPr>
          <w:sz w:val="24"/>
          <w:szCs w:val="24"/>
        </w:rPr>
        <w:tab/>
        <w:tab/>
        <w:t>c/o CIBC World Markets</w:t>
      </w:r>
    </w:p>
    <w:p>
      <w:pPr>
        <w:pStyle w:val="Normal"/>
        <w:keepNext w:val="true"/>
        <w:keepLines/>
        <w:widowControl/>
        <w:jc w:val="both"/>
        <w:rPr>
          <w:sz w:val="24"/>
          <w:szCs w:val="24"/>
        </w:rPr>
      </w:pPr>
      <w:r>
        <w:rPr>
          <w:sz w:val="24"/>
          <w:szCs w:val="24"/>
        </w:rPr>
        <w:tab/>
        <w:tab/>
        <w:t>425 Lexington Avenue,</w:t>
      </w:r>
    </w:p>
    <w:p>
      <w:pPr>
        <w:pStyle w:val="Normal"/>
        <w:keepNext w:val="true"/>
        <w:keepLines/>
        <w:widowControl/>
        <w:jc w:val="both"/>
        <w:rPr>
          <w:sz w:val="24"/>
          <w:szCs w:val="24"/>
        </w:rPr>
      </w:pPr>
      <w:r>
        <w:rPr>
          <w:sz w:val="24"/>
          <w:szCs w:val="24"/>
        </w:rPr>
        <w:tab/>
        <w:tab/>
        <w:t>New York, New York 10017</w:t>
      </w:r>
    </w:p>
    <w:p>
      <w:pPr>
        <w:pStyle w:val="Normal"/>
        <w:keepNext w:val="true"/>
        <w:keepLines/>
        <w:widowControl/>
        <w:jc w:val="both"/>
        <w:rPr>
          <w:sz w:val="24"/>
          <w:szCs w:val="24"/>
        </w:rPr>
      </w:pPr>
      <w:r>
        <w:rPr>
          <w:sz w:val="24"/>
          <w:szCs w:val="24"/>
        </w:rPr>
        <w:tab/>
        <w:tab/>
        <w:t>Attention: Ian Schottlaender and Mercedes Arango</w:t>
      </w:r>
    </w:p>
    <w:p>
      <w:pPr>
        <w:pStyle w:val="Normal"/>
        <w:keepNext w:val="true"/>
        <w:keepLines/>
        <w:widowControl/>
        <w:jc w:val="both"/>
        <w:rPr>
          <w:sz w:val="24"/>
          <w:szCs w:val="24"/>
        </w:rPr>
      </w:pPr>
      <w:r>
        <w:rPr>
          <w:sz w:val="24"/>
          <w:szCs w:val="24"/>
        </w:rPr>
        <w:tab/>
        <w:tab/>
        <w:t>Fax No.: (212) 885-4909; and</w:t>
      </w:r>
    </w:p>
    <w:p>
      <w:pPr>
        <w:pStyle w:val="Normal"/>
        <w:keepNext w:val="true"/>
        <w:keepLines/>
        <w:widowControl/>
        <w:jc w:val="both"/>
        <w:rPr>
          <w:sz w:val="24"/>
          <w:szCs w:val="24"/>
        </w:rPr>
      </w:pPr>
      <w:r>
        <w:rPr>
          <w:sz w:val="24"/>
          <w:szCs w:val="24"/>
        </w:rPr>
      </w:r>
    </w:p>
    <w:p>
      <w:pPr>
        <w:pStyle w:val="Normal"/>
        <w:keepNext w:val="true"/>
        <w:keepLines/>
        <w:widowControl/>
        <w:tabs>
          <w:tab w:val="left" w:pos="720" w:leader="none"/>
          <w:tab w:val="left" w:pos="1440" w:leader="none"/>
        </w:tabs>
        <w:ind w:hanging="1440" w:start="1440" w:end="0"/>
        <w:jc w:val="both"/>
        <w:rPr>
          <w:sz w:val="24"/>
          <w:szCs w:val="24"/>
        </w:rPr>
      </w:pPr>
      <w:r>
        <w:rPr>
          <w:sz w:val="24"/>
          <w:szCs w:val="24"/>
        </w:rPr>
        <w:tab/>
        <w:t>(2)</w:t>
        <w:tab/>
        <w:t>Canadian Imperial Bank of Commerce, as Agent</w:t>
      </w:r>
    </w:p>
    <w:p>
      <w:pPr>
        <w:pStyle w:val="Normal"/>
        <w:keepNext w:val="true"/>
        <w:keepLines/>
        <w:widowControl/>
        <w:ind w:start="1440" w:end="0"/>
        <w:jc w:val="both"/>
        <w:rPr>
          <w:sz w:val="24"/>
          <w:szCs w:val="24"/>
        </w:rPr>
      </w:pPr>
      <w:r>
        <w:rPr>
          <w:sz w:val="24"/>
          <w:szCs w:val="24"/>
        </w:rPr>
        <w:t>425 Lexington Avenue</w:t>
      </w:r>
    </w:p>
    <w:p>
      <w:pPr>
        <w:pStyle w:val="Normal"/>
        <w:keepNext w:val="true"/>
        <w:keepLines/>
        <w:widowControl/>
        <w:jc w:val="both"/>
        <w:rPr>
          <w:sz w:val="24"/>
          <w:szCs w:val="24"/>
        </w:rPr>
      </w:pPr>
      <w:r>
        <w:rPr>
          <w:sz w:val="24"/>
          <w:szCs w:val="24"/>
        </w:rPr>
        <w:tab/>
        <w:tab/>
        <w:t>New York, New York 10017</w:t>
      </w:r>
    </w:p>
    <w:p>
      <w:pPr>
        <w:pStyle w:val="Normal"/>
        <w:keepNext w:val="true"/>
        <w:keepLines/>
        <w:widowControl/>
        <w:jc w:val="both"/>
        <w:rPr>
          <w:sz w:val="24"/>
          <w:szCs w:val="24"/>
        </w:rPr>
      </w:pPr>
      <w:r>
        <w:rPr>
          <w:sz w:val="24"/>
          <w:szCs w:val="24"/>
        </w:rPr>
        <w:tab/>
        <w:tab/>
        <w:t>Attention: MaryBeth Ross</w:t>
      </w:r>
    </w:p>
    <w:p>
      <w:pPr>
        <w:pStyle w:val="Normal"/>
        <w:keepNext w:val="true"/>
        <w:keepLines/>
        <w:widowControl/>
        <w:jc w:val="both"/>
        <w:rPr>
          <w:sz w:val="24"/>
          <w:szCs w:val="24"/>
        </w:rPr>
      </w:pPr>
      <w:r>
        <w:rPr>
          <w:sz w:val="24"/>
          <w:szCs w:val="24"/>
        </w:rPr>
        <w:tab/>
        <w:tab/>
        <w:t>Fax No.: (212) 856-3763</w:t>
      </w:r>
    </w:p>
    <w:p>
      <w:pPr>
        <w:pStyle w:val="Normal"/>
        <w:keepLines/>
        <w:widowControl/>
        <w:jc w:val="both"/>
        <w:rPr>
          <w:sz w:val="24"/>
          <w:szCs w:val="24"/>
        </w:rPr>
      </w:pPr>
      <w:r>
        <w:rPr>
          <w:sz w:val="24"/>
          <w:szCs w:val="24"/>
        </w:rPr>
      </w:r>
    </w:p>
    <w:p>
      <w:pPr>
        <w:pStyle w:val="Normal"/>
        <w:widowControl/>
        <w:jc w:val="both"/>
        <w:rPr>
          <w:sz w:val="24"/>
          <w:szCs w:val="24"/>
        </w:rPr>
      </w:pPr>
      <w:r>
        <w:rPr>
          <w:sz w:val="24"/>
          <w:szCs w:val="24"/>
        </w:rPr>
        <w:tab/>
        <w:t>(3)</w:t>
        <w:tab/>
        <w:t>Canadian Imperial Bank of Commerce, as Agent</w:t>
      </w:r>
    </w:p>
    <w:p>
      <w:pPr>
        <w:pStyle w:val="Normal"/>
        <w:widowControl/>
        <w:tabs>
          <w:tab w:val="left" w:pos="720" w:leader="none"/>
          <w:tab w:val="left" w:pos="1440" w:leader="none"/>
        </w:tabs>
        <w:ind w:hanging="1440" w:start="1440" w:end="0"/>
        <w:jc w:val="both"/>
        <w:rPr>
          <w:sz w:val="24"/>
          <w:szCs w:val="24"/>
        </w:rPr>
      </w:pPr>
      <w:r>
        <w:rPr>
          <w:sz w:val="24"/>
          <w:szCs w:val="24"/>
        </w:rPr>
        <w:tab/>
        <w:tab/>
        <w:t>c/o CIBC World Markets</w:t>
      </w:r>
    </w:p>
    <w:p>
      <w:pPr>
        <w:pStyle w:val="Normal"/>
        <w:widowControl/>
        <w:jc w:val="both"/>
        <w:rPr>
          <w:sz w:val="24"/>
          <w:szCs w:val="24"/>
        </w:rPr>
      </w:pPr>
      <w:r>
        <w:rPr>
          <w:sz w:val="24"/>
          <w:szCs w:val="24"/>
        </w:rPr>
        <w:tab/>
        <w:tab/>
        <w:t>1600 Smith</w:t>
      </w:r>
    </w:p>
    <w:p>
      <w:pPr>
        <w:pStyle w:val="Normal"/>
        <w:widowControl/>
        <w:jc w:val="both"/>
        <w:rPr>
          <w:sz w:val="24"/>
          <w:szCs w:val="24"/>
        </w:rPr>
      </w:pPr>
      <w:r>
        <w:rPr>
          <w:sz w:val="24"/>
          <w:szCs w:val="24"/>
        </w:rPr>
        <w:tab/>
        <w:tab/>
        <w:t>Suite 3100</w:t>
      </w:r>
    </w:p>
    <w:p>
      <w:pPr>
        <w:pStyle w:val="Normal"/>
        <w:widowControl/>
        <w:jc w:val="both"/>
        <w:rPr>
          <w:sz w:val="24"/>
          <w:szCs w:val="24"/>
        </w:rPr>
      </w:pPr>
      <w:r>
        <w:rPr>
          <w:sz w:val="24"/>
          <w:szCs w:val="24"/>
        </w:rPr>
        <w:tab/>
        <w:tab/>
        <w:t>Houston, Texas 77002</w:t>
      </w:r>
    </w:p>
    <w:p>
      <w:pPr>
        <w:pStyle w:val="Normal"/>
        <w:widowControl/>
        <w:jc w:val="both"/>
        <w:rPr>
          <w:sz w:val="24"/>
          <w:szCs w:val="24"/>
        </w:rPr>
      </w:pPr>
      <w:r>
        <w:rPr>
          <w:sz w:val="24"/>
          <w:szCs w:val="24"/>
        </w:rPr>
        <w:tab/>
        <w:tab/>
        <w:t>Attention: Mark Wolf</w:t>
      </w:r>
    </w:p>
    <w:p>
      <w:pPr>
        <w:pStyle w:val="Normal"/>
        <w:widowControl/>
        <w:jc w:val="both"/>
        <w:rPr>
          <w:sz w:val="24"/>
          <w:szCs w:val="24"/>
        </w:rPr>
      </w:pPr>
      <w:r>
        <w:rPr>
          <w:sz w:val="24"/>
          <w:szCs w:val="24"/>
        </w:rPr>
        <w:tab/>
        <w:tab/>
        <w:t>Tel.: (713) 650-2588</w:t>
      </w:r>
    </w:p>
    <w:p>
      <w:pPr>
        <w:pStyle w:val="Normal"/>
        <w:widowControl/>
        <w:jc w:val="both"/>
        <w:rPr>
          <w:sz w:val="24"/>
          <w:szCs w:val="24"/>
        </w:rPr>
      </w:pPr>
      <w:r>
        <w:rPr>
          <w:sz w:val="24"/>
          <w:szCs w:val="24"/>
        </w:rPr>
        <w:tab/>
        <w:tab/>
        <w:t>Fax No.: (713) 650-7675; and</w:t>
      </w:r>
    </w:p>
    <w:p>
      <w:pPr>
        <w:pStyle w:val="Normal"/>
        <w:widowControl/>
        <w:jc w:val="both"/>
        <w:rPr>
          <w:sz w:val="24"/>
          <w:szCs w:val="24"/>
        </w:rPr>
      </w:pPr>
      <w:r>
        <w:rPr>
          <w:sz w:val="24"/>
          <w:szCs w:val="24"/>
        </w:rPr>
      </w:r>
    </w:p>
    <w:p>
      <w:pPr>
        <w:pStyle w:val="Normal"/>
        <w:widowControl/>
        <w:jc w:val="both"/>
        <w:rPr/>
      </w:pPr>
      <w:r>
        <w:rPr>
          <w:sz w:val="24"/>
          <w:szCs w:val="24"/>
        </w:rPr>
        <w:tab/>
        <w:t>(ii)</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bCs/>
          <w:sz w:val="24"/>
          <w:szCs w:val="24"/>
        </w:rPr>
        <w:t>“</w:t>
      </w:r>
      <w:r>
        <w:rPr>
          <w:b/>
          <w:bCs/>
          <w:sz w:val="24"/>
          <w:szCs w:val="24"/>
          <w:u w:val="single"/>
        </w:rPr>
        <w:t>Designated Person</w:t>
      </w:r>
      <w:r>
        <w:rPr>
          <w:b/>
          <w:bCs/>
          <w:sz w:val="24"/>
          <w:szCs w:val="24"/>
        </w:rPr>
        <w:t>”</w:t>
      </w:r>
      <w:r>
        <w:rPr>
          <w:sz w:val="24"/>
          <w:szCs w:val="24"/>
        </w:rPr>
        <w:t>) and notify such Designated Person of the delivery of such Asset Notice and Asset Summary and obtain an oral confirmation of receipt from such Designated Person.</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keepNext w:val="true"/>
        <w:widowControl/>
        <w:jc w:val="both"/>
        <w:rPr>
          <w:sz w:val="24"/>
          <w:szCs w:val="24"/>
        </w:rPr>
      </w:pPr>
      <w:r>
        <w:rPr>
          <w:sz w:val="24"/>
          <w:szCs w:val="24"/>
        </w:rPr>
      </w:r>
    </w:p>
    <w:p>
      <w:pPr>
        <w:pStyle w:val="Normal"/>
        <w:keepNext w:val="true"/>
        <w:keepLines/>
        <w:widowControl/>
        <w:numPr>
          <w:ilvl w:val="1"/>
          <w:numId w:val="20"/>
        </w:numPr>
        <w:tabs>
          <w:tab w:val="clear" w:pos="720"/>
          <w:tab w:val="left" w:pos="0" w:leader="none"/>
        </w:tabs>
        <w:ind w:hanging="0" w:start="0"/>
        <w:jc w:val="both"/>
        <w:rPr/>
      </w:pPr>
      <w:r>
        <w:rPr>
          <w:rStyle w:val="SectionHead"/>
          <w:sz w:val="24"/>
          <w:szCs w:val="24"/>
        </w:rPr>
        <w:tab/>
        <w:t xml:space="preserve">Section     Drawdown of the Advances </w:t>
      </w:r>
      <w:ins w:id="39" w:author="foobar" w:date="2000-11-09T12:47:00Z">
        <w:r>
          <w:fldChar w:fldCharType="begin"/>
        </w:r>
        <w:r>
          <w:rPr/>
          <w:instrText xml:space="preserve"> TC "Section     Drawdown of the Advances " \l 2 </w:instrText>
        </w:r>
      </w:ins>
      <w:r>
        <w:rPr/>
        <w:fldChar w:fldCharType="separate"/>
      </w:r>
      <w:ins w:id="40" w:author="foobar" w:date="2000-11-09T12:47:00Z">
        <w:r>
          <w:rPr/>
        </w:r>
      </w:ins>
      <w:r>
        <w:rPr/>
        <w:fldChar w:fldCharType="end"/>
      </w:r>
      <w:r>
        <w:rPr>
          <w:sz w:val="24"/>
          <w:szCs w:val="24"/>
        </w:rPr>
        <w:t>.</w:t>
      </w:r>
    </w:p>
    <w:p>
      <w:pPr>
        <w:pStyle w:val="Normal"/>
        <w:keepNext w:val="true"/>
        <w:keepLines/>
        <w:widowControl/>
        <w:numPr>
          <w:ilvl w:val="1"/>
          <w:numId w:val="20"/>
        </w:numPr>
        <w:tabs>
          <w:tab w:val="clear" w:pos="720"/>
          <w:tab w:val="left" w:pos="0" w:leader="none"/>
        </w:tabs>
        <w:ind w:hanging="0" w:start="0"/>
        <w:jc w:val="both"/>
        <w:rPr>
          <w:sz w:val="24"/>
          <w:szCs w:val="24"/>
        </w:rPr>
      </w:pPr>
      <w:r>
        <w:rPr>
          <w:sz w:val="24"/>
          <w:szCs w:val="24"/>
        </w:rPr>
      </w:r>
    </w:p>
    <w:p>
      <w:pPr>
        <w:pStyle w:val="a"/>
        <w:keepLines/>
        <w:widowControl/>
        <w:numPr>
          <w:ilvl w:val="2"/>
          <w:numId w:val="20"/>
        </w:numPr>
        <w:tabs>
          <w:tab w:val="clear" w:pos="720"/>
          <w:tab w:val="left" w:pos="0" w:leader="none"/>
        </w:tabs>
        <w:ind w:hanging="0" w:start="0"/>
        <w:jc w:val="both"/>
        <w:rPr/>
      </w:pPr>
      <w:r>
        <w:rPr/>
        <w:tab/>
        <w:t>Subject to the terms and conditions of this Agreement, each Advance shall be made on the applicable Drawdown Date in accordance with the Drawdown Request.  Except with respect to the Hawaii Tranches,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 Tranches, as provided in Section 5.2(e), the Trust may only deliver a Drawdown Request with respect to a proposed Tranche if:</w:t>
      </w:r>
    </w:p>
    <w:p>
      <w:pPr>
        <w:pStyle w:val="Normal"/>
        <w:widowControl/>
        <w:tabs>
          <w:tab w:val="left" w:pos="720" w:leader="none"/>
          <w:tab w:val="left" w:pos="1440" w:leader="none"/>
        </w:tabs>
        <w:ind w:hanging="1440" w:start="1440" w:end="0"/>
        <w:jc w:val="both"/>
        <w:rPr>
          <w:sz w:val="24"/>
          <w:szCs w:val="24"/>
        </w:rPr>
      </w:pPr>
      <w:r>
        <w:rPr>
          <w:sz w:val="24"/>
          <w:szCs w:val="24"/>
        </w:rPr>
        <w:tab/>
        <w:t>(i)</w:t>
        <w:tab/>
        <w:t>the Agent and the Subscriber have returned the applicable Asset Notice to Enron making the confirmation referred to in Section 5.1(a)(i); or</w:t>
      </w:r>
    </w:p>
    <w:p>
      <w:pPr>
        <w:pStyle w:val="Normal"/>
        <w:widowControl/>
        <w:jc w:val="both"/>
        <w:rPr>
          <w:sz w:val="24"/>
          <w:szCs w:val="24"/>
        </w:rPr>
      </w:pPr>
      <w:r>
        <w:rPr>
          <w:sz w:val="24"/>
          <w:szCs w:val="24"/>
        </w:rPr>
      </w:r>
    </w:p>
    <w:p>
      <w:pPr>
        <w:pStyle w:val="Normal"/>
        <w:widowControl/>
        <w:tabs>
          <w:tab w:val="left" w:pos="720" w:leader="none"/>
          <w:tab w:val="left" w:pos="1440" w:leader="none"/>
        </w:tabs>
        <w:ind w:hanging="1440" w:start="1440" w:end="0"/>
        <w:jc w:val="both"/>
        <w:rPr>
          <w:sz w:val="24"/>
          <w:szCs w:val="24"/>
        </w:rPr>
      </w:pPr>
      <w:r>
        <w:rPr>
          <w:sz w:val="24"/>
          <w:szCs w:val="24"/>
        </w:rPr>
        <w:tab/>
        <w:t>(ii)</w:t>
        <w:tab/>
        <w:t>neither the Agent nor the Subscriber gives Enron a written notice in accordance with either Section 5.1(a)(ii) or 5.1(a)(iii) within 10 Business Days after delivery of the applicable Asset Notice to the Agent and Subscriber, respectively.</w:t>
      </w:r>
    </w:p>
    <w:p>
      <w:pPr>
        <w:pStyle w:val="Normal"/>
        <w:widowControl/>
        <w:jc w:val="both"/>
        <w:rPr>
          <w:sz w:val="24"/>
          <w:szCs w:val="24"/>
        </w:rPr>
      </w:pPr>
      <w:r>
        <w:rPr>
          <w:sz w:val="24"/>
          <w:szCs w:val="24"/>
        </w:rPr>
      </w:r>
    </w:p>
    <w:p>
      <w:pPr>
        <w:pStyle w:val="a"/>
        <w:widowControl/>
        <w:numPr>
          <w:ilvl w:val="2"/>
          <w:numId w:val="21"/>
        </w:numPr>
        <w:tabs>
          <w:tab w:val="clear" w:pos="720"/>
          <w:tab w:val="left" w:pos="0" w:leader="none"/>
        </w:tabs>
        <w:ind w:hanging="0" w:start="0"/>
        <w:jc w:val="both"/>
        <w:rPr/>
      </w:pPr>
      <w:r>
        <w:rPr/>
        <w:tab/>
        <w:t>Each Drawdown Request delivered to the Agent shall be in the form set out in Exhibit A and otherwise duly completed.</w:t>
      </w:r>
    </w:p>
    <w:p>
      <w:pPr>
        <w:pStyle w:val="a"/>
        <w:widowControl/>
        <w:numPr>
          <w:ilvl w:val="2"/>
          <w:numId w:val="21"/>
        </w:numPr>
        <w:tabs>
          <w:tab w:val="clear" w:pos="720"/>
          <w:tab w:val="left" w:pos="0" w:leader="none"/>
        </w:tabs>
        <w:ind w:hanging="0" w:start="0"/>
        <w:jc w:val="both"/>
        <w:rPr/>
      </w:pPr>
      <w:r>
        <w:rPr/>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the Final Advance Date.</w:t>
      </w:r>
    </w:p>
    <w:p>
      <w:pPr>
        <w:pStyle w:val="a"/>
        <w:widowControl/>
        <w:numPr>
          <w:ilvl w:val="2"/>
          <w:numId w:val="21"/>
        </w:numPr>
        <w:tabs>
          <w:tab w:val="clear" w:pos="720"/>
          <w:tab w:val="left" w:pos="0" w:leader="none"/>
        </w:tabs>
        <w:ind w:hanging="0" w:start="0"/>
        <w:jc w:val="both"/>
        <w:rPr/>
      </w:pPr>
      <w:r>
        <w:rPr/>
        <w:tab/>
        <w:t>A Drawdown Request once given may not be withdrawn or revoked.</w:t>
      </w:r>
    </w:p>
    <w:p>
      <w:pPr>
        <w:pStyle w:val="a"/>
        <w:keepNext w:val="true"/>
        <w:widowControl/>
        <w:numPr>
          <w:ilvl w:val="2"/>
          <w:numId w:val="21"/>
        </w:numPr>
        <w:tabs>
          <w:tab w:val="clear" w:pos="720"/>
          <w:tab w:val="left" w:pos="0" w:leader="none"/>
        </w:tabs>
        <w:ind w:hanging="0" w:start="0"/>
        <w:jc w:val="both"/>
        <w:rPr/>
      </w:pPr>
      <w:r>
        <w:rPr/>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 Tranches.</w:t>
      </w:r>
    </w:p>
    <w:p>
      <w:pPr>
        <w:pStyle w:val="Normal"/>
        <w:keepNext w:val="true"/>
        <w:keepLines/>
        <w:widowControl/>
        <w:numPr>
          <w:ilvl w:val="1"/>
          <w:numId w:val="21"/>
        </w:numPr>
        <w:tabs>
          <w:tab w:val="clear" w:pos="720"/>
          <w:tab w:val="left" w:pos="0" w:leader="none"/>
        </w:tabs>
        <w:ind w:hanging="0" w:start="0"/>
        <w:jc w:val="both"/>
        <w:rPr/>
      </w:pPr>
      <w:r>
        <w:rPr>
          <w:rStyle w:val="SectionHead"/>
          <w:sz w:val="24"/>
          <w:szCs w:val="24"/>
        </w:rPr>
        <w:tab/>
        <w:t xml:space="preserve">Section     Advances </w:t>
      </w:r>
      <w:ins w:id="41" w:author="foobar" w:date="2000-11-09T12:47:00Z">
        <w:r>
          <w:fldChar w:fldCharType="begin"/>
        </w:r>
        <w:r>
          <w:rPr/>
          <w:instrText xml:space="preserve"> TC "Section     Advances " \l 2 </w:instrText>
        </w:r>
      </w:ins>
      <w:r>
        <w:rPr/>
        <w:fldChar w:fldCharType="separate"/>
      </w:r>
      <w:ins w:id="42" w:author="foobar" w:date="2000-11-09T12:47:00Z">
        <w:r>
          <w:rPr/>
        </w:r>
      </w:ins>
      <w:r>
        <w:rPr/>
        <w:fldChar w:fldCharType="end"/>
      </w:r>
      <w:r>
        <w:rPr>
          <w:sz w:val="24"/>
          <w:szCs w:val="24"/>
        </w:rPr>
        <w:t>.</w:t>
      </w:r>
    </w:p>
    <w:p>
      <w:pPr>
        <w:pStyle w:val="Normal"/>
        <w:keepNext w:val="true"/>
        <w:keepLines/>
        <w:widowControl/>
        <w:numPr>
          <w:ilvl w:val="1"/>
          <w:numId w:val="21"/>
        </w:numPr>
        <w:tabs>
          <w:tab w:val="clear" w:pos="720"/>
          <w:tab w:val="left" w:pos="0" w:leader="none"/>
        </w:tabs>
        <w:ind w:hanging="0" w:start="0"/>
        <w:jc w:val="both"/>
        <w:rPr>
          <w:sz w:val="24"/>
          <w:szCs w:val="24"/>
        </w:rPr>
      </w:pPr>
      <w:r>
        <w:rPr>
          <w:sz w:val="24"/>
          <w:szCs w:val="24"/>
        </w:rPr>
      </w:r>
    </w:p>
    <w:p>
      <w:pPr>
        <w:pStyle w:val="a"/>
        <w:keepLines/>
        <w:widowControl/>
        <w:numPr>
          <w:ilvl w:val="2"/>
          <w:numId w:val="21"/>
        </w:numPr>
        <w:tabs>
          <w:tab w:val="clear" w:pos="720"/>
          <w:tab w:val="left" w:pos="0" w:leader="none"/>
        </w:tabs>
        <w:ind w:hanging="0" w:start="0"/>
        <w:jc w:val="both"/>
        <w:rPr/>
      </w:pPr>
      <w:r>
        <w:rPr/>
        <w:tab/>
        <w:t>Subject to the provisions of this Agreement, each Lender will make available to the Agent the amount of its Percentage Commitment of each Tranche on the applicable Drawdown Date in accordance with Section 9.1(a).</w:t>
      </w:r>
    </w:p>
    <w:p>
      <w:pPr>
        <w:pStyle w:val="a"/>
        <w:keepNext w:val="true"/>
        <w:widowControl/>
        <w:numPr>
          <w:ilvl w:val="2"/>
          <w:numId w:val="21"/>
        </w:numPr>
        <w:tabs>
          <w:tab w:val="clear" w:pos="720"/>
          <w:tab w:val="left" w:pos="0" w:leader="none"/>
        </w:tabs>
        <w:ind w:hanging="0" w:start="0"/>
        <w:jc w:val="both"/>
        <w:rPr/>
      </w:pPr>
      <w:r>
        <w:rPr/>
        <w:tab/>
        <w:t>If prior to Advances being made any Lender’s Commitment has been or will be wholly canceled or terminated pursuant to this Agreement, such Lender will not be obliged to make an Advance hereunder.</w:t>
      </w:r>
    </w:p>
    <w:p>
      <w:pPr>
        <w:pStyle w:val="Normal"/>
        <w:keepNext w:val="true"/>
        <w:keepLines/>
        <w:widowControl/>
        <w:numPr>
          <w:ilvl w:val="1"/>
          <w:numId w:val="21"/>
        </w:numPr>
        <w:tabs>
          <w:tab w:val="clear" w:pos="720"/>
          <w:tab w:val="left" w:pos="0" w:leader="none"/>
        </w:tabs>
        <w:ind w:hanging="0" w:start="0"/>
        <w:jc w:val="both"/>
        <w:rPr/>
      </w:pPr>
      <w:r>
        <w:rPr>
          <w:rStyle w:val="SectionHead"/>
          <w:sz w:val="24"/>
          <w:szCs w:val="24"/>
        </w:rPr>
        <w:tab/>
        <w:t xml:space="preserve">Section     Notice to Lenders of a Proposed Drawdown </w:t>
      </w:r>
      <w:ins w:id="43" w:author="foobar" w:date="2000-11-09T12:47:00Z">
        <w:r>
          <w:fldChar w:fldCharType="begin"/>
        </w:r>
        <w:r>
          <w:rPr/>
          <w:instrText xml:space="preserve"> TC "Section     Notice to Lenders of a Proposed Drawdown " \l 2 </w:instrText>
        </w:r>
      </w:ins>
      <w:r>
        <w:rPr/>
        <w:fldChar w:fldCharType="separate"/>
      </w:r>
      <w:ins w:id="44" w:author="foobar" w:date="2000-11-09T12:47:00Z">
        <w:r>
          <w:rPr/>
        </w:r>
      </w:ins>
      <w:r>
        <w:rPr/>
        <w:fldChar w:fldCharType="end"/>
      </w:r>
      <w:r>
        <w:rPr>
          <w:sz w:val="24"/>
          <w:szCs w:val="24"/>
        </w:rPr>
        <w:t>.  Whenever the Agent receives a Drawdown Request which complies with the requirements of Section 5.2, the Agent will promptly deliver notice of such Drawdown Request to each Lender.</w:t>
      </w:r>
    </w:p>
    <w:p>
      <w:pPr>
        <w:pStyle w:val="Normal"/>
        <w:keepNext w:val="true"/>
        <w:keepLines/>
        <w:widowControl/>
        <w:jc w:val="both"/>
        <w:rPr>
          <w:sz w:val="24"/>
          <w:szCs w:val="24"/>
        </w:rPr>
      </w:pPr>
      <w:r>
        <w:rPr>
          <w:sz w:val="24"/>
          <w:szCs w:val="24"/>
        </w:rPr>
      </w:r>
    </w:p>
    <w:p>
      <w:pPr>
        <w:pStyle w:val="ARTICLE"/>
        <w:keepNext w:val="true"/>
        <w:keepLines/>
        <w:widowControl/>
        <w:numPr>
          <w:ilvl w:val="0"/>
          <w:numId w:val="22"/>
        </w:numPr>
        <w:tabs>
          <w:tab w:val="clear" w:pos="720"/>
          <w:tab w:val="left" w:pos="0" w:leader="none"/>
        </w:tabs>
        <w:ind w:hanging="0" w:start="1440"/>
        <w:rPr/>
      </w:pPr>
      <w:r>
        <w:rPr>
          <w:b/>
          <w:bCs/>
        </w:rPr>
        <w:t>ARTICLE REPAYMENT OF ADVANCES</w:t>
      </w:r>
      <w:ins w:id="45" w:author="foobar" w:date="2000-11-09T12:47:00Z">
        <w:r>
          <w:fldChar w:fldCharType="begin"/>
        </w:r>
        <w:r>
          <w:rPr/>
          <w:instrText xml:space="preserve"> TC "ARTICLE REPAYMENT OF ADVANCES" \l 1 </w:instrText>
        </w:r>
      </w:ins>
      <w:r>
        <w:rPr/>
        <w:fldChar w:fldCharType="separate"/>
      </w:r>
      <w:ins w:id="46" w:author="foobar" w:date="2000-11-09T12:47:00Z">
        <w:r>
          <w:rPr/>
        </w:r>
      </w:ins>
      <w:r>
        <w:rPr/>
        <w:fldChar w:fldCharType="end"/>
      </w:r>
    </w:p>
    <w:p>
      <w:pPr>
        <w:pStyle w:val="ARTICLE"/>
        <w:keepNext w:val="true"/>
        <w:keepLines/>
        <w:widowControl/>
        <w:ind w:start="0" w:end="0"/>
        <w:jc w:val="both"/>
        <w:rPr/>
      </w:pPr>
      <w:r>
        <w:rPr/>
      </w:r>
    </w:p>
    <w:p>
      <w:pPr>
        <w:pStyle w:val="Normal"/>
        <w:keepNext w:val="true"/>
        <w:keepLines/>
        <w:widowControl/>
        <w:numPr>
          <w:ilvl w:val="1"/>
          <w:numId w:val="23"/>
        </w:numPr>
        <w:tabs>
          <w:tab w:val="clear" w:pos="720"/>
          <w:tab w:val="left" w:pos="0" w:leader="none"/>
        </w:tabs>
        <w:ind w:hanging="0" w:start="0"/>
        <w:jc w:val="both"/>
        <w:rPr/>
      </w:pPr>
      <w:r>
        <w:rPr>
          <w:rStyle w:val="SectionHead"/>
          <w:sz w:val="24"/>
          <w:szCs w:val="24"/>
        </w:rPr>
        <w:tab/>
        <w:t xml:space="preserve">Section     Obligation to Repay </w:t>
      </w:r>
      <w:ins w:id="47" w:author="foobar" w:date="2000-11-09T12:47:00Z">
        <w:r>
          <w:fldChar w:fldCharType="begin"/>
        </w:r>
        <w:r>
          <w:rPr/>
          <w:instrText xml:space="preserve"> TC "Section     Obligation to Repay " \l 2 </w:instrText>
        </w:r>
      </w:ins>
      <w:r>
        <w:rPr/>
        <w:fldChar w:fldCharType="separate"/>
      </w:r>
      <w:ins w:id="48" w:author="foobar" w:date="2000-11-09T12:47:00Z">
        <w:r>
          <w:rPr/>
        </w:r>
      </w:ins>
      <w:r>
        <w:rPr/>
        <w:fldChar w:fldCharType="end"/>
      </w:r>
      <w:r>
        <w:rPr>
          <w:sz w:val="24"/>
          <w:szCs w:val="24"/>
        </w:rPr>
        <w:t>.  The Trust shall repay the Advances comprising each Tranche in full on the applicable Repayment Date.</w:t>
      </w:r>
    </w:p>
    <w:p>
      <w:pPr>
        <w:pStyle w:val="Normal"/>
        <w:keepNext w:val="true"/>
        <w:keepLines/>
        <w:widowControl/>
        <w:jc w:val="both"/>
        <w:rPr>
          <w:sz w:val="24"/>
          <w:szCs w:val="24"/>
        </w:rPr>
      </w:pPr>
      <w:r>
        <w:rPr>
          <w:sz w:val="24"/>
          <w:szCs w:val="24"/>
        </w:rPr>
      </w:r>
    </w:p>
    <w:p>
      <w:pPr>
        <w:pStyle w:val="Normal"/>
        <w:keepLines/>
        <w:widowControl/>
        <w:numPr>
          <w:ilvl w:val="1"/>
          <w:numId w:val="24"/>
        </w:numPr>
        <w:tabs>
          <w:tab w:val="clear" w:pos="720"/>
          <w:tab w:val="left" w:pos="0" w:leader="none"/>
        </w:tabs>
        <w:ind w:hanging="0" w:start="0"/>
        <w:jc w:val="both"/>
        <w:rPr/>
      </w:pPr>
      <w:r>
        <w:rPr>
          <w:rStyle w:val="SectionHead"/>
          <w:sz w:val="24"/>
          <w:szCs w:val="24"/>
        </w:rPr>
        <w:tab/>
        <w:t xml:space="preserve">Section     Date of Repayment </w:t>
      </w:r>
      <w:ins w:id="49" w:author="foobar" w:date="2000-11-09T12:47:00Z">
        <w:r>
          <w:fldChar w:fldCharType="begin"/>
        </w:r>
        <w:r>
          <w:rPr/>
          <w:instrText xml:space="preserve"> TC "Section     Date of Repayment " \l 2 </w:instrText>
        </w:r>
      </w:ins>
      <w:r>
        <w:rPr/>
        <w:fldChar w:fldCharType="separate"/>
      </w:r>
      <w:ins w:id="50" w:author="foobar" w:date="2000-11-09T12:47:00Z">
        <w:r>
          <w:rPr/>
        </w:r>
      </w:ins>
      <w:r>
        <w:rPr/>
        <w:fldChar w:fldCharType="end"/>
      </w:r>
      <w:r>
        <w:rPr>
          <w:sz w:val="24"/>
          <w:szCs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widowControl/>
        <w:jc w:val="both"/>
        <w:rPr>
          <w:sz w:val="24"/>
          <w:szCs w:val="24"/>
        </w:rPr>
      </w:pPr>
      <w:r>
        <w:rPr>
          <w:sz w:val="24"/>
          <w:szCs w:val="24"/>
        </w:rPr>
      </w:r>
    </w:p>
    <w:p>
      <w:pPr>
        <w:pStyle w:val="Normal"/>
        <w:keepLines/>
        <w:widowControl/>
        <w:numPr>
          <w:ilvl w:val="1"/>
          <w:numId w:val="25"/>
        </w:numPr>
        <w:tabs>
          <w:tab w:val="clear" w:pos="720"/>
          <w:tab w:val="left" w:pos="0" w:leader="none"/>
        </w:tabs>
        <w:ind w:hanging="0" w:start="0"/>
        <w:jc w:val="both"/>
        <w:rPr/>
      </w:pPr>
      <w:r>
        <w:rPr>
          <w:rStyle w:val="SectionHead"/>
          <w:sz w:val="24"/>
          <w:szCs w:val="24"/>
        </w:rPr>
        <w:tab/>
        <w:t xml:space="preserve">Section     Repayment Pursuant to Total Return Swap </w:t>
      </w:r>
      <w:ins w:id="51" w:author="foobar" w:date="2000-11-09T12:47:00Z">
        <w:r>
          <w:fldChar w:fldCharType="begin"/>
        </w:r>
        <w:r>
          <w:rPr/>
          <w:instrText xml:space="preserve"> TC "Section     Repayment Pursuant to Total Return Swap " \l 2 </w:instrText>
        </w:r>
      </w:ins>
      <w:r>
        <w:rPr/>
        <w:fldChar w:fldCharType="separate"/>
      </w:r>
      <w:ins w:id="52" w:author="foobar" w:date="2000-11-09T12:47:00Z">
        <w:r>
          <w:rPr/>
        </w:r>
      </w:ins>
      <w:r>
        <w:rPr/>
        <w:fldChar w:fldCharType="end"/>
      </w:r>
      <w:r>
        <w:rPr>
          <w:sz w:val="24"/>
          <w:szCs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widowControl/>
        <w:jc w:val="both"/>
        <w:rPr>
          <w:sz w:val="24"/>
          <w:szCs w:val="24"/>
        </w:rPr>
      </w:pPr>
      <w:r>
        <w:rPr>
          <w:sz w:val="24"/>
          <w:szCs w:val="24"/>
        </w:rPr>
      </w:r>
    </w:p>
    <w:p>
      <w:pPr>
        <w:pStyle w:val="ARTICLE"/>
        <w:keepNext w:val="true"/>
        <w:keepLines/>
        <w:widowControl/>
        <w:numPr>
          <w:ilvl w:val="0"/>
          <w:numId w:val="26"/>
        </w:numPr>
        <w:tabs>
          <w:tab w:val="clear" w:pos="720"/>
          <w:tab w:val="left" w:pos="0" w:leader="none"/>
        </w:tabs>
        <w:ind w:hanging="0" w:start="1440"/>
        <w:rPr/>
      </w:pPr>
      <w:r>
        <w:rPr>
          <w:b/>
          <w:bCs/>
        </w:rPr>
        <w:t>ARTICLE PREPAYMENT</w:t>
      </w:r>
      <w:ins w:id="53" w:author="foobar" w:date="2000-11-09T12:47:00Z">
        <w:r>
          <w:fldChar w:fldCharType="begin"/>
        </w:r>
        <w:r>
          <w:rPr/>
          <w:instrText xml:space="preserve"> TC "ARTICLE PREPAYMENT" \l 1 </w:instrText>
        </w:r>
      </w:ins>
      <w:r>
        <w:rPr/>
        <w:fldChar w:fldCharType="separate"/>
      </w:r>
      <w:ins w:id="54" w:author="foobar" w:date="2000-11-09T12:47:00Z">
        <w:r>
          <w:rPr/>
        </w:r>
      </w:ins>
      <w:r>
        <w:rPr/>
        <w:fldChar w:fldCharType="end"/>
      </w:r>
    </w:p>
    <w:p>
      <w:pPr>
        <w:pStyle w:val="ARTICLE"/>
        <w:keepNext w:val="true"/>
        <w:keepLines/>
        <w:widowControl/>
        <w:ind w:start="0" w:end="0"/>
        <w:jc w:val="both"/>
        <w:rPr/>
      </w:pPr>
      <w:r>
        <w:rPr/>
      </w:r>
    </w:p>
    <w:p>
      <w:pPr>
        <w:pStyle w:val="Normal"/>
        <w:keepNext w:val="true"/>
        <w:keepLines/>
        <w:widowControl/>
        <w:numPr>
          <w:ilvl w:val="1"/>
          <w:numId w:val="27"/>
        </w:numPr>
        <w:tabs>
          <w:tab w:val="clear" w:pos="720"/>
          <w:tab w:val="left" w:pos="0" w:leader="none"/>
        </w:tabs>
        <w:ind w:hanging="0" w:start="0"/>
        <w:jc w:val="both"/>
        <w:rPr/>
      </w:pPr>
      <w:r>
        <w:rPr>
          <w:rStyle w:val="SectionHead"/>
          <w:sz w:val="24"/>
          <w:szCs w:val="24"/>
        </w:rPr>
        <w:tab/>
        <w:t xml:space="preserve">Section     Mandatory Prepayments </w:t>
      </w:r>
      <w:ins w:id="55" w:author="foobar" w:date="2000-11-09T12:47:00Z">
        <w:r>
          <w:fldChar w:fldCharType="begin"/>
        </w:r>
        <w:r>
          <w:rPr/>
          <w:instrText xml:space="preserve"> TC "Section     Mandatory Prepayments " \l 2 </w:instrText>
        </w:r>
      </w:ins>
      <w:r>
        <w:rPr/>
        <w:fldChar w:fldCharType="separate"/>
      </w:r>
      <w:ins w:id="56" w:author="foobar" w:date="2000-11-09T12:47:00Z">
        <w:r>
          <w:rPr/>
        </w:r>
      </w:ins>
      <w:r>
        <w:rPr/>
        <w:fldChar w:fldCharType="end"/>
      </w:r>
      <w:r>
        <w:rPr>
          <w:sz w:val="24"/>
          <w:szCs w:val="24"/>
        </w:rPr>
        <w:t>.</w:t>
      </w:r>
    </w:p>
    <w:p>
      <w:pPr>
        <w:pStyle w:val="Normal"/>
        <w:keepNext w:val="true"/>
        <w:keepLines/>
        <w:widowControl/>
        <w:numPr>
          <w:ilvl w:val="1"/>
          <w:numId w:val="27"/>
        </w:numPr>
        <w:tabs>
          <w:tab w:val="clear" w:pos="720"/>
          <w:tab w:val="left" w:pos="0" w:leader="none"/>
        </w:tabs>
        <w:ind w:hanging="0" w:start="0"/>
        <w:jc w:val="both"/>
        <w:rPr>
          <w:sz w:val="24"/>
          <w:szCs w:val="24"/>
        </w:rPr>
      </w:pPr>
      <w:r>
        <w:rPr>
          <w:sz w:val="24"/>
          <w:szCs w:val="24"/>
        </w:rPr>
      </w:r>
    </w:p>
    <w:p>
      <w:pPr>
        <w:pStyle w:val="a"/>
        <w:keepLines/>
        <w:widowControl/>
        <w:numPr>
          <w:ilvl w:val="2"/>
          <w:numId w:val="27"/>
        </w:numPr>
        <w:tabs>
          <w:tab w:val="clear" w:pos="720"/>
          <w:tab w:val="left" w:pos="0" w:leader="none"/>
        </w:tabs>
        <w:ind w:hanging="0" w:start="0"/>
        <w:jc w:val="both"/>
        <w:rPr/>
      </w:pPr>
      <w:r>
        <w:rPr/>
        <w:tab/>
        <w:t>In the event that any Early</w:t>
      </w:r>
      <w:r>
        <w:rPr>
          <w:b/>
          <w:bCs/>
          <w:i/>
          <w:iCs/>
        </w:rPr>
        <w:t xml:space="preserve"> </w:t>
      </w:r>
      <w:r>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a"/>
        <w:keepNext w:val="true"/>
        <w:widowControl/>
        <w:numPr>
          <w:ilvl w:val="2"/>
          <w:numId w:val="27"/>
        </w:numPr>
        <w:tabs>
          <w:tab w:val="clear" w:pos="720"/>
          <w:tab w:val="left" w:pos="0" w:leader="none"/>
        </w:tabs>
        <w:ind w:hanging="0" w:start="0"/>
        <w:jc w:val="both"/>
        <w:rPr/>
      </w:pPr>
      <w:r>
        <w:rPr/>
        <w:tab/>
        <w:t>In the event that an Early Termination Date (as defined in the ISDA Master Agreement) has occurred with respect to any Total Return Swap Agreement, the Trust shall make a mandatory prepayment (the “</w:t>
      </w:r>
      <w:r>
        <w:rPr>
          <w:b/>
          <w:bCs/>
          <w:u w:val="single"/>
        </w:rPr>
        <w:t>Mandatory Prepayment</w:t>
      </w:r>
      <w:r>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keepLines/>
        <w:widowControl/>
        <w:numPr>
          <w:ilvl w:val="1"/>
          <w:numId w:val="27"/>
        </w:numPr>
        <w:tabs>
          <w:tab w:val="clear" w:pos="720"/>
          <w:tab w:val="left" w:pos="0" w:leader="none"/>
        </w:tabs>
        <w:ind w:hanging="0" w:start="0"/>
        <w:jc w:val="both"/>
        <w:rPr/>
      </w:pPr>
      <w:r>
        <w:rPr>
          <w:rStyle w:val="SectionHead"/>
          <w:sz w:val="24"/>
          <w:szCs w:val="24"/>
        </w:rPr>
        <w:tab/>
        <w:t xml:space="preserve">Section     Optional Prepayments </w:t>
      </w:r>
      <w:ins w:id="57" w:author="foobar" w:date="2000-11-09T12:47:00Z">
        <w:r>
          <w:fldChar w:fldCharType="begin"/>
        </w:r>
        <w:r>
          <w:rPr/>
          <w:instrText xml:space="preserve"> TC "Section     Optional Prepayments " \l 2 </w:instrText>
        </w:r>
      </w:ins>
      <w:r>
        <w:rPr/>
        <w:fldChar w:fldCharType="separate"/>
      </w:r>
      <w:ins w:id="58" w:author="foobar" w:date="2000-11-09T12:47:00Z">
        <w:r>
          <w:rPr/>
        </w:r>
      </w:ins>
      <w:r>
        <w:rPr/>
        <w:fldChar w:fldCharType="end"/>
      </w:r>
      <w:r>
        <w:rPr>
          <w:sz w:val="24"/>
          <w:szCs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szCs w:val="24"/>
          <w:u w:val="single"/>
        </w:rPr>
        <w:t>provided</w:t>
      </w:r>
      <w:r>
        <w:rPr>
          <w:sz w:val="24"/>
          <w:szCs w:val="24"/>
        </w:rPr>
        <w:t xml:space="preserve">, </w:t>
      </w:r>
      <w:r>
        <w:rPr>
          <w:sz w:val="24"/>
          <w:szCs w:val="24"/>
          <w:u w:val="single"/>
        </w:rPr>
        <w:t>however</w:t>
      </w:r>
      <w:r>
        <w:rPr>
          <w:sz w:val="24"/>
          <w:szCs w:val="24"/>
        </w:rPr>
        <w:t xml:space="preserve">, that each partial prepayment shall be in an aggregate principal amount not less than $5,000,000, and </w:t>
      </w:r>
      <w:r>
        <w:rPr>
          <w:sz w:val="24"/>
          <w:szCs w:val="24"/>
          <w:u w:val="single"/>
        </w:rPr>
        <w:t>provided</w:t>
      </w:r>
      <w:r>
        <w:rPr>
          <w:sz w:val="24"/>
          <w:szCs w:val="24"/>
        </w:rPr>
        <w:t xml:space="preserve"> </w:t>
      </w:r>
      <w:r>
        <w:rPr>
          <w:sz w:val="24"/>
          <w:szCs w:val="24"/>
          <w:u w:val="single"/>
        </w:rPr>
        <w:t>further</w:t>
      </w:r>
      <w:r>
        <w:rPr>
          <w:sz w:val="24"/>
          <w:szCs w:val="24"/>
        </w:rPr>
        <w:t>, that if the Trust prepays any LIBOR Advance on any day other than the last day of an Interest Period therefor, the Trust shall compensate the Lenders pursuant to Section 25.1.</w:t>
      </w:r>
    </w:p>
    <w:p>
      <w:pPr>
        <w:pStyle w:val="Normal"/>
        <w:keepNext w:val="true"/>
        <w:widowControl/>
        <w:jc w:val="both"/>
        <w:rPr>
          <w:sz w:val="24"/>
          <w:szCs w:val="24"/>
        </w:rPr>
      </w:pPr>
      <w:r>
        <w:rPr>
          <w:sz w:val="24"/>
          <w:szCs w:val="24"/>
        </w:rPr>
      </w:r>
    </w:p>
    <w:p>
      <w:pPr>
        <w:pStyle w:val="Normal"/>
        <w:keepNext w:val="true"/>
        <w:keepLines/>
        <w:widowControl/>
        <w:numPr>
          <w:ilvl w:val="1"/>
          <w:numId w:val="28"/>
        </w:numPr>
        <w:tabs>
          <w:tab w:val="clear" w:pos="720"/>
          <w:tab w:val="left" w:pos="0" w:leader="none"/>
        </w:tabs>
        <w:ind w:hanging="0" w:start="0"/>
        <w:jc w:val="both"/>
        <w:rPr/>
      </w:pPr>
      <w:r>
        <w:rPr>
          <w:rStyle w:val="SectionHead"/>
          <w:sz w:val="24"/>
          <w:szCs w:val="24"/>
        </w:rPr>
        <w:tab/>
        <w:t xml:space="preserve">Section     General </w:t>
      </w:r>
      <w:ins w:id="59" w:author="foobar" w:date="2000-11-09T12:47:00Z">
        <w:r>
          <w:fldChar w:fldCharType="begin"/>
        </w:r>
        <w:r>
          <w:rPr/>
          <w:instrText xml:space="preserve"> TC "Section     General " \l 2 </w:instrText>
        </w:r>
      </w:ins>
      <w:r>
        <w:rPr/>
        <w:fldChar w:fldCharType="separate"/>
      </w:r>
      <w:ins w:id="60" w:author="foobar" w:date="2000-11-09T12:47:00Z">
        <w:r>
          <w:rPr/>
        </w:r>
      </w:ins>
      <w:r>
        <w:rPr/>
        <w:fldChar w:fldCharType="end"/>
      </w:r>
      <w:r>
        <w:rPr>
          <w:sz w:val="24"/>
          <w:szCs w:val="24"/>
        </w:rPr>
        <w:t>.</w:t>
      </w:r>
    </w:p>
    <w:p>
      <w:pPr>
        <w:pStyle w:val="Normal"/>
        <w:keepNext w:val="true"/>
        <w:keepLines/>
        <w:widowControl/>
        <w:numPr>
          <w:ilvl w:val="1"/>
          <w:numId w:val="28"/>
        </w:numPr>
        <w:tabs>
          <w:tab w:val="clear" w:pos="720"/>
          <w:tab w:val="left" w:pos="0" w:leader="none"/>
        </w:tabs>
        <w:ind w:hanging="0" w:start="0"/>
        <w:jc w:val="both"/>
        <w:rPr>
          <w:sz w:val="24"/>
          <w:szCs w:val="24"/>
        </w:rPr>
      </w:pPr>
      <w:r>
        <w:rPr>
          <w:sz w:val="24"/>
          <w:szCs w:val="24"/>
        </w:rPr>
      </w:r>
    </w:p>
    <w:p>
      <w:pPr>
        <w:pStyle w:val="a"/>
        <w:keepLines/>
        <w:widowControl/>
        <w:numPr>
          <w:ilvl w:val="2"/>
          <w:numId w:val="28"/>
        </w:numPr>
        <w:tabs>
          <w:tab w:val="clear" w:pos="720"/>
          <w:tab w:val="left" w:pos="0" w:leader="none"/>
        </w:tabs>
        <w:ind w:hanging="0" w:start="0"/>
        <w:jc w:val="both"/>
        <w:rPr/>
      </w:pPr>
      <w:r>
        <w:rPr/>
        <w:tab/>
        <w:t>No prepayment may be made except at the times and in the manner expressly provided by this Agreement.</w:t>
      </w:r>
    </w:p>
    <w:p>
      <w:pPr>
        <w:pStyle w:val="a"/>
        <w:widowControl/>
        <w:numPr>
          <w:ilvl w:val="2"/>
          <w:numId w:val="28"/>
        </w:numPr>
        <w:tabs>
          <w:tab w:val="clear" w:pos="720"/>
          <w:tab w:val="left" w:pos="0" w:leader="none"/>
        </w:tabs>
        <w:ind w:hanging="0" w:start="0"/>
        <w:jc w:val="both"/>
        <w:rPr/>
      </w:pPr>
      <w:r>
        <w:rPr/>
        <w:tab/>
        <w:t>All prepayments shall be made together with interest accrued thereon up to the date of prepayment and any other amounts then due and payable under any Finance Document.</w:t>
      </w:r>
    </w:p>
    <w:p>
      <w:pPr>
        <w:pStyle w:val="a"/>
        <w:keepNext w:val="true"/>
        <w:widowControl/>
        <w:numPr>
          <w:ilvl w:val="2"/>
          <w:numId w:val="28"/>
        </w:numPr>
        <w:tabs>
          <w:tab w:val="clear" w:pos="720"/>
          <w:tab w:val="left" w:pos="0" w:leader="none"/>
        </w:tabs>
        <w:ind w:hanging="0" w:start="0"/>
        <w:jc w:val="both"/>
        <w:rPr/>
      </w:pPr>
      <w:r>
        <w:rPr/>
        <w:tab/>
        <w:t>The Agent shall notify each Lender promptly upon the issuance by it of a notice of prepayment pursuant to Section 7.1(a).</w:t>
      </w:r>
    </w:p>
    <w:p>
      <w:pPr>
        <w:pStyle w:val="ARTICLE"/>
        <w:keepNext w:val="true"/>
        <w:keepLines/>
        <w:widowControl/>
        <w:numPr>
          <w:ilvl w:val="0"/>
          <w:numId w:val="28"/>
        </w:numPr>
        <w:tabs>
          <w:tab w:val="clear" w:pos="720"/>
          <w:tab w:val="left" w:pos="0" w:leader="none"/>
        </w:tabs>
        <w:ind w:hanging="0" w:start="1440"/>
        <w:rPr/>
      </w:pPr>
      <w:r>
        <w:rPr>
          <w:b/>
          <w:bCs/>
        </w:rPr>
        <w:t>ARTICLE INTEREST; INCREASED COSTS; TAXES</w:t>
      </w:r>
      <w:ins w:id="61" w:author="foobar" w:date="2000-11-09T12:47:00Z">
        <w:r>
          <w:fldChar w:fldCharType="begin"/>
        </w:r>
        <w:r>
          <w:rPr/>
          <w:instrText xml:space="preserve"> TC "ARTICLE INTEREST; INCREASED COSTS; TAXES" \l 1 </w:instrText>
        </w:r>
      </w:ins>
      <w:r>
        <w:rPr/>
        <w:fldChar w:fldCharType="separate"/>
      </w:r>
      <w:ins w:id="62" w:author="foobar" w:date="2000-11-09T12:47:00Z">
        <w:r>
          <w:rPr/>
        </w:r>
      </w:ins>
      <w:r>
        <w:rPr/>
        <w:fldChar w:fldCharType="end"/>
      </w:r>
    </w:p>
    <w:p>
      <w:pPr>
        <w:pStyle w:val="ARTICLE"/>
        <w:keepNext w:val="true"/>
        <w:keepLines/>
        <w:widowControl/>
        <w:ind w:start="0" w:end="0"/>
        <w:jc w:val="both"/>
        <w:rPr/>
      </w:pPr>
      <w:r>
        <w:rPr/>
      </w:r>
    </w:p>
    <w:p>
      <w:pPr>
        <w:pStyle w:val="Normal"/>
        <w:keepNext w:val="true"/>
        <w:keepLines/>
        <w:widowControl/>
        <w:numPr>
          <w:ilvl w:val="1"/>
          <w:numId w:val="29"/>
        </w:numPr>
        <w:tabs>
          <w:tab w:val="clear" w:pos="720"/>
          <w:tab w:val="left" w:pos="0" w:leader="none"/>
        </w:tabs>
        <w:ind w:hanging="0" w:start="0"/>
        <w:jc w:val="both"/>
        <w:rPr/>
      </w:pPr>
      <w:r>
        <w:rPr>
          <w:rStyle w:val="SectionHead"/>
          <w:sz w:val="24"/>
          <w:szCs w:val="24"/>
        </w:rPr>
        <w:tab/>
        <w:t xml:space="preserve">Section     Interest Rates </w:t>
      </w:r>
      <w:ins w:id="63" w:author="foobar" w:date="2000-11-09T12:47:00Z">
        <w:r>
          <w:fldChar w:fldCharType="begin"/>
        </w:r>
        <w:r>
          <w:rPr/>
          <w:instrText xml:space="preserve"> TC "Section     Interest Rates " \l 2 </w:instrText>
        </w:r>
      </w:ins>
      <w:r>
        <w:rPr/>
        <w:fldChar w:fldCharType="separate"/>
      </w:r>
      <w:ins w:id="64" w:author="foobar" w:date="2000-11-09T12:47:00Z">
        <w:r>
          <w:rPr/>
        </w:r>
      </w:ins>
      <w:r>
        <w:rPr/>
        <w:fldChar w:fldCharType="end"/>
      </w:r>
      <w:r>
        <w:rPr>
          <w:sz w:val="24"/>
          <w:szCs w:val="24"/>
        </w:rPr>
        <w:t>.</w:t>
      </w:r>
    </w:p>
    <w:p>
      <w:pPr>
        <w:pStyle w:val="Normal"/>
        <w:keepNext w:val="true"/>
        <w:keepLines/>
        <w:widowControl/>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szCs w:val="24"/>
        </w:rPr>
      </w:pPr>
      <w:r>
        <w:rPr>
          <w:sz w:val="24"/>
          <w:szCs w:val="24"/>
        </w:rPr>
      </w:r>
    </w:p>
    <w:p>
      <w:pPr>
        <w:pStyle w:val="Normal"/>
        <w:keepLines/>
        <w:widowControl/>
        <w:jc w:val="both"/>
        <w:rPr/>
      </w:pPr>
      <w:r>
        <w:rPr>
          <w:sz w:val="24"/>
          <w:szCs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szCs w:val="24"/>
          <w:u w:val="single"/>
        </w:rPr>
        <w:t>plus</w:t>
      </w:r>
      <w:r>
        <w:rPr>
          <w:sz w:val="24"/>
          <w:szCs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 xml:space="preserve"> or 366</w:t>
        <w:noBreakHyphen/>
        <w:t>day year, as the case may be, and will accrue from day to day from, and including, the first day occurring in the period for which such interest is payable to, but excluding, the last day of such period.</w:t>
      </w:r>
    </w:p>
    <w:p>
      <w:pPr>
        <w:pStyle w:val="Normal"/>
        <w:widowControl/>
        <w:jc w:val="both"/>
        <w:rPr>
          <w:sz w:val="24"/>
          <w:szCs w:val="24"/>
        </w:rPr>
      </w:pPr>
      <w:r>
        <w:rPr>
          <w:sz w:val="24"/>
          <w:szCs w:val="24"/>
        </w:rPr>
      </w:r>
    </w:p>
    <w:p>
      <w:pPr>
        <w:pStyle w:val="Normal"/>
        <w:widowControl/>
        <w:jc w:val="both"/>
        <w:rPr/>
      </w:pPr>
      <w:r>
        <w:rPr>
          <w:sz w:val="24"/>
          <w:szCs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szCs w:val="24"/>
          <w:u w:val="single"/>
        </w:rPr>
        <w:t>provided</w:t>
      </w:r>
      <w:r>
        <w:rPr>
          <w:sz w:val="24"/>
          <w:szCs w:val="24"/>
        </w:rPr>
        <w:t xml:space="preserve">, </w:t>
      </w:r>
      <w:r>
        <w:rPr>
          <w:sz w:val="24"/>
          <w:szCs w:val="24"/>
          <w:u w:val="single"/>
        </w:rPr>
        <w:t>however</w:t>
      </w:r>
      <w:r>
        <w:rPr>
          <w:sz w:val="24"/>
          <w:szCs w:val="24"/>
        </w:rPr>
        <w:t>, that if the banks selected as aforesaid by the Agent are not quoting as mentioned in this sentence, LIBOR for such Interest Period will be LIBOR for such Interest Period in effect on such Rate Fixing Day.</w:t>
      </w:r>
    </w:p>
    <w:p>
      <w:pPr>
        <w:pStyle w:val="Normal"/>
        <w:keepNext w:val="true"/>
        <w:widowControl/>
        <w:jc w:val="both"/>
        <w:rPr>
          <w:sz w:val="24"/>
          <w:szCs w:val="24"/>
        </w:rPr>
      </w:pPr>
      <w:r>
        <w:rPr>
          <w:sz w:val="24"/>
          <w:szCs w:val="24"/>
        </w:rPr>
      </w:r>
    </w:p>
    <w:p>
      <w:pPr>
        <w:pStyle w:val="Normal"/>
        <w:keepNext w:val="true"/>
        <w:keepLines/>
        <w:widowControl/>
        <w:numPr>
          <w:ilvl w:val="1"/>
          <w:numId w:val="30"/>
        </w:numPr>
        <w:tabs>
          <w:tab w:val="clear" w:pos="720"/>
          <w:tab w:val="left" w:pos="0" w:leader="none"/>
        </w:tabs>
        <w:ind w:hanging="0" w:start="0"/>
        <w:jc w:val="both"/>
        <w:rPr/>
      </w:pPr>
      <w:r>
        <w:rPr>
          <w:rStyle w:val="SectionHead"/>
          <w:sz w:val="24"/>
          <w:szCs w:val="24"/>
        </w:rPr>
        <w:tab/>
        <w:t xml:space="preserve">Section     Duration of Interest Periods; Conversion and Continuation of Advances </w:t>
      </w:r>
      <w:ins w:id="65" w:author="foobar" w:date="2000-11-09T12:47:00Z">
        <w:r>
          <w:fldChar w:fldCharType="begin"/>
        </w:r>
        <w:r>
          <w:rPr/>
          <w:instrText xml:space="preserve"> TC "Section     Duration of Interest Periods; Conversion and Continuation of Advances " \l 2 </w:instrText>
        </w:r>
      </w:ins>
      <w:r>
        <w:rPr/>
        <w:fldChar w:fldCharType="separate"/>
      </w:r>
      <w:ins w:id="66" w:author="foobar" w:date="2000-11-09T12:47:00Z">
        <w:r>
          <w:rPr/>
        </w:r>
      </w:ins>
      <w:r>
        <w:rPr/>
        <w:fldChar w:fldCharType="end"/>
      </w:r>
      <w:r>
        <w:rPr>
          <w:sz w:val="24"/>
          <w:szCs w:val="24"/>
        </w:rPr>
        <w:t>.</w:t>
      </w:r>
    </w:p>
    <w:p>
      <w:pPr>
        <w:pStyle w:val="Normal"/>
        <w:keepNext w:val="true"/>
        <w:keepLines/>
        <w:widowControl/>
        <w:numPr>
          <w:ilvl w:val="1"/>
          <w:numId w:val="30"/>
        </w:numPr>
        <w:tabs>
          <w:tab w:val="clear" w:pos="720"/>
          <w:tab w:val="left" w:pos="0" w:leader="none"/>
        </w:tabs>
        <w:ind w:hanging="0" w:start="0"/>
        <w:jc w:val="both"/>
        <w:rPr>
          <w:sz w:val="24"/>
          <w:szCs w:val="24"/>
        </w:rPr>
      </w:pPr>
      <w:r>
        <w:rPr>
          <w:sz w:val="24"/>
          <w:szCs w:val="24"/>
        </w:rPr>
      </w:r>
    </w:p>
    <w:p>
      <w:pPr>
        <w:pStyle w:val="a"/>
        <w:keepLines/>
        <w:widowControl/>
        <w:numPr>
          <w:ilvl w:val="2"/>
          <w:numId w:val="30"/>
        </w:numPr>
        <w:tabs>
          <w:tab w:val="clear" w:pos="720"/>
          <w:tab w:val="left" w:pos="0" w:leader="none"/>
        </w:tabs>
        <w:ind w:hanging="0" w:start="0"/>
        <w:jc w:val="both"/>
        <w:rPr/>
      </w:pPr>
      <w:r>
        <w:rPr/>
        <w:tab/>
        <w:t>The duration of each Interest Period will be a period of one, two, three or six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a"/>
        <w:widowControl/>
        <w:numPr>
          <w:ilvl w:val="2"/>
          <w:numId w:val="30"/>
        </w:numPr>
        <w:tabs>
          <w:tab w:val="clear" w:pos="720"/>
          <w:tab w:val="left" w:pos="0" w:leader="none"/>
        </w:tabs>
        <w:ind w:hanging="0" w:start="0"/>
        <w:jc w:val="both"/>
        <w:rPr/>
      </w:pPr>
      <w:r>
        <w:rPr/>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u w:val="single"/>
        </w:rPr>
        <w:t>provided</w:t>
      </w:r>
      <w:r>
        <w:rPr/>
        <w:t xml:space="preserve">, </w:t>
      </w:r>
      <w:r>
        <w:rPr>
          <w:u w:val="single"/>
        </w:rPr>
        <w:t>however</w:t>
      </w:r>
      <w:r>
        <w:rPr/>
        <w:t xml:space="preserve">, that any conversion (or continuation) of any LIBOR Advances shall be made on, and only on, the last day of an Interest Period for such LIBOR Advances </w:t>
      </w:r>
      <w:r>
        <w:rPr>
          <w:u w:val="single"/>
        </w:rPr>
        <w:t>and provided further</w:t>
      </w:r>
      <w:r>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a"/>
        <w:widowControl/>
        <w:numPr>
          <w:ilvl w:val="2"/>
          <w:numId w:val="30"/>
        </w:numPr>
        <w:tabs>
          <w:tab w:val="clear" w:pos="720"/>
          <w:tab w:val="left" w:pos="0" w:leader="none"/>
        </w:tabs>
        <w:ind w:hanging="0" w:start="0"/>
        <w:jc w:val="both"/>
        <w:rPr/>
      </w:pPr>
      <w:r>
        <w:rPr/>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a"/>
        <w:widowControl/>
        <w:numPr>
          <w:ilvl w:val="2"/>
          <w:numId w:val="30"/>
        </w:numPr>
        <w:tabs>
          <w:tab w:val="clear" w:pos="720"/>
          <w:tab w:val="left" w:pos="0" w:leader="none"/>
        </w:tabs>
        <w:ind w:hanging="0" w:start="0"/>
        <w:jc w:val="both"/>
        <w:rPr/>
      </w:pPr>
      <w:r>
        <w:rPr/>
        <w:tab/>
        <w:t>The Agent will notify each Lender and the Trust of the rate of interest applicable to each such Interest Period as soon as it is determined under this Agreement.</w:t>
      </w:r>
    </w:p>
    <w:p>
      <w:pPr>
        <w:pStyle w:val="a"/>
        <w:keepNext w:val="true"/>
        <w:widowControl/>
        <w:numPr>
          <w:ilvl w:val="2"/>
          <w:numId w:val="30"/>
        </w:numPr>
        <w:tabs>
          <w:tab w:val="clear" w:pos="720"/>
          <w:tab w:val="left" w:pos="0" w:leader="none"/>
        </w:tabs>
        <w:ind w:hanging="0" w:start="0"/>
        <w:jc w:val="both"/>
        <w:rPr/>
      </w:pPr>
      <w:r>
        <w:rPr/>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u w:val="single"/>
        </w:rPr>
        <w:t>provided</w:t>
      </w:r>
      <w:r>
        <w:rPr/>
        <w:t xml:space="preserve">, </w:t>
      </w:r>
      <w:r>
        <w:rPr>
          <w:u w:val="single"/>
        </w:rPr>
        <w:t>however</w:t>
      </w:r>
      <w:r>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u w:val="single"/>
        </w:rPr>
        <w:t>Sections 8.4, 8.6, 8.7</w:t>
      </w:r>
      <w:r>
        <w:rPr/>
        <w:t xml:space="preserve"> or </w:t>
      </w:r>
      <w:r>
        <w:rPr>
          <w:u w:val="single"/>
        </w:rPr>
        <w:t>25.1</w:t>
      </w:r>
      <w:r>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widowControl/>
        <w:numPr>
          <w:ilvl w:val="1"/>
          <w:numId w:val="30"/>
        </w:numPr>
        <w:tabs>
          <w:tab w:val="clear" w:pos="720"/>
          <w:tab w:val="left" w:pos="0" w:leader="none"/>
        </w:tabs>
        <w:ind w:hanging="0" w:start="0"/>
        <w:jc w:val="both"/>
        <w:rPr/>
      </w:pPr>
      <w:r>
        <w:rPr>
          <w:rStyle w:val="SectionHead"/>
          <w:sz w:val="24"/>
          <w:szCs w:val="24"/>
        </w:rPr>
        <w:tab/>
        <w:t xml:space="preserve">Section     Interest on Unpaid Sums </w:t>
      </w:r>
      <w:ins w:id="67" w:author="foobar" w:date="2000-11-09T12:47:00Z">
        <w:r>
          <w:fldChar w:fldCharType="begin"/>
        </w:r>
        <w:r>
          <w:rPr/>
          <w:instrText xml:space="preserve"> TC "Section     Interest on Unpaid Sums " \l 2 </w:instrText>
        </w:r>
      </w:ins>
      <w:r>
        <w:rPr/>
        <w:fldChar w:fldCharType="separate"/>
      </w:r>
      <w:ins w:id="68" w:author="foobar" w:date="2000-11-09T12:47:00Z">
        <w:r>
          <w:rPr/>
        </w:r>
      </w:ins>
      <w:r>
        <w:rPr/>
        <w:fldChar w:fldCharType="end"/>
      </w:r>
      <w:r>
        <w:rPr>
          <w:sz w:val="24"/>
          <w:szCs w:val="24"/>
        </w:rPr>
        <w:t>.</w:t>
      </w:r>
    </w:p>
    <w:p>
      <w:pPr>
        <w:pStyle w:val="Normal"/>
        <w:keepNext w:val="true"/>
        <w:keepLines/>
        <w:widowControl/>
        <w:numPr>
          <w:ilvl w:val="1"/>
          <w:numId w:val="30"/>
        </w:numPr>
        <w:tabs>
          <w:tab w:val="clear" w:pos="720"/>
          <w:tab w:val="left" w:pos="0" w:leader="none"/>
        </w:tabs>
        <w:ind w:hanging="0" w:start="0"/>
        <w:jc w:val="both"/>
        <w:rPr>
          <w:sz w:val="24"/>
          <w:szCs w:val="24"/>
        </w:rPr>
      </w:pPr>
      <w:r>
        <w:rPr>
          <w:sz w:val="24"/>
          <w:szCs w:val="24"/>
        </w:rPr>
      </w:r>
    </w:p>
    <w:p>
      <w:pPr>
        <w:pStyle w:val="a"/>
        <w:keepLines/>
        <w:widowControl/>
        <w:numPr>
          <w:ilvl w:val="2"/>
          <w:numId w:val="30"/>
        </w:numPr>
        <w:tabs>
          <w:tab w:val="clear" w:pos="720"/>
          <w:tab w:val="left" w:pos="0" w:leader="none"/>
        </w:tabs>
        <w:ind w:hanging="0" w:start="0"/>
        <w:jc w:val="both"/>
        <w:rPr/>
      </w:pPr>
      <w:r>
        <w:rPr/>
        <w:tab/>
        <w:t xml:space="preserve">If the Trust fails to pay any sum due from it under this Agreement or any other Finance Document on its due date (an </w:t>
      </w:r>
      <w:r>
        <w:rPr>
          <w:b/>
          <w:bCs/>
        </w:rPr>
        <w:t>“</w:t>
      </w:r>
      <w:r>
        <w:rPr>
          <w:b/>
          <w:bCs/>
          <w:u w:val="single"/>
        </w:rPr>
        <w:t>unpaid sum</w:t>
      </w:r>
      <w:r>
        <w:rPr>
          <w:b/>
          <w:bCs/>
        </w:rPr>
        <w:t>”</w:t>
      </w:r>
      <w:r>
        <w:rPr/>
        <w:t>), the Trust will pay default interest on such unpaid sum from its due date to (but excluding) the date of actual payment (after as well as before judgment) at a rate (the</w:t>
      </w:r>
      <w:r>
        <w:rPr>
          <w:b/>
          <w:bCs/>
        </w:rPr>
        <w:t xml:space="preserve"> “</w:t>
      </w:r>
      <w:r>
        <w:rPr>
          <w:b/>
          <w:bCs/>
          <w:u w:val="single"/>
        </w:rPr>
        <w:t>Default Rate</w:t>
      </w:r>
      <w:r>
        <w:rPr>
          <w:b/>
          <w:bCs/>
        </w:rPr>
        <w:t>”</w:t>
      </w:r>
      <w:r>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a"/>
        <w:widowControl/>
        <w:numPr>
          <w:ilvl w:val="2"/>
          <w:numId w:val="30"/>
        </w:numPr>
        <w:tabs>
          <w:tab w:val="clear" w:pos="720"/>
          <w:tab w:val="left" w:pos="0" w:leader="none"/>
        </w:tabs>
        <w:ind w:hanging="0" w:start="0"/>
        <w:jc w:val="both"/>
        <w:rPr/>
      </w:pPr>
      <w:r>
        <w:rPr/>
        <w:tab/>
        <w:t>Default interest will be payable by the Trust on demand by the Agent and, to the extent permitted by law, will be compounded.</w:t>
      </w:r>
    </w:p>
    <w:p>
      <w:pPr>
        <w:pStyle w:val="a"/>
        <w:keepNext w:val="true"/>
        <w:widowControl/>
        <w:numPr>
          <w:ilvl w:val="2"/>
          <w:numId w:val="30"/>
        </w:numPr>
        <w:tabs>
          <w:tab w:val="clear" w:pos="720"/>
          <w:tab w:val="left" w:pos="0" w:leader="none"/>
        </w:tabs>
        <w:ind w:hanging="0" w:start="0"/>
        <w:jc w:val="both"/>
        <w:rPr/>
      </w:pPr>
      <w:r>
        <w:rPr/>
        <w:tab/>
        <w:t>The Agent will promptly notify the Trust and each Lender of each determination of the Default Rate.</w:t>
      </w:r>
    </w:p>
    <w:p>
      <w:pPr>
        <w:pStyle w:val="Normal"/>
        <w:keepLines/>
        <w:widowControl/>
        <w:numPr>
          <w:ilvl w:val="1"/>
          <w:numId w:val="30"/>
        </w:numPr>
        <w:tabs>
          <w:tab w:val="clear" w:pos="720"/>
          <w:tab w:val="left" w:pos="0" w:leader="none"/>
        </w:tabs>
        <w:ind w:hanging="0" w:start="0"/>
        <w:jc w:val="both"/>
        <w:rPr/>
      </w:pPr>
      <w:r>
        <w:rPr>
          <w:rStyle w:val="SectionHead"/>
          <w:sz w:val="24"/>
          <w:szCs w:val="24"/>
        </w:rPr>
        <w:tab/>
        <w:t xml:space="preserve">Section     Additional Interest on LIBOR Advances </w:t>
      </w:r>
      <w:ins w:id="69" w:author="foobar" w:date="2000-11-09T12:47:00Z">
        <w:r>
          <w:fldChar w:fldCharType="begin"/>
        </w:r>
        <w:r>
          <w:rPr/>
          <w:instrText xml:space="preserve"> TC "Section     Additional Interest on LIBOR Advances " \l 2 </w:instrText>
        </w:r>
      </w:ins>
      <w:r>
        <w:rPr/>
        <w:fldChar w:fldCharType="separate"/>
      </w:r>
      <w:ins w:id="70" w:author="foobar" w:date="2000-11-09T12:47:00Z">
        <w:r>
          <w:rPr/>
        </w:r>
      </w:ins>
      <w:r>
        <w:rPr/>
        <w:fldChar w:fldCharType="end"/>
      </w:r>
      <w:r>
        <w:rPr>
          <w:sz w:val="24"/>
          <w:szCs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widowControl/>
        <w:jc w:val="both"/>
        <w:rPr>
          <w:sz w:val="24"/>
          <w:szCs w:val="24"/>
        </w:rPr>
      </w:pPr>
      <w:r>
        <w:rPr>
          <w:sz w:val="24"/>
          <w:szCs w:val="24"/>
        </w:rPr>
      </w:r>
    </w:p>
    <w:p>
      <w:pPr>
        <w:pStyle w:val="Normal"/>
        <w:keepNext w:val="true"/>
        <w:keepLines/>
        <w:widowControl/>
        <w:numPr>
          <w:ilvl w:val="1"/>
          <w:numId w:val="31"/>
        </w:numPr>
        <w:tabs>
          <w:tab w:val="clear" w:pos="720"/>
          <w:tab w:val="left" w:pos="0" w:leader="none"/>
        </w:tabs>
        <w:ind w:hanging="0" w:start="0"/>
        <w:jc w:val="both"/>
        <w:rPr/>
      </w:pPr>
      <w:r>
        <w:rPr>
          <w:rStyle w:val="SectionHead"/>
          <w:sz w:val="24"/>
          <w:szCs w:val="24"/>
        </w:rPr>
        <w:tab/>
        <w:t xml:space="preserve">Section     Interest Rate Determination and Protection </w:t>
      </w:r>
      <w:ins w:id="71" w:author="foobar" w:date="2000-11-09T12:47:00Z">
        <w:r>
          <w:fldChar w:fldCharType="begin"/>
        </w:r>
        <w:r>
          <w:rPr/>
          <w:instrText xml:space="preserve"> TC "Section     Interest Rate Determination and Protection " \l 2 </w:instrText>
        </w:r>
      </w:ins>
      <w:r>
        <w:rPr/>
        <w:fldChar w:fldCharType="separate"/>
      </w:r>
      <w:ins w:id="72" w:author="foobar" w:date="2000-11-09T12:47:00Z">
        <w:r>
          <w:rPr/>
        </w:r>
      </w:ins>
      <w:r>
        <w:rPr/>
        <w:fldChar w:fldCharType="end"/>
      </w:r>
      <w:r>
        <w:rPr>
          <w:sz w:val="24"/>
          <w:szCs w:val="24"/>
        </w:rPr>
        <w:t>.  (a) If no basis is available for purposes of determining LIBOR for any LIBOR Advances,</w:t>
      </w:r>
    </w:p>
    <w:p>
      <w:pPr>
        <w:pStyle w:val="Normal"/>
        <w:keepNext w:val="true"/>
        <w:keepLines/>
        <w:widowControl/>
        <w:numPr>
          <w:ilvl w:val="1"/>
          <w:numId w:val="31"/>
        </w:numPr>
        <w:tabs>
          <w:tab w:val="clear" w:pos="720"/>
          <w:tab w:val="left" w:pos="0" w:leader="none"/>
        </w:tabs>
        <w:ind w:hanging="0" w:start="0"/>
        <w:jc w:val="both"/>
        <w:rPr>
          <w:sz w:val="24"/>
          <w:szCs w:val="24"/>
        </w:rPr>
      </w:pPr>
      <w:r>
        <w:rPr>
          <w:sz w:val="24"/>
          <w:szCs w:val="24"/>
        </w:rPr>
      </w:r>
    </w:p>
    <w:p>
      <w:pPr>
        <w:pStyle w:val="i"/>
        <w:keepLines/>
        <w:widowControl/>
        <w:numPr>
          <w:ilvl w:val="3"/>
          <w:numId w:val="31"/>
        </w:numPr>
        <w:tabs>
          <w:tab w:val="clear" w:pos="720"/>
          <w:tab w:val="left" w:pos="0" w:leader="none"/>
        </w:tabs>
        <w:ind w:hanging="0" w:start="720"/>
        <w:jc w:val="both"/>
        <w:rPr/>
      </w:pPr>
      <w:r>
        <w:rPr/>
        <w:tab/>
        <w:t>the Agent shall forthwith notify the Trust and the Lenders that the interest rate cannot be determined for such LIBOR Advances,</w:t>
      </w:r>
    </w:p>
    <w:p>
      <w:pPr>
        <w:pStyle w:val="i"/>
        <w:widowControl/>
        <w:numPr>
          <w:ilvl w:val="3"/>
          <w:numId w:val="31"/>
        </w:numPr>
        <w:tabs>
          <w:tab w:val="clear" w:pos="720"/>
          <w:tab w:val="left" w:pos="0" w:leader="none"/>
        </w:tabs>
        <w:ind w:hanging="0" w:start="720"/>
        <w:jc w:val="both"/>
        <w:rPr/>
      </w:pPr>
      <w:r>
        <w:rPr/>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i"/>
        <w:widowControl/>
        <w:numPr>
          <w:ilvl w:val="3"/>
          <w:numId w:val="31"/>
        </w:numPr>
        <w:tabs>
          <w:tab w:val="clear" w:pos="720"/>
          <w:tab w:val="left" w:pos="0" w:leader="none"/>
        </w:tabs>
        <w:ind w:hanging="0" w:start="720"/>
        <w:jc w:val="both"/>
        <w:rPr/>
      </w:pPr>
      <w:r>
        <w:rPr/>
        <w:tab/>
        <w:t>the obligation of the Lenders to convert Advances into LIBOR Advances shall be suspended until the Agent shall notify the Trust and the Lenders that the circumstances causing such suspension no longer exist.</w:t>
      </w:r>
    </w:p>
    <w:p>
      <w:pPr>
        <w:pStyle w:val="Normal"/>
        <w:widowControl/>
        <w:jc w:val="both"/>
        <w:rPr>
          <w:sz w:val="24"/>
          <w:szCs w:val="24"/>
        </w:rPr>
      </w:pPr>
      <w:r>
        <w:rPr>
          <w:sz w:val="24"/>
          <w:szCs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widowControl/>
        <w:jc w:val="both"/>
        <w:rPr>
          <w:sz w:val="24"/>
          <w:szCs w:val="24"/>
        </w:rPr>
      </w:pPr>
      <w:r>
        <w:rPr>
          <w:sz w:val="24"/>
          <w:szCs w:val="24"/>
        </w:rPr>
      </w:r>
    </w:p>
    <w:p>
      <w:pPr>
        <w:pStyle w:val="Normal"/>
        <w:widowControl/>
        <w:ind w:start="720" w:end="0"/>
        <w:jc w:val="both"/>
        <w:rPr>
          <w:sz w:val="24"/>
          <w:szCs w:val="24"/>
        </w:rPr>
      </w:pPr>
      <w:r>
        <w:rPr>
          <w:sz w:val="24"/>
          <w:szCs w:val="24"/>
        </w:rPr>
        <w:tab/>
        <w:t>(ii)</w:t>
        <w:tab/>
        <w:t>the obligation of the Lenders to convert Advances into LIBOR Advances shall be suspended until the Agent shall notify the Trust and the Lenders that the circumstances causing such suspension no longer exist.</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widowControl/>
        <w:jc w:val="both"/>
        <w:rPr>
          <w:sz w:val="24"/>
          <w:szCs w:val="24"/>
        </w:rPr>
      </w:pPr>
      <w:r>
        <w:rPr>
          <w:sz w:val="24"/>
          <w:szCs w:val="24"/>
        </w:rPr>
      </w:r>
    </w:p>
    <w:p>
      <w:pPr>
        <w:pStyle w:val="Normal"/>
        <w:keepNext w:val="true"/>
        <w:keepLines/>
        <w:widowControl/>
        <w:numPr>
          <w:ilvl w:val="1"/>
          <w:numId w:val="32"/>
        </w:numPr>
        <w:tabs>
          <w:tab w:val="clear" w:pos="720"/>
          <w:tab w:val="left" w:pos="0" w:leader="none"/>
        </w:tabs>
        <w:ind w:hanging="0" w:start="0"/>
        <w:jc w:val="both"/>
        <w:rPr>
          <w:sz w:val="24"/>
          <w:szCs w:val="24"/>
        </w:rPr>
      </w:pPr>
      <w:r>
        <w:rPr>
          <w:rStyle w:val="SectionHead"/>
          <w:sz w:val="24"/>
          <w:szCs w:val="24"/>
        </w:rPr>
        <w:tab/>
        <w:t xml:space="preserve">Section     Increased Costs; Capital Adequacy, Etc. </w:t>
      </w:r>
      <w:ins w:id="73" w:author="foobar" w:date="2000-11-09T12:47:00Z">
        <w:r>
          <w:fldChar w:fldCharType="begin"/>
        </w:r>
        <w:r>
          <w:rPr/>
          <w:instrText xml:space="preserve"> TC "Section     Increased Costs; Capital Adequacy, Etc. " \l 2 </w:instrText>
        </w:r>
      </w:ins>
      <w:r>
        <w:rPr/>
        <w:fldChar w:fldCharType="separate"/>
      </w:r>
      <w:ins w:id="74" w:author="foobar" w:date="2000-11-09T12:47:00Z">
        <w:r>
          <w:rPr/>
        </w:r>
      </w:ins>
      <w:r>
        <w:rPr/>
        <w:fldChar w:fldCharType="end"/>
      </w:r>
    </w:p>
    <w:p>
      <w:pPr>
        <w:pStyle w:val="Normal"/>
        <w:keepNext w:val="true"/>
        <w:keepLines/>
        <w:widowControl/>
        <w:numPr>
          <w:ilvl w:val="1"/>
          <w:numId w:val="32"/>
        </w:numPr>
        <w:tabs>
          <w:tab w:val="clear" w:pos="720"/>
          <w:tab w:val="left" w:pos="0" w:leader="none"/>
        </w:tabs>
        <w:ind w:hanging="0" w:start="0"/>
        <w:jc w:val="both"/>
        <w:rPr>
          <w:sz w:val="24"/>
          <w:szCs w:val="24"/>
        </w:rPr>
      </w:pPr>
      <w:r>
        <w:rPr>
          <w:sz w:val="24"/>
          <w:szCs w:val="24"/>
        </w:rPr>
      </w:r>
    </w:p>
    <w:p>
      <w:pPr>
        <w:pStyle w:val="a"/>
        <w:keepLines/>
        <w:widowControl/>
        <w:numPr>
          <w:ilvl w:val="2"/>
          <w:numId w:val="32"/>
        </w:numPr>
        <w:tabs>
          <w:tab w:val="clear" w:pos="720"/>
          <w:tab w:val="left" w:pos="0" w:leader="none"/>
        </w:tabs>
        <w:ind w:hanging="0" w:start="0"/>
        <w:jc w:val="both"/>
        <w:rPr/>
      </w:pPr>
      <w:r>
        <w:rPr/>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a"/>
        <w:widowControl/>
        <w:numPr>
          <w:ilvl w:val="2"/>
          <w:numId w:val="32"/>
        </w:numPr>
        <w:tabs>
          <w:tab w:val="clear" w:pos="720"/>
          <w:tab w:val="left" w:pos="0" w:leader="none"/>
        </w:tabs>
        <w:ind w:hanging="0" w:start="0"/>
        <w:jc w:val="both"/>
        <w:rPr/>
      </w:pPr>
      <w:r>
        <w:rPr/>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widowControl/>
        <w:jc w:val="both"/>
        <w:rPr>
          <w:sz w:val="24"/>
          <w:szCs w:val="24"/>
        </w:rPr>
      </w:pPr>
      <w:r>
        <w:rPr>
          <w:sz w:val="24"/>
          <w:szCs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widowControl/>
        <w:jc w:val="both"/>
        <w:rPr>
          <w:sz w:val="24"/>
          <w:szCs w:val="24"/>
        </w:rPr>
      </w:pPr>
      <w:r>
        <w:rPr>
          <w:sz w:val="24"/>
          <w:szCs w:val="24"/>
        </w:rPr>
      </w:r>
    </w:p>
    <w:p>
      <w:pPr>
        <w:pStyle w:val="Normal"/>
        <w:widowControl/>
        <w:jc w:val="both"/>
        <w:rPr/>
      </w:pPr>
      <w:r>
        <w:rPr>
          <w:sz w:val="24"/>
          <w:szCs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szCs w:val="24"/>
          <w:u w:val="single"/>
        </w:rPr>
        <w:t>provided</w:t>
      </w:r>
      <w:r>
        <w:rPr>
          <w:sz w:val="24"/>
          <w:szCs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widowControl/>
        <w:jc w:val="both"/>
        <w:rPr>
          <w:sz w:val="24"/>
          <w:szCs w:val="24"/>
        </w:rPr>
      </w:pPr>
      <w:r>
        <w:rPr>
          <w:sz w:val="24"/>
          <w:szCs w:val="24"/>
        </w:rPr>
      </w:r>
    </w:p>
    <w:p>
      <w:pPr>
        <w:pStyle w:val="Normal"/>
        <w:keepLines/>
        <w:widowControl/>
        <w:numPr>
          <w:ilvl w:val="1"/>
          <w:numId w:val="33"/>
        </w:numPr>
        <w:tabs>
          <w:tab w:val="clear" w:pos="720"/>
          <w:tab w:val="left" w:pos="0" w:leader="none"/>
        </w:tabs>
        <w:ind w:hanging="0" w:start="0"/>
        <w:jc w:val="both"/>
        <w:rPr/>
      </w:pPr>
      <w:r>
        <w:rPr>
          <w:rStyle w:val="SectionHead"/>
          <w:sz w:val="24"/>
          <w:szCs w:val="24"/>
        </w:rPr>
        <w:tab/>
        <w:t xml:space="preserve">Section     Illegality </w:t>
      </w:r>
      <w:ins w:id="75" w:author="foobar" w:date="2000-11-09T12:47:00Z">
        <w:r>
          <w:fldChar w:fldCharType="begin"/>
        </w:r>
        <w:r>
          <w:rPr/>
          <w:instrText xml:space="preserve"> TC "Section     Illegality " \l 2 </w:instrText>
        </w:r>
      </w:ins>
      <w:r>
        <w:rPr/>
        <w:fldChar w:fldCharType="separate"/>
      </w:r>
      <w:ins w:id="76" w:author="foobar" w:date="2000-11-09T12:47:00Z">
        <w:r>
          <w:rPr/>
        </w:r>
      </w:ins>
      <w:r>
        <w:rPr/>
        <w:fldChar w:fldCharType="end"/>
      </w:r>
      <w:r>
        <w:rPr>
          <w:sz w:val="24"/>
          <w:szCs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widowControl/>
        <w:jc w:val="both"/>
        <w:rPr>
          <w:sz w:val="24"/>
          <w:szCs w:val="24"/>
        </w:rPr>
      </w:pPr>
      <w:r>
        <w:rPr>
          <w:sz w:val="24"/>
          <w:szCs w:val="24"/>
        </w:rPr>
      </w:r>
    </w:p>
    <w:p>
      <w:pPr>
        <w:pStyle w:val="Normal"/>
        <w:keepNext w:val="true"/>
        <w:keepLines/>
        <w:widowControl/>
        <w:numPr>
          <w:ilvl w:val="1"/>
          <w:numId w:val="34"/>
        </w:numPr>
        <w:tabs>
          <w:tab w:val="clear" w:pos="720"/>
          <w:tab w:val="left" w:pos="0" w:leader="none"/>
        </w:tabs>
        <w:ind w:hanging="0" w:start="0"/>
        <w:jc w:val="both"/>
        <w:rPr/>
      </w:pPr>
      <w:r>
        <w:rPr>
          <w:rStyle w:val="SectionHead"/>
          <w:sz w:val="24"/>
          <w:szCs w:val="24"/>
        </w:rPr>
        <w:tab/>
        <w:t xml:space="preserve">Section     Taxes </w:t>
      </w:r>
      <w:ins w:id="77" w:author="foobar" w:date="2000-11-09T12:47:00Z">
        <w:r>
          <w:fldChar w:fldCharType="begin"/>
        </w:r>
        <w:r>
          <w:rPr/>
          <w:instrText xml:space="preserve"> TC "Section     Taxes " \l 2 </w:instrText>
        </w:r>
      </w:ins>
      <w:r>
        <w:rPr/>
        <w:fldChar w:fldCharType="separate"/>
      </w:r>
      <w:ins w:id="78" w:author="foobar" w:date="2000-11-09T12:47:00Z">
        <w:r>
          <w:rPr/>
        </w:r>
      </w:ins>
      <w:r>
        <w:rPr/>
        <w:fldChar w:fldCharType="end"/>
      </w:r>
      <w:r>
        <w:rPr>
          <w:sz w:val="24"/>
          <w:szCs w:val="24"/>
        </w:rPr>
        <w:t>.</w:t>
      </w:r>
    </w:p>
    <w:p>
      <w:pPr>
        <w:pStyle w:val="Normal"/>
        <w:keepNext w:val="true"/>
        <w:keepLines/>
        <w:widowControl/>
        <w:numPr>
          <w:ilvl w:val="1"/>
          <w:numId w:val="34"/>
        </w:numPr>
        <w:tabs>
          <w:tab w:val="clear" w:pos="720"/>
          <w:tab w:val="left" w:pos="0" w:leader="none"/>
        </w:tabs>
        <w:ind w:hanging="0" w:start="0"/>
        <w:jc w:val="both"/>
        <w:rPr>
          <w:sz w:val="24"/>
          <w:szCs w:val="24"/>
        </w:rPr>
      </w:pPr>
      <w:r>
        <w:rPr>
          <w:sz w:val="24"/>
          <w:szCs w:val="24"/>
        </w:rPr>
      </w:r>
    </w:p>
    <w:p>
      <w:pPr>
        <w:pStyle w:val="a"/>
        <w:keepLines/>
        <w:widowControl/>
        <w:numPr>
          <w:ilvl w:val="2"/>
          <w:numId w:val="34"/>
        </w:numPr>
        <w:tabs>
          <w:tab w:val="clear" w:pos="720"/>
          <w:tab w:val="left" w:pos="0" w:leader="none"/>
        </w:tabs>
        <w:ind w:hanging="0" w:start="0"/>
        <w:jc w:val="both"/>
        <w:rPr/>
      </w:pPr>
      <w:r>
        <w:rPr/>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u w:val="single"/>
        </w:rPr>
        <w:t>excluding</w:t>
      </w:r>
      <w:r>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b/>
          <w:bCs/>
        </w:rPr>
        <w:t>“</w:t>
      </w:r>
      <w:r>
        <w:rPr>
          <w:b/>
          <w:bCs/>
          <w:u w:val="single"/>
        </w:rPr>
        <w:t>Relevant Taxes</w:t>
      </w:r>
      <w:r>
        <w:rPr>
          <w:b/>
          <w:bCs/>
        </w:rPr>
        <w:t>”</w:t>
      </w:r>
      <w:r>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a"/>
        <w:widowControl/>
        <w:numPr>
          <w:ilvl w:val="2"/>
          <w:numId w:val="34"/>
        </w:numPr>
        <w:tabs>
          <w:tab w:val="clear" w:pos="720"/>
          <w:tab w:val="left" w:pos="0" w:leader="none"/>
        </w:tabs>
        <w:ind w:hanging="0" w:start="0"/>
        <w:jc w:val="both"/>
        <w:rPr/>
      </w:pPr>
      <w:r>
        <w:rPr/>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u w:val="single"/>
        </w:rPr>
        <w:t>provided</w:t>
      </w:r>
      <w:r>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a"/>
        <w:widowControl/>
        <w:numPr>
          <w:ilvl w:val="2"/>
          <w:numId w:val="34"/>
        </w:numPr>
        <w:tabs>
          <w:tab w:val="clear" w:pos="720"/>
          <w:tab w:val="left" w:pos="0" w:leader="none"/>
        </w:tabs>
        <w:ind w:hanging="0" w:start="0"/>
        <w:jc w:val="both"/>
        <w:rPr/>
      </w:pPr>
      <w:r>
        <w:rPr/>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bCs/>
        </w:rPr>
        <w:t>“</w:t>
      </w:r>
      <w:r>
        <w:rPr>
          <w:b/>
          <w:bCs/>
          <w:u w:val="single"/>
        </w:rPr>
        <w:t>Other Taxes</w:t>
      </w:r>
      <w:r>
        <w:rPr>
          <w:b/>
          <w:bCs/>
        </w:rPr>
        <w:t>”</w:t>
      </w:r>
      <w:r>
        <w:rPr/>
        <w:t>).</w:t>
      </w:r>
    </w:p>
    <w:p>
      <w:pPr>
        <w:pStyle w:val="a"/>
        <w:widowControl/>
        <w:numPr>
          <w:ilvl w:val="2"/>
          <w:numId w:val="34"/>
        </w:numPr>
        <w:tabs>
          <w:tab w:val="clear" w:pos="720"/>
          <w:tab w:val="left" w:pos="0" w:leader="none"/>
        </w:tabs>
        <w:ind w:hanging="0" w:start="0"/>
        <w:jc w:val="both"/>
        <w:rPr/>
      </w:pPr>
      <w:r>
        <w:rPr/>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a"/>
        <w:widowControl/>
        <w:numPr>
          <w:ilvl w:val="2"/>
          <w:numId w:val="34"/>
        </w:numPr>
        <w:tabs>
          <w:tab w:val="clear" w:pos="720"/>
          <w:tab w:val="left" w:pos="0" w:leader="none"/>
        </w:tabs>
        <w:ind w:hanging="0" w:start="0"/>
        <w:jc w:val="both"/>
        <w:rPr/>
      </w:pPr>
      <w:r>
        <w:rPr/>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a"/>
        <w:widowControl/>
        <w:numPr>
          <w:ilvl w:val="2"/>
          <w:numId w:val="34"/>
        </w:numPr>
        <w:tabs>
          <w:tab w:val="clear" w:pos="720"/>
          <w:tab w:val="left" w:pos="0" w:leader="none"/>
        </w:tabs>
        <w:ind w:hanging="0" w:start="0"/>
        <w:jc w:val="both"/>
        <w:rPr/>
      </w:pPr>
      <w:r>
        <w:rPr/>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a"/>
        <w:keepNext w:val="true"/>
        <w:widowControl/>
        <w:numPr>
          <w:ilvl w:val="2"/>
          <w:numId w:val="34"/>
        </w:numPr>
        <w:tabs>
          <w:tab w:val="clear" w:pos="720"/>
          <w:tab w:val="left" w:pos="0" w:leader="none"/>
        </w:tabs>
        <w:ind w:hanging="0" w:start="0"/>
        <w:jc w:val="both"/>
        <w:rPr/>
      </w:pPr>
      <w:r>
        <w:rPr/>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widowControl/>
        <w:numPr>
          <w:ilvl w:val="1"/>
          <w:numId w:val="34"/>
        </w:numPr>
        <w:tabs>
          <w:tab w:val="clear" w:pos="720"/>
          <w:tab w:val="left" w:pos="0" w:leader="none"/>
        </w:tabs>
        <w:ind w:hanging="0" w:start="0"/>
        <w:jc w:val="both"/>
        <w:rPr/>
      </w:pPr>
      <w:r>
        <w:rPr>
          <w:rStyle w:val="SectionHead"/>
          <w:sz w:val="24"/>
          <w:szCs w:val="24"/>
        </w:rPr>
        <w:tab/>
        <w:t xml:space="preserve">Section     Replacement of Lender </w:t>
      </w:r>
      <w:ins w:id="79" w:author="foobar" w:date="2000-11-09T12:47:00Z">
        <w:r>
          <w:fldChar w:fldCharType="begin"/>
        </w:r>
        <w:r>
          <w:rPr/>
          <w:instrText xml:space="preserve"> TC "Section     Replacement of Lender " \l 2 </w:instrText>
        </w:r>
      </w:ins>
      <w:r>
        <w:rPr/>
        <w:fldChar w:fldCharType="separate"/>
      </w:r>
      <w:ins w:id="80" w:author="foobar" w:date="2000-11-09T12:47:00Z">
        <w:r>
          <w:rPr/>
        </w:r>
      </w:ins>
      <w:r>
        <w:rPr/>
        <w:fldChar w:fldCharType="end"/>
      </w:r>
      <w:r>
        <w:rPr>
          <w:sz w:val="24"/>
          <w:szCs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szCs w:val="24"/>
          <w:u w:val="single"/>
        </w:rPr>
        <w:t>provided</w:t>
      </w:r>
      <w:r>
        <w:rPr>
          <w:sz w:val="24"/>
          <w:szCs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szCs w:val="24"/>
          <w:u w:val="single"/>
        </w:rPr>
        <w:t>plus</w:t>
      </w:r>
      <w:r>
        <w:rPr>
          <w:sz w:val="24"/>
          <w:szCs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bCs/>
          <w:sz w:val="24"/>
          <w:szCs w:val="24"/>
        </w:rPr>
        <w:t>“</w:t>
      </w:r>
      <w:r>
        <w:rPr>
          <w:b/>
          <w:bCs/>
          <w:sz w:val="24"/>
          <w:szCs w:val="24"/>
          <w:u w:val="single"/>
        </w:rPr>
        <w:t>Lender</w:t>
      </w:r>
      <w:r>
        <w:rPr>
          <w:b/>
          <w:bCs/>
          <w:sz w:val="24"/>
          <w:szCs w:val="24"/>
        </w:rPr>
        <w:t>”</w:t>
      </w:r>
      <w:r>
        <w:rPr>
          <w:sz w:val="24"/>
          <w:szCs w:val="24"/>
        </w:rPr>
        <w:t xml:space="preserve"> hereunder and the Lender being so replaced shall no longer constitute a </w:t>
      </w:r>
      <w:r>
        <w:rPr>
          <w:b/>
          <w:bCs/>
          <w:sz w:val="24"/>
          <w:szCs w:val="24"/>
        </w:rPr>
        <w:t>“</w:t>
      </w:r>
      <w:r>
        <w:rPr>
          <w:b/>
          <w:bCs/>
          <w:sz w:val="24"/>
          <w:szCs w:val="24"/>
          <w:u w:val="single"/>
        </w:rPr>
        <w:t>Lender</w:t>
      </w:r>
      <w:r>
        <w:rPr>
          <w:b/>
          <w:bCs/>
          <w:sz w:val="24"/>
          <w:szCs w:val="24"/>
        </w:rPr>
        <w:t>”</w:t>
      </w:r>
      <w:r>
        <w:rPr>
          <w:sz w:val="24"/>
          <w:szCs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widowControl/>
        <w:jc w:val="both"/>
        <w:rPr>
          <w:sz w:val="24"/>
          <w:szCs w:val="24"/>
        </w:rPr>
      </w:pPr>
      <w:r>
        <w:rPr>
          <w:sz w:val="24"/>
          <w:szCs w:val="24"/>
        </w:rPr>
      </w:r>
    </w:p>
    <w:p>
      <w:pPr>
        <w:pStyle w:val="Normal"/>
        <w:widowControl/>
        <w:jc w:val="both"/>
        <w:rPr/>
      </w:pPr>
      <w:r>
        <w:rPr>
          <w:sz w:val="24"/>
          <w:szCs w:val="24"/>
        </w:rPr>
        <w:tab/>
        <w:t>Section 8.10</w:t>
        <w:tab/>
      </w:r>
      <w:r>
        <w:rPr>
          <w:sz w:val="24"/>
          <w:szCs w:val="24"/>
          <w:u w:val="single"/>
        </w:rPr>
        <w:t>Tax Characterization; Construction</w:t>
      </w:r>
      <w:ins w:id="81" w:author="foobar" w:date="2000-11-09T12:47:00Z">
        <w:r>
          <w:fldChar w:fldCharType="begin"/>
        </w:r>
        <w:r>
          <w:rPr/>
          <w:instrText xml:space="preserve"> TC "Section 8.10</w:instrText>
          <w:tab/>
          <w:instrText xml:space="preserve">Tax Characterization; Construction" \l 1 </w:instrText>
        </w:r>
      </w:ins>
      <w:r>
        <w:rPr/>
        <w:fldChar w:fldCharType="separate"/>
      </w:r>
      <w:ins w:id="82" w:author="foobar" w:date="2000-11-09T12:47:00Z">
        <w:r>
          <w:rPr/>
        </w:r>
      </w:ins>
      <w:r>
        <w:rPr/>
        <w:fldChar w:fldCharType="end"/>
      </w:r>
      <w:r>
        <w:rPr>
          <w:sz w:val="24"/>
          <w:szCs w:val="24"/>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financing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keepNext w:val="true"/>
        <w:widowControl/>
        <w:jc w:val="both"/>
        <w:rPr>
          <w:sz w:val="24"/>
          <w:szCs w:val="24"/>
        </w:rPr>
      </w:pPr>
      <w:r>
        <w:rPr>
          <w:sz w:val="24"/>
          <w:szCs w:val="24"/>
        </w:rPr>
      </w:r>
    </w:p>
    <w:p>
      <w:pPr>
        <w:pStyle w:val="ARTICLE"/>
        <w:keepNext w:val="true"/>
        <w:keepLines/>
        <w:widowControl/>
        <w:numPr>
          <w:ilvl w:val="0"/>
          <w:numId w:val="35"/>
        </w:numPr>
        <w:tabs>
          <w:tab w:val="clear" w:pos="720"/>
          <w:tab w:val="left" w:pos="0" w:leader="none"/>
        </w:tabs>
        <w:ind w:hanging="0" w:start="1440"/>
        <w:rPr/>
      </w:pPr>
      <w:r>
        <w:rPr>
          <w:b/>
          <w:bCs/>
        </w:rPr>
        <w:t>ARTICLE PAYMENTS</w:t>
      </w:r>
      <w:ins w:id="83" w:author="foobar" w:date="2000-11-09T12:47:00Z">
        <w:r>
          <w:fldChar w:fldCharType="begin"/>
        </w:r>
        <w:r>
          <w:rPr/>
          <w:instrText xml:space="preserve"> TC "ARTICLE PAYMENTS" \l 1 </w:instrText>
        </w:r>
      </w:ins>
      <w:r>
        <w:rPr/>
        <w:fldChar w:fldCharType="separate"/>
      </w:r>
      <w:ins w:id="84" w:author="foobar" w:date="2000-11-09T12:47:00Z">
        <w:r>
          <w:rPr/>
        </w:r>
      </w:ins>
      <w:r>
        <w:rPr/>
        <w:fldChar w:fldCharType="end"/>
      </w:r>
    </w:p>
    <w:p>
      <w:pPr>
        <w:pStyle w:val="ARTICLE"/>
        <w:keepNext w:val="true"/>
        <w:keepLines/>
        <w:widowControl/>
        <w:ind w:start="0" w:end="0"/>
        <w:jc w:val="both"/>
        <w:rPr>
          <w:u w:val="single"/>
        </w:rPr>
      </w:pPr>
      <w:r>
        <w:rPr>
          <w:u w:val="single"/>
        </w:rPr>
      </w:r>
    </w:p>
    <w:p>
      <w:pPr>
        <w:pStyle w:val="Normal"/>
        <w:keepNext w:val="true"/>
        <w:keepLines/>
        <w:widowControl/>
        <w:numPr>
          <w:ilvl w:val="1"/>
          <w:numId w:val="36"/>
        </w:numPr>
        <w:tabs>
          <w:tab w:val="clear" w:pos="720"/>
          <w:tab w:val="left" w:pos="0" w:leader="none"/>
        </w:tabs>
        <w:ind w:hanging="0" w:start="0"/>
        <w:jc w:val="both"/>
        <w:rPr/>
      </w:pPr>
      <w:r>
        <w:rPr>
          <w:rStyle w:val="SectionHead"/>
          <w:sz w:val="24"/>
          <w:szCs w:val="24"/>
        </w:rPr>
        <w:tab/>
        <w:t xml:space="preserve">Section     Place and Time </w:t>
      </w:r>
      <w:ins w:id="85" w:author="foobar" w:date="2000-11-09T12:47:00Z">
        <w:r>
          <w:fldChar w:fldCharType="begin"/>
        </w:r>
        <w:r>
          <w:rPr/>
          <w:instrText xml:space="preserve"> TC "Section     Place and Time " \l 2 </w:instrText>
        </w:r>
      </w:ins>
      <w:r>
        <w:rPr/>
        <w:fldChar w:fldCharType="separate"/>
      </w:r>
      <w:ins w:id="86" w:author="foobar" w:date="2000-11-09T12:47:00Z">
        <w:r>
          <w:rPr/>
        </w:r>
      </w:ins>
      <w:r>
        <w:rPr/>
        <w:fldChar w:fldCharType="end"/>
      </w:r>
      <w:r>
        <w:rPr>
          <w:sz w:val="24"/>
          <w:szCs w:val="24"/>
        </w:rPr>
        <w:t>.</w:t>
      </w:r>
    </w:p>
    <w:p>
      <w:pPr>
        <w:pStyle w:val="Normal"/>
        <w:keepNext w:val="true"/>
        <w:keepLines/>
        <w:widowControl/>
        <w:numPr>
          <w:ilvl w:val="1"/>
          <w:numId w:val="36"/>
        </w:numPr>
        <w:tabs>
          <w:tab w:val="clear" w:pos="720"/>
          <w:tab w:val="left" w:pos="0" w:leader="none"/>
        </w:tabs>
        <w:ind w:hanging="0" w:start="0"/>
        <w:jc w:val="both"/>
        <w:rPr>
          <w:sz w:val="24"/>
          <w:szCs w:val="24"/>
        </w:rPr>
      </w:pPr>
      <w:r>
        <w:rPr>
          <w:sz w:val="24"/>
          <w:szCs w:val="24"/>
        </w:rPr>
      </w:r>
    </w:p>
    <w:p>
      <w:pPr>
        <w:pStyle w:val="a"/>
        <w:keepLines/>
        <w:widowControl/>
        <w:numPr>
          <w:ilvl w:val="2"/>
          <w:numId w:val="36"/>
        </w:numPr>
        <w:tabs>
          <w:tab w:val="clear" w:pos="720"/>
          <w:tab w:val="left" w:pos="0" w:leader="none"/>
        </w:tabs>
        <w:ind w:hanging="0" w:start="0"/>
        <w:jc w:val="both"/>
        <w:rPr/>
      </w:pPr>
      <w:r>
        <w:rPr/>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70"/>
        <w:gridCol w:w="5400"/>
      </w:tblGrid>
      <w:tr>
        <w:trPr>
          <w:trHeight w:val="360" w:hRule="exact"/>
        </w:trPr>
        <w:tc>
          <w:tcPr>
            <w:tcW w:w="2430" w:type="dxa"/>
            <w:tcBorders/>
          </w:tcPr>
          <w:p>
            <w:pPr>
              <w:pStyle w:val="Normal"/>
              <w:widowControl/>
              <w:jc w:val="end"/>
              <w:rPr>
                <w:sz w:val="24"/>
                <w:szCs w:val="24"/>
              </w:rPr>
            </w:pPr>
            <w:r>
              <w:rPr>
                <w:sz w:val="24"/>
                <w:szCs w:val="24"/>
              </w:rPr>
              <w:t>Credit Bank:</w:t>
            </w:r>
          </w:p>
        </w:tc>
        <w:tc>
          <w:tcPr>
            <w:tcW w:w="270" w:type="dxa"/>
            <w:tcBorders/>
          </w:tcPr>
          <w:p>
            <w:pPr>
              <w:pStyle w:val="Normal"/>
              <w:widowControl/>
              <w:snapToGrid w:val="false"/>
              <w:rPr>
                <w:sz w:val="24"/>
                <w:szCs w:val="24"/>
              </w:rPr>
            </w:pPr>
            <w:r>
              <w:rPr>
                <w:sz w:val="24"/>
                <w:szCs w:val="24"/>
              </w:rPr>
            </w:r>
          </w:p>
        </w:tc>
        <w:tc>
          <w:tcPr>
            <w:tcW w:w="5400" w:type="dxa"/>
            <w:tcBorders/>
          </w:tcPr>
          <w:p>
            <w:pPr>
              <w:pStyle w:val="Normal"/>
              <w:widowControl/>
              <w:rPr>
                <w:sz w:val="24"/>
                <w:szCs w:val="24"/>
              </w:rPr>
            </w:pPr>
            <w:r>
              <w:rPr>
                <w:sz w:val="24"/>
                <w:szCs w:val="24"/>
              </w:rPr>
              <w:t>Bank of New York (SWIFT Code IRVTUS3N)</w:t>
            </w:r>
          </w:p>
        </w:tc>
      </w:tr>
      <w:tr>
        <w:trPr>
          <w:trHeight w:val="360" w:hRule="exact"/>
        </w:trPr>
        <w:tc>
          <w:tcPr>
            <w:tcW w:w="2430" w:type="dxa"/>
            <w:tcBorders/>
          </w:tcPr>
          <w:p>
            <w:pPr>
              <w:pStyle w:val="Normal"/>
              <w:widowControl/>
              <w:jc w:val="end"/>
              <w:rPr>
                <w:sz w:val="24"/>
                <w:szCs w:val="24"/>
              </w:rPr>
            </w:pPr>
            <w:r>
              <w:rPr>
                <w:sz w:val="24"/>
                <w:szCs w:val="24"/>
              </w:rPr>
              <w:t>Address:</w:t>
            </w:r>
          </w:p>
        </w:tc>
        <w:tc>
          <w:tcPr>
            <w:tcW w:w="270" w:type="dxa"/>
            <w:tcBorders/>
          </w:tcPr>
          <w:p>
            <w:pPr>
              <w:pStyle w:val="Normal"/>
              <w:widowControl/>
              <w:snapToGrid w:val="false"/>
              <w:rPr>
                <w:sz w:val="24"/>
                <w:szCs w:val="24"/>
              </w:rPr>
            </w:pPr>
            <w:r>
              <w:rPr>
                <w:sz w:val="24"/>
                <w:szCs w:val="24"/>
              </w:rPr>
            </w:r>
          </w:p>
        </w:tc>
        <w:tc>
          <w:tcPr>
            <w:tcW w:w="5400" w:type="dxa"/>
            <w:tcBorders/>
          </w:tcPr>
          <w:p>
            <w:pPr>
              <w:pStyle w:val="Normal"/>
              <w:widowControl/>
              <w:rPr>
                <w:sz w:val="24"/>
                <w:szCs w:val="24"/>
              </w:rPr>
            </w:pPr>
            <w:r>
              <w:rPr>
                <w:sz w:val="24"/>
                <w:szCs w:val="24"/>
              </w:rPr>
              <w:t>New York, NY</w:t>
            </w:r>
          </w:p>
        </w:tc>
      </w:tr>
      <w:tr>
        <w:trPr>
          <w:trHeight w:val="360" w:hRule="exact"/>
        </w:trPr>
        <w:tc>
          <w:tcPr>
            <w:tcW w:w="2430" w:type="dxa"/>
            <w:tcBorders/>
          </w:tcPr>
          <w:p>
            <w:pPr>
              <w:pStyle w:val="Normal"/>
              <w:widowControl/>
              <w:jc w:val="end"/>
              <w:rPr>
                <w:sz w:val="24"/>
                <w:szCs w:val="24"/>
              </w:rPr>
            </w:pPr>
            <w:r>
              <w:rPr>
                <w:sz w:val="24"/>
                <w:szCs w:val="24"/>
              </w:rPr>
              <w:t>ABA #:</w:t>
            </w:r>
          </w:p>
        </w:tc>
        <w:tc>
          <w:tcPr>
            <w:tcW w:w="270" w:type="dxa"/>
            <w:tcBorders/>
          </w:tcPr>
          <w:p>
            <w:pPr>
              <w:pStyle w:val="Normal"/>
              <w:widowControl/>
              <w:snapToGrid w:val="false"/>
              <w:rPr>
                <w:sz w:val="24"/>
                <w:szCs w:val="24"/>
              </w:rPr>
            </w:pPr>
            <w:r>
              <w:rPr>
                <w:sz w:val="24"/>
                <w:szCs w:val="24"/>
              </w:rPr>
            </w:r>
          </w:p>
        </w:tc>
        <w:tc>
          <w:tcPr>
            <w:tcW w:w="5400" w:type="dxa"/>
            <w:tcBorders/>
          </w:tcPr>
          <w:p>
            <w:pPr>
              <w:pStyle w:val="Normal"/>
              <w:widowControl/>
              <w:rPr>
                <w:sz w:val="24"/>
                <w:szCs w:val="24"/>
              </w:rPr>
            </w:pPr>
            <w:r>
              <w:rPr>
                <w:sz w:val="24"/>
                <w:szCs w:val="24"/>
              </w:rPr>
              <w:t>021-000-018</w:t>
            </w:r>
          </w:p>
        </w:tc>
      </w:tr>
      <w:tr>
        <w:trPr>
          <w:trHeight w:val="362" w:hRule="exact"/>
        </w:trPr>
        <w:tc>
          <w:tcPr>
            <w:tcW w:w="2430" w:type="dxa"/>
            <w:tcBorders/>
          </w:tcPr>
          <w:p>
            <w:pPr>
              <w:pStyle w:val="Normal"/>
              <w:widowControl/>
              <w:jc w:val="end"/>
              <w:rPr>
                <w:sz w:val="24"/>
                <w:szCs w:val="24"/>
              </w:rPr>
            </w:pPr>
            <w:r>
              <w:rPr>
                <w:sz w:val="24"/>
                <w:szCs w:val="24"/>
              </w:rPr>
              <w:t>For Credit To:</w:t>
            </w:r>
          </w:p>
        </w:tc>
        <w:tc>
          <w:tcPr>
            <w:tcW w:w="270" w:type="dxa"/>
            <w:tcBorders/>
          </w:tcPr>
          <w:p>
            <w:pPr>
              <w:pStyle w:val="Normal"/>
              <w:widowControl/>
              <w:snapToGrid w:val="false"/>
              <w:rPr>
                <w:sz w:val="24"/>
                <w:szCs w:val="24"/>
              </w:rPr>
            </w:pPr>
            <w:r>
              <w:rPr>
                <w:sz w:val="24"/>
                <w:szCs w:val="24"/>
              </w:rPr>
            </w:r>
          </w:p>
        </w:tc>
        <w:tc>
          <w:tcPr>
            <w:tcW w:w="5400" w:type="dxa"/>
            <w:tcBorders/>
          </w:tcPr>
          <w:p>
            <w:pPr>
              <w:pStyle w:val="Normal"/>
              <w:widowControl/>
              <w:rPr>
                <w:sz w:val="24"/>
                <w:szCs w:val="24"/>
              </w:rPr>
            </w:pPr>
            <w:r>
              <w:rPr>
                <w:sz w:val="24"/>
                <w:szCs w:val="24"/>
              </w:rPr>
              <w:t>Canadian Imperial Bank of Commerce, NY Branch</w:t>
            </w:r>
          </w:p>
        </w:tc>
      </w:tr>
      <w:tr>
        <w:trPr>
          <w:trHeight w:val="360" w:hRule="exact"/>
        </w:trPr>
        <w:tc>
          <w:tcPr>
            <w:tcW w:w="2430" w:type="dxa"/>
            <w:tcBorders/>
          </w:tcPr>
          <w:p>
            <w:pPr>
              <w:pStyle w:val="Normal"/>
              <w:widowControl/>
              <w:jc w:val="end"/>
              <w:rPr>
                <w:sz w:val="24"/>
                <w:szCs w:val="24"/>
              </w:rPr>
            </w:pPr>
            <w:r>
              <w:rPr>
                <w:sz w:val="24"/>
                <w:szCs w:val="24"/>
              </w:rPr>
              <w:t>Account No.:</w:t>
            </w:r>
          </w:p>
        </w:tc>
        <w:tc>
          <w:tcPr>
            <w:tcW w:w="270" w:type="dxa"/>
            <w:tcBorders/>
          </w:tcPr>
          <w:p>
            <w:pPr>
              <w:pStyle w:val="Normal"/>
              <w:widowControl/>
              <w:snapToGrid w:val="false"/>
              <w:rPr>
                <w:sz w:val="24"/>
                <w:szCs w:val="24"/>
              </w:rPr>
            </w:pPr>
            <w:r>
              <w:rPr>
                <w:sz w:val="24"/>
                <w:szCs w:val="24"/>
              </w:rPr>
            </w:r>
          </w:p>
        </w:tc>
        <w:tc>
          <w:tcPr>
            <w:tcW w:w="5400" w:type="dxa"/>
            <w:tcBorders/>
          </w:tcPr>
          <w:p>
            <w:pPr>
              <w:pStyle w:val="Normal"/>
              <w:widowControl/>
              <w:rPr>
                <w:sz w:val="24"/>
                <w:szCs w:val="24"/>
              </w:rPr>
            </w:pPr>
            <w:r>
              <w:rPr>
                <w:sz w:val="24"/>
                <w:szCs w:val="24"/>
              </w:rPr>
              <w:t>8900331046</w:t>
            </w:r>
          </w:p>
        </w:tc>
      </w:tr>
      <w:tr>
        <w:trPr>
          <w:trHeight w:val="360" w:hRule="exact"/>
        </w:trPr>
        <w:tc>
          <w:tcPr>
            <w:tcW w:w="2430" w:type="dxa"/>
            <w:tcBorders/>
          </w:tcPr>
          <w:p>
            <w:pPr>
              <w:pStyle w:val="Normal"/>
              <w:widowControl/>
              <w:jc w:val="end"/>
              <w:rPr>
                <w:sz w:val="24"/>
                <w:szCs w:val="24"/>
              </w:rPr>
            </w:pPr>
            <w:r>
              <w:rPr>
                <w:sz w:val="24"/>
                <w:szCs w:val="24"/>
              </w:rPr>
              <w:t>or Further Credit To:</w:t>
            </w:r>
          </w:p>
        </w:tc>
        <w:tc>
          <w:tcPr>
            <w:tcW w:w="270" w:type="dxa"/>
            <w:tcBorders/>
          </w:tcPr>
          <w:p>
            <w:pPr>
              <w:pStyle w:val="Normal"/>
              <w:widowControl/>
              <w:snapToGrid w:val="false"/>
              <w:rPr>
                <w:sz w:val="24"/>
                <w:szCs w:val="24"/>
              </w:rPr>
            </w:pPr>
            <w:r>
              <w:rPr>
                <w:sz w:val="24"/>
                <w:szCs w:val="24"/>
              </w:rPr>
            </w:r>
          </w:p>
        </w:tc>
        <w:tc>
          <w:tcPr>
            <w:tcW w:w="5400" w:type="dxa"/>
            <w:tcBorders/>
          </w:tcPr>
          <w:p>
            <w:pPr>
              <w:pStyle w:val="Normal"/>
              <w:widowControl/>
              <w:rPr>
                <w:sz w:val="24"/>
                <w:szCs w:val="24"/>
              </w:rPr>
            </w:pPr>
            <w:r>
              <w:rPr>
                <w:sz w:val="24"/>
                <w:szCs w:val="24"/>
              </w:rPr>
              <w:t>Agented Loans</w:t>
            </w:r>
          </w:p>
        </w:tc>
      </w:tr>
      <w:tr>
        <w:trPr>
          <w:trHeight w:val="360" w:hRule="exact"/>
        </w:trPr>
        <w:tc>
          <w:tcPr>
            <w:tcW w:w="2430" w:type="dxa"/>
            <w:tcBorders/>
          </w:tcPr>
          <w:p>
            <w:pPr>
              <w:pStyle w:val="Normal"/>
              <w:widowControl/>
              <w:jc w:val="end"/>
              <w:rPr>
                <w:sz w:val="24"/>
                <w:szCs w:val="24"/>
              </w:rPr>
            </w:pPr>
            <w:r>
              <w:rPr>
                <w:sz w:val="24"/>
                <w:szCs w:val="24"/>
              </w:rPr>
              <w:t>Account No.:</w:t>
            </w:r>
          </w:p>
        </w:tc>
        <w:tc>
          <w:tcPr>
            <w:tcW w:w="270" w:type="dxa"/>
            <w:tcBorders/>
          </w:tcPr>
          <w:p>
            <w:pPr>
              <w:pStyle w:val="Normal"/>
              <w:widowControl/>
              <w:snapToGrid w:val="false"/>
              <w:rPr>
                <w:sz w:val="24"/>
                <w:szCs w:val="24"/>
              </w:rPr>
            </w:pPr>
            <w:r>
              <w:rPr>
                <w:sz w:val="24"/>
                <w:szCs w:val="24"/>
              </w:rPr>
            </w:r>
          </w:p>
        </w:tc>
        <w:tc>
          <w:tcPr>
            <w:tcW w:w="5400" w:type="dxa"/>
            <w:tcBorders/>
          </w:tcPr>
          <w:p>
            <w:pPr>
              <w:pStyle w:val="Normal"/>
              <w:widowControl/>
              <w:rPr>
                <w:sz w:val="24"/>
                <w:szCs w:val="24"/>
              </w:rPr>
            </w:pPr>
            <w:r>
              <w:rPr>
                <w:sz w:val="24"/>
                <w:szCs w:val="24"/>
              </w:rPr>
              <w:t>0709611</w:t>
            </w:r>
          </w:p>
        </w:tc>
      </w:tr>
      <w:tr>
        <w:trPr>
          <w:trHeight w:val="360" w:hRule="exact"/>
        </w:trPr>
        <w:tc>
          <w:tcPr>
            <w:tcW w:w="2430" w:type="dxa"/>
            <w:tcBorders/>
          </w:tcPr>
          <w:p>
            <w:pPr>
              <w:pStyle w:val="Normal"/>
              <w:widowControl/>
              <w:jc w:val="end"/>
              <w:rPr>
                <w:sz w:val="24"/>
                <w:szCs w:val="24"/>
              </w:rPr>
            </w:pPr>
            <w:r>
              <w:rPr>
                <w:sz w:val="24"/>
                <w:szCs w:val="24"/>
              </w:rPr>
              <w:t>Attention:</w:t>
            </w:r>
          </w:p>
        </w:tc>
        <w:tc>
          <w:tcPr>
            <w:tcW w:w="270" w:type="dxa"/>
            <w:tcBorders/>
          </w:tcPr>
          <w:p>
            <w:pPr>
              <w:pStyle w:val="Normal"/>
              <w:widowControl/>
              <w:snapToGrid w:val="false"/>
              <w:rPr>
                <w:sz w:val="24"/>
                <w:szCs w:val="24"/>
              </w:rPr>
            </w:pPr>
            <w:r>
              <w:rPr>
                <w:sz w:val="24"/>
                <w:szCs w:val="24"/>
              </w:rPr>
            </w:r>
          </w:p>
        </w:tc>
        <w:tc>
          <w:tcPr>
            <w:tcW w:w="5400" w:type="dxa"/>
            <w:tcBorders/>
          </w:tcPr>
          <w:p>
            <w:pPr>
              <w:pStyle w:val="Normal"/>
              <w:widowControl/>
              <w:rPr>
                <w:sz w:val="24"/>
                <w:szCs w:val="24"/>
              </w:rPr>
            </w:pPr>
            <w:r>
              <w:rPr>
                <w:sz w:val="24"/>
                <w:szCs w:val="24"/>
              </w:rPr>
              <w:t>Agency Services</w:t>
            </w:r>
          </w:p>
        </w:tc>
      </w:tr>
      <w:tr>
        <w:trPr>
          <w:trHeight w:val="360" w:hRule="exact"/>
        </w:trPr>
        <w:tc>
          <w:tcPr>
            <w:tcW w:w="2430" w:type="dxa"/>
            <w:tcBorders/>
          </w:tcPr>
          <w:p>
            <w:pPr>
              <w:pStyle w:val="Normal"/>
              <w:widowControl/>
              <w:jc w:val="end"/>
              <w:rPr>
                <w:sz w:val="24"/>
                <w:szCs w:val="24"/>
              </w:rPr>
            </w:pPr>
            <w:r>
              <w:rPr>
                <w:sz w:val="24"/>
                <w:szCs w:val="24"/>
              </w:rPr>
              <w:t>Reference:</w:t>
            </w:r>
          </w:p>
        </w:tc>
        <w:tc>
          <w:tcPr>
            <w:tcW w:w="270" w:type="dxa"/>
            <w:tcBorders/>
          </w:tcPr>
          <w:p>
            <w:pPr>
              <w:pStyle w:val="Normal"/>
              <w:widowControl/>
              <w:snapToGrid w:val="false"/>
              <w:rPr>
                <w:sz w:val="24"/>
                <w:szCs w:val="24"/>
              </w:rPr>
            </w:pPr>
            <w:r>
              <w:rPr>
                <w:sz w:val="24"/>
                <w:szCs w:val="24"/>
              </w:rPr>
            </w:r>
          </w:p>
        </w:tc>
        <w:tc>
          <w:tcPr>
            <w:tcW w:w="5400" w:type="dxa"/>
            <w:tcBorders/>
          </w:tcPr>
          <w:p>
            <w:pPr>
              <w:pStyle w:val="Normal"/>
              <w:widowControl/>
              <w:rPr>
                <w:sz w:val="24"/>
                <w:szCs w:val="24"/>
              </w:rPr>
            </w:pPr>
            <w:r>
              <w:rPr>
                <w:sz w:val="24"/>
                <w:szCs w:val="24"/>
              </w:rPr>
              <w:t>Hawaii II 125-0</w:t>
            </w:r>
          </w:p>
        </w:tc>
      </w:tr>
      <w:tr>
        <w:trPr>
          <w:trHeight w:val="360" w:hRule="exact"/>
        </w:trPr>
        <w:tc>
          <w:tcPr>
            <w:tcW w:w="2430" w:type="dxa"/>
            <w:tcBorders/>
          </w:tcPr>
          <w:p>
            <w:pPr>
              <w:pStyle w:val="Normal"/>
              <w:widowControl/>
              <w:snapToGrid w:val="false"/>
              <w:jc w:val="end"/>
              <w:rPr>
                <w:sz w:val="24"/>
                <w:szCs w:val="24"/>
              </w:rPr>
            </w:pPr>
            <w:r>
              <w:rPr>
                <w:sz w:val="24"/>
                <w:szCs w:val="24"/>
              </w:rPr>
            </w:r>
          </w:p>
        </w:tc>
        <w:tc>
          <w:tcPr>
            <w:tcW w:w="270" w:type="dxa"/>
            <w:tcBorders/>
          </w:tcPr>
          <w:p>
            <w:pPr>
              <w:pStyle w:val="Normal"/>
              <w:widowControl/>
              <w:snapToGrid w:val="false"/>
              <w:rPr>
                <w:sz w:val="24"/>
                <w:szCs w:val="24"/>
              </w:rPr>
            </w:pPr>
            <w:r>
              <w:rPr>
                <w:sz w:val="24"/>
                <w:szCs w:val="24"/>
              </w:rPr>
            </w:r>
          </w:p>
        </w:tc>
        <w:tc>
          <w:tcPr>
            <w:tcW w:w="5400" w:type="dxa"/>
            <w:tcBorders/>
          </w:tcPr>
          <w:p>
            <w:pPr>
              <w:pStyle w:val="Normal"/>
              <w:widowControl/>
              <w:snapToGrid w:val="false"/>
              <w:rPr>
                <w:sz w:val="24"/>
                <w:szCs w:val="24"/>
              </w:rPr>
            </w:pPr>
            <w:r>
              <w:rPr>
                <w:sz w:val="24"/>
                <w:szCs w:val="24"/>
              </w:rPr>
            </w:r>
          </w:p>
        </w:tc>
      </w:tr>
    </w:tbl>
    <w:p>
      <w:pPr>
        <w:pStyle w:val="Normal"/>
        <w:widowControl/>
        <w:jc w:val="both"/>
        <w:rPr>
          <w:sz w:val="24"/>
          <w:szCs w:val="24"/>
        </w:rPr>
      </w:pPr>
      <w:r>
        <w:rPr>
          <w:sz w:val="24"/>
          <w:szCs w:val="24"/>
        </w:rPr>
      </w:r>
    </w:p>
    <w:p>
      <w:pPr>
        <w:pStyle w:val="a"/>
        <w:widowControl/>
        <w:numPr>
          <w:ilvl w:val="2"/>
          <w:numId w:val="37"/>
        </w:numPr>
        <w:tabs>
          <w:tab w:val="clear" w:pos="720"/>
          <w:tab w:val="left" w:pos="0" w:leader="none"/>
        </w:tabs>
        <w:ind w:hanging="0" w:start="0"/>
        <w:jc w:val="both"/>
        <w:rPr/>
      </w:pPr>
      <w:r>
        <w:rPr/>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a"/>
        <w:keepNext w:val="true"/>
        <w:widowControl/>
        <w:numPr>
          <w:ilvl w:val="2"/>
          <w:numId w:val="37"/>
        </w:numPr>
        <w:tabs>
          <w:tab w:val="clear" w:pos="720"/>
          <w:tab w:val="left" w:pos="0" w:leader="none"/>
        </w:tabs>
        <w:ind w:hanging="0" w:start="0"/>
        <w:jc w:val="both"/>
        <w:rPr/>
      </w:pPr>
      <w:r>
        <w:rPr/>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keepNext w:val="true"/>
        <w:keepLines/>
        <w:widowControl/>
        <w:numPr>
          <w:ilvl w:val="1"/>
          <w:numId w:val="37"/>
        </w:numPr>
        <w:tabs>
          <w:tab w:val="clear" w:pos="720"/>
          <w:tab w:val="left" w:pos="0" w:leader="none"/>
        </w:tabs>
        <w:ind w:hanging="0" w:start="0"/>
        <w:jc w:val="both"/>
        <w:rPr/>
      </w:pPr>
      <w:r>
        <w:rPr>
          <w:rStyle w:val="SectionHead"/>
          <w:sz w:val="24"/>
          <w:szCs w:val="24"/>
        </w:rPr>
        <w:tab/>
        <w:t xml:space="preserve">Section     No Deductions </w:t>
      </w:r>
      <w:ins w:id="87" w:author="foobar" w:date="2000-11-09T12:47:00Z">
        <w:r>
          <w:fldChar w:fldCharType="begin"/>
        </w:r>
        <w:r>
          <w:rPr/>
          <w:instrText xml:space="preserve"> TC "Section     No Deductions " \l 2 </w:instrText>
        </w:r>
      </w:ins>
      <w:r>
        <w:rPr/>
        <w:fldChar w:fldCharType="separate"/>
      </w:r>
      <w:ins w:id="88" w:author="foobar" w:date="2000-11-09T12:47:00Z">
        <w:r>
          <w:rPr/>
        </w:r>
      </w:ins>
      <w:r>
        <w:rPr/>
        <w:fldChar w:fldCharType="end"/>
      </w:r>
      <w:r>
        <w:rPr>
          <w:sz w:val="24"/>
          <w:szCs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widowControl/>
        <w:jc w:val="both"/>
        <w:rPr>
          <w:sz w:val="24"/>
          <w:szCs w:val="24"/>
        </w:rPr>
      </w:pPr>
      <w:r>
        <w:rPr>
          <w:sz w:val="24"/>
          <w:szCs w:val="24"/>
        </w:rPr>
      </w:r>
    </w:p>
    <w:p>
      <w:pPr>
        <w:pStyle w:val="Normal"/>
        <w:keepLines/>
        <w:widowControl/>
        <w:numPr>
          <w:ilvl w:val="1"/>
          <w:numId w:val="38"/>
        </w:numPr>
        <w:tabs>
          <w:tab w:val="clear" w:pos="720"/>
          <w:tab w:val="left" w:pos="0" w:leader="none"/>
        </w:tabs>
        <w:ind w:hanging="0" w:start="0"/>
        <w:jc w:val="both"/>
        <w:rPr/>
      </w:pPr>
      <w:r>
        <w:rPr>
          <w:rStyle w:val="SectionHead"/>
          <w:sz w:val="24"/>
          <w:szCs w:val="24"/>
        </w:rPr>
        <w:tab/>
        <w:t xml:space="preserve">Section     Payments on Business Days </w:t>
      </w:r>
      <w:ins w:id="89" w:author="foobar" w:date="2000-11-09T12:47:00Z">
        <w:r>
          <w:fldChar w:fldCharType="begin"/>
        </w:r>
        <w:r>
          <w:rPr/>
          <w:instrText xml:space="preserve"> TC "Section     Payments on Business Days " \l 2 </w:instrText>
        </w:r>
      </w:ins>
      <w:r>
        <w:rPr/>
        <w:fldChar w:fldCharType="separate"/>
      </w:r>
      <w:ins w:id="90" w:author="foobar" w:date="2000-11-09T12:47:00Z">
        <w:r>
          <w:rPr/>
        </w:r>
      </w:ins>
      <w:r>
        <w:rPr/>
        <w:fldChar w:fldCharType="end"/>
      </w:r>
      <w:r>
        <w:rPr>
          <w:sz w:val="24"/>
          <w:szCs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widowControl/>
        <w:jc w:val="both"/>
        <w:rPr>
          <w:sz w:val="24"/>
          <w:szCs w:val="24"/>
        </w:rPr>
      </w:pPr>
      <w:r>
        <w:rPr>
          <w:sz w:val="24"/>
          <w:szCs w:val="24"/>
        </w:rPr>
      </w:r>
    </w:p>
    <w:p>
      <w:pPr>
        <w:pStyle w:val="Normal"/>
        <w:keepNext w:val="true"/>
        <w:keepLines/>
        <w:widowControl/>
        <w:numPr>
          <w:ilvl w:val="1"/>
          <w:numId w:val="39"/>
        </w:numPr>
        <w:tabs>
          <w:tab w:val="clear" w:pos="720"/>
          <w:tab w:val="left" w:pos="0" w:leader="none"/>
        </w:tabs>
        <w:ind w:hanging="0" w:start="0"/>
        <w:jc w:val="both"/>
        <w:rPr/>
      </w:pPr>
      <w:r>
        <w:rPr>
          <w:rStyle w:val="SectionHead"/>
          <w:sz w:val="24"/>
          <w:szCs w:val="24"/>
        </w:rPr>
        <w:tab/>
        <w:t xml:space="preserve">Section     Accounts </w:t>
      </w:r>
      <w:ins w:id="91" w:author="foobar" w:date="2000-11-09T12:47:00Z">
        <w:r>
          <w:fldChar w:fldCharType="begin"/>
        </w:r>
        <w:r>
          <w:rPr/>
          <w:instrText xml:space="preserve"> TC "Section     Accounts " \l 2 </w:instrText>
        </w:r>
      </w:ins>
      <w:r>
        <w:rPr/>
        <w:fldChar w:fldCharType="separate"/>
      </w:r>
      <w:ins w:id="92" w:author="foobar" w:date="2000-11-09T12:47:00Z">
        <w:r>
          <w:rPr/>
        </w:r>
      </w:ins>
      <w:r>
        <w:rPr/>
        <w:fldChar w:fldCharType="end"/>
      </w:r>
      <w:r>
        <w:rPr>
          <w:sz w:val="24"/>
          <w:szCs w:val="24"/>
        </w:rPr>
        <w:t xml:space="preserve">.  </w:t>
      </w:r>
    </w:p>
    <w:p>
      <w:pPr>
        <w:pStyle w:val="Normal"/>
        <w:keepNext w:val="true"/>
        <w:keepLines/>
        <w:widowControl/>
        <w:numPr>
          <w:ilvl w:val="1"/>
          <w:numId w:val="39"/>
        </w:numPr>
        <w:tabs>
          <w:tab w:val="clear" w:pos="720"/>
          <w:tab w:val="left" w:pos="0" w:leader="none"/>
        </w:tabs>
        <w:ind w:hanging="0" w:start="0"/>
        <w:jc w:val="both"/>
        <w:rPr>
          <w:sz w:val="24"/>
          <w:szCs w:val="24"/>
        </w:rPr>
      </w:pPr>
      <w:r>
        <w:rPr>
          <w:sz w:val="24"/>
          <w:szCs w:val="24"/>
        </w:rPr>
      </w:r>
    </w:p>
    <w:p>
      <w:pPr>
        <w:pStyle w:val="a"/>
        <w:keepLines/>
        <w:widowControl/>
        <w:numPr>
          <w:ilvl w:val="2"/>
          <w:numId w:val="39"/>
        </w:numPr>
        <w:tabs>
          <w:tab w:val="clear" w:pos="720"/>
          <w:tab w:val="left" w:pos="0" w:leader="none"/>
        </w:tabs>
        <w:ind w:hanging="0" w:start="0"/>
        <w:jc w:val="both"/>
        <w:rPr/>
      </w:pPr>
      <w:r>
        <w:rPr/>
        <w:tab/>
        <w:t xml:space="preserve">Each Lender shall maintain an account recording the amount advanced by, owing to and paid to such Lender pursuant to the Finance Documents, which shall in the absence of manifest error, as between such Lender and the Trust, be </w:t>
      </w:r>
      <w:r>
        <w:rPr>
          <w:i/>
          <w:iCs/>
        </w:rPr>
        <w:t>prima facie</w:t>
      </w:r>
      <w:r>
        <w:rPr/>
        <w:t xml:space="preserve"> evidence of such amounts; provided that failure to maintain any such account shall not relieve the Trust of its obligations.</w:t>
      </w:r>
    </w:p>
    <w:p>
      <w:pPr>
        <w:pStyle w:val="a"/>
        <w:keepNext w:val="true"/>
        <w:widowControl/>
        <w:numPr>
          <w:ilvl w:val="2"/>
          <w:numId w:val="39"/>
        </w:numPr>
        <w:tabs>
          <w:tab w:val="clear" w:pos="720"/>
          <w:tab w:val="left" w:pos="0" w:leader="none"/>
        </w:tabs>
        <w:ind w:hanging="0" w:start="0"/>
        <w:jc w:val="both"/>
        <w:rPr/>
      </w:pPr>
      <w:r>
        <w:rPr/>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widowControl/>
        <w:numPr>
          <w:ilvl w:val="1"/>
          <w:numId w:val="39"/>
        </w:numPr>
        <w:tabs>
          <w:tab w:val="clear" w:pos="720"/>
          <w:tab w:val="left" w:pos="0" w:leader="none"/>
        </w:tabs>
        <w:ind w:hanging="0" w:start="0"/>
        <w:jc w:val="both"/>
        <w:rPr/>
      </w:pPr>
      <w:r>
        <w:rPr>
          <w:rStyle w:val="SectionHead"/>
          <w:sz w:val="24"/>
          <w:szCs w:val="24"/>
        </w:rPr>
        <w:tab/>
        <w:t xml:space="preserve">Section     Currency </w:t>
      </w:r>
      <w:ins w:id="93" w:author="foobar" w:date="2000-11-09T12:47:00Z">
        <w:r>
          <w:fldChar w:fldCharType="begin"/>
        </w:r>
        <w:r>
          <w:rPr/>
          <w:instrText xml:space="preserve"> TC "Section     Currency " \l 2 </w:instrText>
        </w:r>
      </w:ins>
      <w:r>
        <w:rPr/>
        <w:fldChar w:fldCharType="separate"/>
      </w:r>
      <w:ins w:id="94" w:author="foobar" w:date="2000-11-09T12:47:00Z">
        <w:r>
          <w:rPr/>
        </w:r>
      </w:ins>
      <w:r>
        <w:rPr/>
        <w:fldChar w:fldCharType="end"/>
      </w:r>
      <w:r>
        <w:rPr>
          <w:sz w:val="24"/>
          <w:szCs w:val="24"/>
        </w:rPr>
        <w:t>.  All amounts payable by the Trust under this Agreement shall be paid in Dollars.</w:t>
      </w:r>
    </w:p>
    <w:p>
      <w:pPr>
        <w:pStyle w:val="Normal"/>
        <w:keepNext w:val="true"/>
        <w:keepLines/>
        <w:widowControl/>
        <w:jc w:val="both"/>
        <w:rPr>
          <w:sz w:val="24"/>
          <w:szCs w:val="24"/>
        </w:rPr>
      </w:pPr>
      <w:r>
        <w:rPr>
          <w:sz w:val="24"/>
          <w:szCs w:val="24"/>
        </w:rPr>
      </w:r>
    </w:p>
    <w:p>
      <w:pPr>
        <w:pStyle w:val="ARTICLE"/>
        <w:keepNext w:val="true"/>
        <w:keepLines/>
        <w:widowControl/>
        <w:numPr>
          <w:ilvl w:val="0"/>
          <w:numId w:val="40"/>
        </w:numPr>
        <w:tabs>
          <w:tab w:val="clear" w:pos="720"/>
          <w:tab w:val="left" w:pos="0" w:leader="none"/>
        </w:tabs>
        <w:ind w:hanging="0" w:start="1440"/>
        <w:rPr/>
      </w:pPr>
      <w:r>
        <w:rPr>
          <w:b/>
          <w:bCs/>
        </w:rPr>
        <w:t xml:space="preserve">ARTICLE </w:t>
      </w:r>
      <w:r>
        <w:rPr>
          <w:b/>
          <w:bCs/>
          <w:u w:val="single"/>
        </w:rPr>
        <w:t>CERTIFICATES CONCLUSIVE</w:t>
      </w:r>
      <w:ins w:id="95" w:author="foobar" w:date="2000-11-09T12:47:00Z">
        <w:r>
          <w:fldChar w:fldCharType="begin"/>
        </w:r>
        <w:r>
          <w:rPr/>
          <w:instrText xml:space="preserve"> TC "ARTICLE CERTIFICATES CONCLUSIVE" \l 1 </w:instrText>
        </w:r>
      </w:ins>
      <w:r>
        <w:rPr/>
        <w:fldChar w:fldCharType="separate"/>
      </w:r>
      <w:ins w:id="96" w:author="foobar" w:date="2000-11-09T12:47:00Z">
        <w:r>
          <w:rPr/>
        </w:r>
      </w:ins>
      <w:r>
        <w:rPr/>
        <w:fldChar w:fldCharType="end"/>
      </w:r>
    </w:p>
    <w:p>
      <w:pPr>
        <w:pStyle w:val="ARTICLE"/>
        <w:keepNext w:val="true"/>
        <w:keepLines/>
        <w:widowControl/>
        <w:ind w:start="0" w:end="0"/>
        <w:jc w:val="both"/>
        <w:rPr/>
      </w:pPr>
      <w:r>
        <w:rPr/>
      </w:r>
    </w:p>
    <w:p>
      <w:pPr>
        <w:pStyle w:val="ARTICLE"/>
        <w:keepNext w:val="true"/>
        <w:keepLines/>
        <w:widowControl/>
        <w:ind w:start="0" w:end="0"/>
        <w:jc w:val="both"/>
        <w:rPr/>
      </w:pPr>
      <w:r>
        <w:rPr/>
        <w:tab/>
        <w:t>A certificate, determination, notification or opinion of any Finance Party or any Lender provided for in any Finance Document shall be conclusive except in the case of manifest error.</w:t>
      </w:r>
    </w:p>
    <w:p>
      <w:pPr>
        <w:pStyle w:val="ARTICLE"/>
        <w:keepNext w:val="true"/>
        <w:keepLines/>
        <w:widowControl/>
        <w:ind w:start="0" w:end="0"/>
        <w:jc w:val="both"/>
        <w:rPr/>
      </w:pPr>
      <w:r>
        <w:rPr/>
      </w:r>
    </w:p>
    <w:p>
      <w:pPr>
        <w:pStyle w:val="Normal"/>
        <w:keepNext w:val="true"/>
        <w:keepLines/>
        <w:widowControl/>
        <w:jc w:val="both"/>
        <w:rPr>
          <w:sz w:val="24"/>
          <w:szCs w:val="24"/>
        </w:rPr>
      </w:pPr>
      <w:r>
        <w:rPr>
          <w:sz w:val="24"/>
          <w:szCs w:val="24"/>
        </w:rPr>
      </w:r>
    </w:p>
    <w:p>
      <w:pPr>
        <w:pStyle w:val="ARTICLE"/>
        <w:keepNext w:val="true"/>
        <w:keepLines/>
        <w:widowControl/>
        <w:numPr>
          <w:ilvl w:val="0"/>
          <w:numId w:val="41"/>
        </w:numPr>
        <w:tabs>
          <w:tab w:val="clear" w:pos="720"/>
          <w:tab w:val="left" w:pos="0" w:leader="none"/>
        </w:tabs>
        <w:ind w:hanging="0" w:start="1440"/>
        <w:rPr/>
      </w:pPr>
      <w:r>
        <w:rPr>
          <w:b/>
          <w:bCs/>
        </w:rPr>
        <w:t>ARTICLE REPRESENTATIONS AND WARRANTIES</w:t>
      </w:r>
      <w:ins w:id="97" w:author="foobar" w:date="2000-11-09T12:47:00Z">
        <w:r>
          <w:fldChar w:fldCharType="begin"/>
        </w:r>
        <w:r>
          <w:rPr/>
          <w:instrText xml:space="preserve"> TC "ARTICLE REPRESENTATIONS AND WARRANTIES" \l 1 </w:instrText>
        </w:r>
      </w:ins>
      <w:r>
        <w:rPr/>
        <w:fldChar w:fldCharType="separate"/>
      </w:r>
      <w:ins w:id="98" w:author="foobar" w:date="2000-11-09T12:47:00Z">
        <w:r>
          <w:rPr/>
        </w:r>
      </w:ins>
      <w:r>
        <w:rPr/>
        <w:fldChar w:fldCharType="end"/>
      </w:r>
    </w:p>
    <w:p>
      <w:pPr>
        <w:pStyle w:val="ARTICLE"/>
        <w:keepNext w:val="true"/>
        <w:keepLines/>
        <w:widowControl/>
        <w:ind w:start="0" w:end="0"/>
        <w:jc w:val="both"/>
        <w:rPr/>
      </w:pPr>
      <w:r>
        <w:rPr/>
      </w:r>
    </w:p>
    <w:p>
      <w:pPr>
        <w:pStyle w:val="Normal"/>
        <w:keepNext w:val="true"/>
        <w:keepLines/>
        <w:widowControl/>
        <w:numPr>
          <w:ilvl w:val="1"/>
          <w:numId w:val="42"/>
        </w:numPr>
        <w:tabs>
          <w:tab w:val="clear" w:pos="720"/>
          <w:tab w:val="left" w:pos="0" w:leader="none"/>
        </w:tabs>
        <w:ind w:hanging="0" w:start="0"/>
        <w:jc w:val="both"/>
        <w:rPr/>
      </w:pPr>
      <w:r>
        <w:rPr>
          <w:rStyle w:val="SectionHead"/>
          <w:sz w:val="24"/>
          <w:szCs w:val="24"/>
        </w:rPr>
        <w:tab/>
        <w:t xml:space="preserve">Section     Reliance and Effective Time </w:t>
      </w:r>
      <w:ins w:id="99" w:author="foobar" w:date="2000-11-09T12:47:00Z">
        <w:r>
          <w:fldChar w:fldCharType="begin"/>
        </w:r>
        <w:r>
          <w:rPr/>
          <w:instrText xml:space="preserve"> TC "Section     Reliance and Effective Time " \l 2 </w:instrText>
        </w:r>
      </w:ins>
      <w:r>
        <w:rPr/>
        <w:fldChar w:fldCharType="separate"/>
      </w:r>
      <w:ins w:id="100" w:author="foobar" w:date="2000-11-09T12:47:00Z">
        <w:r>
          <w:rPr/>
        </w:r>
      </w:ins>
      <w:r>
        <w:rPr/>
        <w:fldChar w:fldCharType="end"/>
      </w:r>
      <w:r>
        <w:rPr>
          <w:sz w:val="24"/>
          <w:szCs w:val="24"/>
        </w:rPr>
        <w:t xml:space="preserve">.  </w:t>
      </w:r>
    </w:p>
    <w:p>
      <w:pPr>
        <w:pStyle w:val="Normal"/>
        <w:keepNext w:val="true"/>
        <w:keepLines/>
        <w:widowControl/>
        <w:numPr>
          <w:ilvl w:val="1"/>
          <w:numId w:val="42"/>
        </w:numPr>
        <w:tabs>
          <w:tab w:val="clear" w:pos="720"/>
          <w:tab w:val="left" w:pos="0" w:leader="none"/>
        </w:tabs>
        <w:ind w:hanging="0" w:start="0"/>
        <w:jc w:val="both"/>
        <w:rPr>
          <w:sz w:val="24"/>
          <w:szCs w:val="24"/>
        </w:rPr>
      </w:pPr>
      <w:r>
        <w:rPr>
          <w:sz w:val="24"/>
          <w:szCs w:val="24"/>
        </w:rPr>
      </w:r>
    </w:p>
    <w:p>
      <w:pPr>
        <w:pStyle w:val="a"/>
        <w:keepLines/>
        <w:widowControl/>
        <w:numPr>
          <w:ilvl w:val="2"/>
          <w:numId w:val="42"/>
        </w:numPr>
        <w:tabs>
          <w:tab w:val="clear" w:pos="720"/>
          <w:tab w:val="left" w:pos="0" w:leader="none"/>
        </w:tabs>
        <w:ind w:hanging="0" w:start="0"/>
        <w:jc w:val="both"/>
        <w:rPr/>
      </w:pPr>
      <w:r>
        <w:rPr/>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a"/>
        <w:keepNext w:val="true"/>
        <w:widowControl/>
        <w:numPr>
          <w:ilvl w:val="2"/>
          <w:numId w:val="42"/>
        </w:numPr>
        <w:tabs>
          <w:tab w:val="clear" w:pos="720"/>
          <w:tab w:val="left" w:pos="0" w:leader="none"/>
        </w:tabs>
        <w:ind w:hanging="0" w:start="0"/>
        <w:jc w:val="both"/>
        <w:rPr/>
      </w:pPr>
      <w:r>
        <w:rPr/>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widowControl/>
        <w:numPr>
          <w:ilvl w:val="1"/>
          <w:numId w:val="42"/>
        </w:numPr>
        <w:tabs>
          <w:tab w:val="clear" w:pos="720"/>
          <w:tab w:val="left" w:pos="0" w:leader="none"/>
        </w:tabs>
        <w:ind w:hanging="0" w:start="0"/>
        <w:jc w:val="both"/>
        <w:rPr>
          <w:sz w:val="24"/>
          <w:szCs w:val="24"/>
        </w:rPr>
      </w:pPr>
      <w:r>
        <w:rPr>
          <w:rStyle w:val="SectionHead"/>
          <w:sz w:val="24"/>
          <w:szCs w:val="24"/>
        </w:rPr>
        <w:tab/>
        <w:t xml:space="preserve">Section     Organization </w:t>
      </w:r>
      <w:ins w:id="101" w:author="foobar" w:date="2000-11-09T12:47:00Z">
        <w:r>
          <w:fldChar w:fldCharType="begin"/>
        </w:r>
        <w:r>
          <w:rPr/>
          <w:instrText xml:space="preserve"> TC "Section     Organization " \l 2 </w:instrText>
        </w:r>
      </w:ins>
      <w:r>
        <w:rPr/>
        <w:fldChar w:fldCharType="separate"/>
      </w:r>
      <w:ins w:id="102" w:author="foobar" w:date="2000-11-09T12:47:00Z">
        <w:r>
          <w:rPr/>
        </w:r>
      </w:ins>
      <w:r>
        <w:rPr/>
        <w:fldChar w:fldCharType="end"/>
      </w:r>
      <w:r>
        <w:rPr>
          <w:sz w:val="24"/>
          <w:szCs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bCs/>
          <w:sz w:val="24"/>
          <w:szCs w:val="24"/>
        </w:rPr>
        <w:t xml:space="preserve"> </w:t>
      </w:r>
      <w:r>
        <w:rPr>
          <w:sz w:val="24"/>
          <w:szCs w:val="24"/>
        </w:rPr>
        <w:t>and (c) each Series is a Series of the Trust duly formed pursuant to the Trust Agreement</w:t>
      </w:r>
      <w:r>
        <w:rPr>
          <w:b/>
          <w:bCs/>
          <w:sz w:val="24"/>
          <w:szCs w:val="24"/>
        </w:rPr>
        <w:t>.</w:t>
      </w:r>
    </w:p>
    <w:p>
      <w:pPr>
        <w:pStyle w:val="Normal"/>
        <w:keepNext w:val="true"/>
        <w:widowControl/>
        <w:jc w:val="both"/>
        <w:rPr>
          <w:sz w:val="24"/>
          <w:szCs w:val="24"/>
        </w:rPr>
      </w:pPr>
      <w:r>
        <w:rPr>
          <w:sz w:val="24"/>
          <w:szCs w:val="24"/>
        </w:rPr>
      </w:r>
    </w:p>
    <w:p>
      <w:pPr>
        <w:pStyle w:val="Normal"/>
        <w:keepLines/>
        <w:widowControl/>
        <w:numPr>
          <w:ilvl w:val="1"/>
          <w:numId w:val="43"/>
        </w:numPr>
        <w:tabs>
          <w:tab w:val="clear" w:pos="720"/>
          <w:tab w:val="left" w:pos="0" w:leader="none"/>
        </w:tabs>
        <w:ind w:hanging="0" w:start="0"/>
        <w:jc w:val="both"/>
        <w:rPr/>
      </w:pPr>
      <w:r>
        <w:rPr>
          <w:rStyle w:val="SectionHead"/>
          <w:sz w:val="24"/>
          <w:szCs w:val="24"/>
        </w:rPr>
        <w:tab/>
        <w:t xml:space="preserve">Section     Power and Authority </w:t>
      </w:r>
      <w:ins w:id="103" w:author="foobar" w:date="2000-11-09T12:47:00Z">
        <w:r>
          <w:fldChar w:fldCharType="begin"/>
        </w:r>
        <w:r>
          <w:rPr/>
          <w:instrText xml:space="preserve"> TC "Section     Power and Authority " \l 2 </w:instrText>
        </w:r>
      </w:ins>
      <w:r>
        <w:rPr/>
        <w:fldChar w:fldCharType="separate"/>
      </w:r>
      <w:ins w:id="104" w:author="foobar" w:date="2000-11-09T12:47:00Z">
        <w:r>
          <w:rPr/>
        </w:r>
      </w:ins>
      <w:r>
        <w:rPr/>
        <w:fldChar w:fldCharType="end"/>
      </w:r>
      <w:r>
        <w:rPr>
          <w:sz w:val="24"/>
          <w:szCs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widowControl/>
        <w:jc w:val="both"/>
        <w:rPr>
          <w:sz w:val="24"/>
          <w:szCs w:val="24"/>
        </w:rPr>
      </w:pPr>
      <w:r>
        <w:rPr>
          <w:sz w:val="24"/>
          <w:szCs w:val="24"/>
        </w:rPr>
      </w:r>
    </w:p>
    <w:p>
      <w:pPr>
        <w:pStyle w:val="Normal"/>
        <w:keepNext w:val="true"/>
        <w:keepLines/>
        <w:widowControl/>
        <w:numPr>
          <w:ilvl w:val="1"/>
          <w:numId w:val="44"/>
        </w:numPr>
        <w:tabs>
          <w:tab w:val="clear" w:pos="720"/>
          <w:tab w:val="left" w:pos="0" w:leader="none"/>
        </w:tabs>
        <w:ind w:hanging="0" w:start="0"/>
        <w:jc w:val="both"/>
        <w:rPr/>
      </w:pPr>
      <w:r>
        <w:rPr>
          <w:rStyle w:val="SectionHead"/>
          <w:sz w:val="24"/>
          <w:szCs w:val="24"/>
        </w:rPr>
        <w:tab/>
        <w:t xml:space="preserve">Section     No Contravention </w:t>
      </w:r>
      <w:ins w:id="105" w:author="foobar" w:date="2000-11-09T12:47:00Z">
        <w:r>
          <w:fldChar w:fldCharType="begin"/>
        </w:r>
        <w:r>
          <w:rPr/>
          <w:instrText xml:space="preserve"> TC "Section     No Contravention " \l 2 </w:instrText>
        </w:r>
      </w:ins>
      <w:r>
        <w:rPr/>
        <w:fldChar w:fldCharType="separate"/>
      </w:r>
      <w:ins w:id="106" w:author="foobar" w:date="2000-11-09T12:47:00Z">
        <w:r>
          <w:rPr/>
        </w:r>
      </w:ins>
      <w:r>
        <w:rPr/>
        <w:fldChar w:fldCharType="end"/>
      </w:r>
      <w:r>
        <w:rPr>
          <w:sz w:val="24"/>
          <w:szCs w:val="24"/>
        </w:rPr>
        <w:t>.</w:t>
      </w:r>
    </w:p>
    <w:p>
      <w:pPr>
        <w:pStyle w:val="Normal"/>
        <w:keepNext w:val="true"/>
        <w:keepLines/>
        <w:widowControl/>
        <w:numPr>
          <w:ilvl w:val="1"/>
          <w:numId w:val="44"/>
        </w:numPr>
        <w:tabs>
          <w:tab w:val="clear" w:pos="720"/>
          <w:tab w:val="left" w:pos="0" w:leader="none"/>
        </w:tabs>
        <w:ind w:hanging="0" w:start="0"/>
        <w:jc w:val="both"/>
        <w:rPr>
          <w:sz w:val="24"/>
          <w:szCs w:val="24"/>
        </w:rPr>
      </w:pPr>
      <w:r>
        <w:rPr>
          <w:sz w:val="24"/>
          <w:szCs w:val="24"/>
        </w:rPr>
      </w:r>
    </w:p>
    <w:p>
      <w:pPr>
        <w:pStyle w:val="a"/>
        <w:keepLines/>
        <w:widowControl/>
        <w:numPr>
          <w:ilvl w:val="2"/>
          <w:numId w:val="44"/>
        </w:numPr>
        <w:tabs>
          <w:tab w:val="clear" w:pos="720"/>
          <w:tab w:val="left" w:pos="0" w:leader="none"/>
        </w:tabs>
        <w:ind w:hanging="0" w:start="0"/>
        <w:jc w:val="both"/>
        <w:rPr/>
      </w:pPr>
      <w:r>
        <w:rPr/>
        <w:tab/>
        <w:t>None of the Trust’s, any Asset LLCs’ or Transferors’ execution, delivery and performance of the Operative Documents to which it is expressed to be a party will:</w:t>
      </w:r>
    </w:p>
    <w:p>
      <w:pPr>
        <w:pStyle w:val="i"/>
        <w:widowControl/>
        <w:numPr>
          <w:ilvl w:val="3"/>
          <w:numId w:val="44"/>
        </w:numPr>
        <w:tabs>
          <w:tab w:val="clear" w:pos="720"/>
          <w:tab w:val="left" w:pos="0" w:leader="none"/>
        </w:tabs>
        <w:ind w:hanging="0" w:start="720"/>
        <w:jc w:val="both"/>
        <w:rPr/>
      </w:pPr>
      <w:r>
        <w:rPr/>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i"/>
        <w:widowControl/>
        <w:numPr>
          <w:ilvl w:val="3"/>
          <w:numId w:val="44"/>
        </w:numPr>
        <w:tabs>
          <w:tab w:val="clear" w:pos="720"/>
          <w:tab w:val="left" w:pos="0" w:leader="none"/>
        </w:tabs>
        <w:ind w:hanging="0" w:start="720"/>
        <w:jc w:val="both"/>
        <w:rPr/>
      </w:pPr>
      <w:r>
        <w:rPr/>
        <w:tab/>
        <w:t>will oblige it to create any Lien over all or any of its assets other than any Lien under the Operative Documents.</w:t>
      </w:r>
    </w:p>
    <w:p>
      <w:pPr>
        <w:pStyle w:val="a"/>
        <w:keepNext w:val="true"/>
        <w:widowControl/>
        <w:numPr>
          <w:ilvl w:val="2"/>
          <w:numId w:val="44"/>
        </w:numPr>
        <w:tabs>
          <w:tab w:val="clear" w:pos="720"/>
          <w:tab w:val="left" w:pos="0" w:leader="none"/>
        </w:tabs>
        <w:ind w:hanging="0" w:start="0"/>
        <w:jc w:val="both"/>
        <w:rPr/>
      </w:pPr>
      <w:r>
        <w:rPr/>
        <w:tab/>
        <w:t>Borrowings by the Trust under this Agreement up to and including the maximum amount available hereunder will not cause any limit on borrowings (whether imposed by statue, regulation, agreement or otherwise), to be exceeded.</w:t>
      </w:r>
    </w:p>
    <w:p>
      <w:pPr>
        <w:pStyle w:val="Normal"/>
        <w:keepLines/>
        <w:widowControl/>
        <w:numPr>
          <w:ilvl w:val="1"/>
          <w:numId w:val="44"/>
        </w:numPr>
        <w:tabs>
          <w:tab w:val="clear" w:pos="720"/>
          <w:tab w:val="left" w:pos="0" w:leader="none"/>
        </w:tabs>
        <w:ind w:hanging="0" w:start="0"/>
        <w:jc w:val="both"/>
        <w:rPr/>
      </w:pPr>
      <w:r>
        <w:rPr>
          <w:rStyle w:val="SectionHead"/>
          <w:sz w:val="24"/>
          <w:szCs w:val="24"/>
        </w:rPr>
        <w:tab/>
        <w:t xml:space="preserve">Section     Authorizations and Consents </w:t>
      </w:r>
      <w:ins w:id="107" w:author="foobar" w:date="2000-11-09T12:47:00Z">
        <w:r>
          <w:fldChar w:fldCharType="begin"/>
        </w:r>
        <w:r>
          <w:rPr/>
          <w:instrText xml:space="preserve"> TC "Section     Authorizations and Consents " \l 2 </w:instrText>
        </w:r>
      </w:ins>
      <w:r>
        <w:rPr/>
        <w:fldChar w:fldCharType="separate"/>
      </w:r>
      <w:ins w:id="108" w:author="foobar" w:date="2000-11-09T12:47:00Z">
        <w:r>
          <w:rPr/>
        </w:r>
      </w:ins>
      <w:r>
        <w:rPr/>
        <w:fldChar w:fldCharType="end"/>
      </w:r>
      <w:r>
        <w:rPr>
          <w:sz w:val="24"/>
          <w:szCs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widowControl/>
        <w:jc w:val="both"/>
        <w:rPr>
          <w:sz w:val="24"/>
          <w:szCs w:val="24"/>
        </w:rPr>
      </w:pPr>
      <w:r>
        <w:rPr>
          <w:sz w:val="24"/>
          <w:szCs w:val="24"/>
        </w:rPr>
      </w:r>
    </w:p>
    <w:p>
      <w:pPr>
        <w:pStyle w:val="Normal"/>
        <w:keepLines/>
        <w:widowControl/>
        <w:numPr>
          <w:ilvl w:val="1"/>
          <w:numId w:val="45"/>
        </w:numPr>
        <w:tabs>
          <w:tab w:val="clear" w:pos="720"/>
          <w:tab w:val="left" w:pos="0" w:leader="none"/>
        </w:tabs>
        <w:ind w:hanging="0" w:start="0"/>
        <w:jc w:val="both"/>
        <w:rPr/>
      </w:pPr>
      <w:r>
        <w:rPr>
          <w:rStyle w:val="SectionHead"/>
          <w:sz w:val="24"/>
          <w:szCs w:val="24"/>
        </w:rPr>
        <w:tab/>
        <w:t xml:space="preserve">Section     Enforceability; Ranking </w:t>
      </w:r>
      <w:ins w:id="109" w:author="foobar" w:date="2000-11-09T12:47:00Z">
        <w:r>
          <w:fldChar w:fldCharType="begin"/>
        </w:r>
        <w:r>
          <w:rPr/>
          <w:instrText xml:space="preserve"> TC "Section     Enforceability; Ranking " \l 2 </w:instrText>
        </w:r>
      </w:ins>
      <w:r>
        <w:rPr/>
        <w:fldChar w:fldCharType="separate"/>
      </w:r>
      <w:ins w:id="110" w:author="foobar" w:date="2000-11-09T12:47:00Z">
        <w:r>
          <w:rPr/>
        </w:r>
      </w:ins>
      <w:r>
        <w:rPr/>
        <w:fldChar w:fldCharType="end"/>
      </w:r>
      <w:r>
        <w:rPr>
          <w:sz w:val="24"/>
          <w:szCs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iCs/>
          <w:sz w:val="24"/>
          <w:szCs w:val="24"/>
        </w:rPr>
        <w:t>pari passu</w:t>
      </w:r>
      <w:r>
        <w:rPr>
          <w:sz w:val="24"/>
          <w:szCs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widowControl/>
        <w:jc w:val="both"/>
        <w:rPr>
          <w:sz w:val="24"/>
          <w:szCs w:val="24"/>
        </w:rPr>
      </w:pPr>
      <w:r>
        <w:rPr>
          <w:sz w:val="24"/>
          <w:szCs w:val="24"/>
        </w:rPr>
      </w:r>
    </w:p>
    <w:p>
      <w:pPr>
        <w:pStyle w:val="Normal"/>
        <w:keepLines/>
        <w:widowControl/>
        <w:numPr>
          <w:ilvl w:val="1"/>
          <w:numId w:val="46"/>
        </w:numPr>
        <w:tabs>
          <w:tab w:val="clear" w:pos="720"/>
          <w:tab w:val="left" w:pos="0" w:leader="none"/>
        </w:tabs>
        <w:ind w:hanging="0" w:start="0"/>
        <w:jc w:val="both"/>
        <w:rPr/>
      </w:pPr>
      <w:r>
        <w:rPr>
          <w:rStyle w:val="SectionHead"/>
          <w:sz w:val="24"/>
          <w:szCs w:val="24"/>
        </w:rPr>
        <w:tab/>
        <w:t xml:space="preserve">Section     Litigation </w:t>
      </w:r>
      <w:ins w:id="111" w:author="foobar" w:date="2000-11-09T12:47:00Z">
        <w:r>
          <w:fldChar w:fldCharType="begin"/>
        </w:r>
        <w:r>
          <w:rPr/>
          <w:instrText xml:space="preserve"> TC "Section     Litigation " \l 2 </w:instrText>
        </w:r>
      </w:ins>
      <w:r>
        <w:rPr/>
        <w:fldChar w:fldCharType="separate"/>
      </w:r>
      <w:ins w:id="112" w:author="foobar" w:date="2000-11-09T12:47:00Z">
        <w:r>
          <w:rPr/>
        </w:r>
      </w:ins>
      <w:r>
        <w:rPr/>
        <w:fldChar w:fldCharType="end"/>
      </w:r>
      <w:r>
        <w:rPr>
          <w:sz w:val="24"/>
          <w:szCs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widowControl/>
        <w:jc w:val="both"/>
        <w:rPr>
          <w:sz w:val="24"/>
          <w:szCs w:val="24"/>
        </w:rPr>
      </w:pPr>
      <w:r>
        <w:rPr>
          <w:sz w:val="24"/>
          <w:szCs w:val="24"/>
        </w:rPr>
      </w:r>
    </w:p>
    <w:p>
      <w:pPr>
        <w:pStyle w:val="Normal"/>
        <w:keepNext w:val="true"/>
        <w:keepLines/>
        <w:widowControl/>
        <w:numPr>
          <w:ilvl w:val="1"/>
          <w:numId w:val="47"/>
        </w:numPr>
        <w:tabs>
          <w:tab w:val="clear" w:pos="720"/>
          <w:tab w:val="left" w:pos="0" w:leader="none"/>
        </w:tabs>
        <w:ind w:hanging="0" w:start="0"/>
        <w:jc w:val="both"/>
        <w:rPr/>
      </w:pPr>
      <w:r>
        <w:rPr>
          <w:rStyle w:val="SectionHead"/>
          <w:sz w:val="24"/>
          <w:szCs w:val="24"/>
        </w:rPr>
        <w:tab/>
        <w:t xml:space="preserve">Section     No Material Adverse Effect </w:t>
      </w:r>
      <w:ins w:id="113" w:author="foobar" w:date="2000-11-09T12:47:00Z">
        <w:r>
          <w:fldChar w:fldCharType="begin"/>
        </w:r>
        <w:r>
          <w:rPr/>
          <w:instrText xml:space="preserve"> TC "Section     No Material Adverse Effect " \l 2 </w:instrText>
        </w:r>
      </w:ins>
      <w:r>
        <w:rPr/>
        <w:fldChar w:fldCharType="separate"/>
      </w:r>
      <w:ins w:id="114" w:author="foobar" w:date="2000-11-09T12:47:00Z">
        <w:r>
          <w:rPr/>
        </w:r>
      </w:ins>
      <w:r>
        <w:rPr/>
        <w:fldChar w:fldCharType="end"/>
      </w:r>
      <w:r>
        <w:rPr>
          <w:sz w:val="24"/>
          <w:szCs w:val="24"/>
        </w:rPr>
        <w:t>.  No event or matter having or likely to have a Material Adverse Effect has occurred since the date of inception of the Trust.</w:t>
      </w:r>
    </w:p>
    <w:p>
      <w:pPr>
        <w:pStyle w:val="Normal"/>
        <w:keepNext w:val="true"/>
        <w:keepLines/>
        <w:widowControl/>
        <w:jc w:val="both"/>
        <w:rPr>
          <w:sz w:val="24"/>
          <w:szCs w:val="24"/>
        </w:rPr>
      </w:pPr>
      <w:r>
        <w:rPr>
          <w:sz w:val="24"/>
          <w:szCs w:val="24"/>
        </w:rPr>
      </w:r>
    </w:p>
    <w:p>
      <w:pPr>
        <w:pStyle w:val="Normal"/>
        <w:keepNext w:val="true"/>
        <w:keepLines/>
        <w:widowControl/>
        <w:numPr>
          <w:ilvl w:val="1"/>
          <w:numId w:val="48"/>
        </w:numPr>
        <w:tabs>
          <w:tab w:val="clear" w:pos="720"/>
          <w:tab w:val="left" w:pos="0" w:leader="none"/>
        </w:tabs>
        <w:ind w:hanging="0" w:start="0"/>
        <w:jc w:val="both"/>
        <w:rPr/>
      </w:pPr>
      <w:r>
        <w:rPr>
          <w:rStyle w:val="SectionHead"/>
          <w:sz w:val="24"/>
          <w:szCs w:val="24"/>
        </w:rPr>
        <w:tab/>
        <w:t xml:space="preserve">Section     Liens </w:t>
      </w:r>
      <w:ins w:id="115" w:author="foobar" w:date="2000-11-09T12:47:00Z">
        <w:r>
          <w:fldChar w:fldCharType="begin"/>
        </w:r>
        <w:r>
          <w:rPr/>
          <w:instrText xml:space="preserve"> TC "Section     Liens " \l 2 </w:instrText>
        </w:r>
      </w:ins>
      <w:r>
        <w:rPr/>
        <w:fldChar w:fldCharType="separate"/>
      </w:r>
      <w:ins w:id="116" w:author="foobar" w:date="2000-11-09T12:47:00Z">
        <w:r>
          <w:rPr/>
        </w:r>
      </w:ins>
      <w:r>
        <w:rPr/>
        <w:fldChar w:fldCharType="end"/>
      </w:r>
      <w:r>
        <w:rPr>
          <w:sz w:val="24"/>
          <w:szCs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widowControl/>
        <w:jc w:val="both"/>
        <w:rPr>
          <w:sz w:val="24"/>
          <w:szCs w:val="24"/>
        </w:rPr>
      </w:pPr>
      <w:r>
        <w:rPr>
          <w:sz w:val="24"/>
          <w:szCs w:val="24"/>
        </w:rPr>
      </w:r>
    </w:p>
    <w:p>
      <w:pPr>
        <w:pStyle w:val="Normal"/>
        <w:keepLines/>
        <w:widowControl/>
        <w:numPr>
          <w:ilvl w:val="1"/>
          <w:numId w:val="49"/>
        </w:numPr>
        <w:tabs>
          <w:tab w:val="clear" w:pos="720"/>
          <w:tab w:val="left" w:pos="0" w:leader="none"/>
        </w:tabs>
        <w:ind w:hanging="0" w:start="0"/>
        <w:jc w:val="both"/>
        <w:rPr/>
      </w:pPr>
      <w:r>
        <w:rPr>
          <w:rStyle w:val="SectionHead"/>
          <w:sz w:val="24"/>
          <w:szCs w:val="24"/>
        </w:rPr>
        <w:tab/>
        <w:t xml:space="preserve">Section     No Defaults </w:t>
      </w:r>
      <w:ins w:id="117" w:author="foobar" w:date="2000-11-09T12:47:00Z">
        <w:r>
          <w:fldChar w:fldCharType="begin"/>
        </w:r>
        <w:r>
          <w:rPr/>
          <w:instrText xml:space="preserve"> TC "Section     No Defaults " \l 2 </w:instrText>
        </w:r>
      </w:ins>
      <w:r>
        <w:rPr/>
        <w:fldChar w:fldCharType="separate"/>
      </w:r>
      <w:ins w:id="118" w:author="foobar" w:date="2000-11-09T12:47:00Z">
        <w:r>
          <w:rPr/>
        </w:r>
      </w:ins>
      <w:r>
        <w:rPr/>
        <w:fldChar w:fldCharType="end"/>
      </w:r>
      <w:r>
        <w:rPr>
          <w:sz w:val="24"/>
          <w:szCs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widowControl/>
        <w:jc w:val="both"/>
        <w:rPr>
          <w:sz w:val="24"/>
          <w:szCs w:val="24"/>
        </w:rPr>
      </w:pPr>
      <w:r>
        <w:rPr>
          <w:sz w:val="24"/>
          <w:szCs w:val="24"/>
        </w:rPr>
      </w:r>
    </w:p>
    <w:p>
      <w:pPr>
        <w:pStyle w:val="Normal"/>
        <w:keepLines/>
        <w:widowControl/>
        <w:numPr>
          <w:ilvl w:val="1"/>
          <w:numId w:val="50"/>
        </w:numPr>
        <w:tabs>
          <w:tab w:val="clear" w:pos="720"/>
          <w:tab w:val="left" w:pos="0" w:leader="none"/>
        </w:tabs>
        <w:ind w:hanging="0" w:start="0"/>
        <w:jc w:val="both"/>
        <w:rPr/>
      </w:pPr>
      <w:r>
        <w:rPr>
          <w:rStyle w:val="SectionHead"/>
          <w:sz w:val="24"/>
          <w:szCs w:val="24"/>
        </w:rPr>
        <w:tab/>
        <w:t xml:space="preserve">Section     Compliance with Laws </w:t>
      </w:r>
      <w:ins w:id="119" w:author="foobar" w:date="2000-11-09T12:47:00Z">
        <w:r>
          <w:fldChar w:fldCharType="begin"/>
        </w:r>
        <w:r>
          <w:rPr/>
          <w:instrText xml:space="preserve"> TC "Section     Compliance with Laws " \l 2 </w:instrText>
        </w:r>
      </w:ins>
      <w:r>
        <w:rPr/>
        <w:fldChar w:fldCharType="separate"/>
      </w:r>
      <w:ins w:id="120" w:author="foobar" w:date="2000-11-09T12:47:00Z">
        <w:r>
          <w:rPr/>
        </w:r>
      </w:ins>
      <w:r>
        <w:rPr/>
        <w:fldChar w:fldCharType="end"/>
      </w:r>
      <w:r>
        <w:rPr>
          <w:sz w:val="24"/>
          <w:szCs w:val="24"/>
        </w:rPr>
        <w:t>.  Each Asset LLC, each Transferor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keepNext w:val="true"/>
        <w:widowControl/>
        <w:jc w:val="both"/>
        <w:rPr>
          <w:sz w:val="24"/>
          <w:szCs w:val="24"/>
        </w:rPr>
      </w:pPr>
      <w:r>
        <w:rPr>
          <w:sz w:val="24"/>
          <w:szCs w:val="24"/>
        </w:rPr>
      </w:r>
    </w:p>
    <w:p>
      <w:pPr>
        <w:pStyle w:val="Normal"/>
        <w:keepNext w:val="true"/>
        <w:keepLines/>
        <w:widowControl/>
        <w:numPr>
          <w:ilvl w:val="1"/>
          <w:numId w:val="51"/>
        </w:numPr>
        <w:tabs>
          <w:tab w:val="clear" w:pos="720"/>
          <w:tab w:val="left" w:pos="0" w:leader="none"/>
        </w:tabs>
        <w:ind w:hanging="0" w:start="0"/>
        <w:jc w:val="both"/>
        <w:rPr/>
      </w:pPr>
      <w:r>
        <w:rPr>
          <w:rStyle w:val="SectionHead"/>
          <w:sz w:val="24"/>
          <w:szCs w:val="24"/>
        </w:rPr>
        <w:tab/>
        <w:t xml:space="preserve">Section     Business:  Ownership of Assets for Business Operations </w:t>
      </w:r>
      <w:ins w:id="121" w:author="foobar" w:date="2000-11-09T12:47:00Z">
        <w:r>
          <w:fldChar w:fldCharType="begin"/>
        </w:r>
        <w:r>
          <w:rPr/>
          <w:instrText xml:space="preserve"> TC "Section     Business\:  Ownership of Assets for Business Operations " \l 2 </w:instrText>
        </w:r>
      </w:ins>
      <w:r>
        <w:rPr/>
        <w:fldChar w:fldCharType="separate"/>
      </w:r>
      <w:ins w:id="122" w:author="foobar" w:date="2000-11-09T12:47:00Z">
        <w:r>
          <w:rPr/>
        </w:r>
      </w:ins>
      <w:r>
        <w:rPr/>
        <w:fldChar w:fldCharType="end"/>
      </w:r>
      <w:r>
        <w:rPr>
          <w:sz w:val="24"/>
          <w:szCs w:val="24"/>
        </w:rPr>
        <w:t xml:space="preserve">.  </w:t>
      </w:r>
    </w:p>
    <w:p>
      <w:pPr>
        <w:pStyle w:val="Normal"/>
        <w:keepNext w:val="true"/>
        <w:keepLines/>
        <w:widowControl/>
        <w:numPr>
          <w:ilvl w:val="1"/>
          <w:numId w:val="51"/>
        </w:numPr>
        <w:tabs>
          <w:tab w:val="clear" w:pos="720"/>
          <w:tab w:val="left" w:pos="0" w:leader="none"/>
        </w:tabs>
        <w:ind w:hanging="0" w:start="0"/>
        <w:jc w:val="both"/>
        <w:rPr>
          <w:sz w:val="24"/>
          <w:szCs w:val="24"/>
        </w:rPr>
      </w:pPr>
      <w:r>
        <w:rPr>
          <w:sz w:val="24"/>
          <w:szCs w:val="24"/>
        </w:rPr>
      </w:r>
    </w:p>
    <w:p>
      <w:pPr>
        <w:pStyle w:val="a"/>
        <w:keepLines/>
        <w:widowControl/>
        <w:numPr>
          <w:ilvl w:val="2"/>
          <w:numId w:val="51"/>
        </w:numPr>
        <w:tabs>
          <w:tab w:val="clear" w:pos="720"/>
          <w:tab w:val="left" w:pos="0" w:leader="none"/>
        </w:tabs>
        <w:ind w:hanging="0" w:start="0"/>
        <w:jc w:val="both"/>
        <w:rPr/>
      </w:pPr>
      <w:r>
        <w:rPr/>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a"/>
        <w:widowControl/>
        <w:numPr>
          <w:ilvl w:val="2"/>
          <w:numId w:val="51"/>
        </w:numPr>
        <w:tabs>
          <w:tab w:val="clear" w:pos="720"/>
          <w:tab w:val="left" w:pos="0" w:leader="none"/>
        </w:tabs>
        <w:ind w:hanging="0" w:start="0"/>
        <w:jc w:val="both"/>
        <w:rPr/>
      </w:pPr>
      <w:r>
        <w:rPr/>
        <w:tab/>
        <w:t>The Trust, each Asset LLC and each Transferor has good title to or other valid right to use all its assets, including but not limited to the ownership of the Class B Interests by the Trust, to the extent required to conduct the Business.</w:t>
      </w:r>
    </w:p>
    <w:p>
      <w:pPr>
        <w:pStyle w:val="a"/>
        <w:keepNext w:val="true"/>
        <w:widowControl/>
        <w:numPr>
          <w:ilvl w:val="2"/>
          <w:numId w:val="51"/>
        </w:numPr>
        <w:tabs>
          <w:tab w:val="clear" w:pos="720"/>
          <w:tab w:val="left" w:pos="0" w:leader="none"/>
        </w:tabs>
        <w:ind w:hanging="0" w:start="0"/>
        <w:jc w:val="both"/>
        <w:rPr/>
      </w:pPr>
      <w:r>
        <w:rPr/>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keepLines/>
        <w:widowControl/>
        <w:numPr>
          <w:ilvl w:val="1"/>
          <w:numId w:val="51"/>
        </w:numPr>
        <w:tabs>
          <w:tab w:val="clear" w:pos="720"/>
          <w:tab w:val="left" w:pos="0" w:leader="none"/>
        </w:tabs>
        <w:ind w:hanging="0" w:start="0"/>
        <w:jc w:val="both"/>
        <w:rPr/>
      </w:pPr>
      <w:r>
        <w:rPr>
          <w:rStyle w:val="SectionHead"/>
          <w:sz w:val="24"/>
          <w:szCs w:val="24"/>
        </w:rPr>
        <w:tab/>
        <w:t xml:space="preserve">Section     Tax Liabilities </w:t>
      </w:r>
      <w:ins w:id="123" w:author="foobar" w:date="2000-11-09T12:47:00Z">
        <w:r>
          <w:fldChar w:fldCharType="begin"/>
        </w:r>
        <w:r>
          <w:rPr/>
          <w:instrText xml:space="preserve"> TC "Section     Tax Liabilities " \l 2 </w:instrText>
        </w:r>
      </w:ins>
      <w:r>
        <w:rPr/>
        <w:fldChar w:fldCharType="separate"/>
      </w:r>
      <w:ins w:id="124" w:author="foobar" w:date="2000-11-09T12:47:00Z">
        <w:r>
          <w:rPr/>
        </w:r>
      </w:ins>
      <w:r>
        <w:rPr/>
        <w:fldChar w:fldCharType="end"/>
      </w:r>
      <w:r>
        <w:rPr>
          <w:sz w:val="24"/>
          <w:szCs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widowControl/>
        <w:jc w:val="both"/>
        <w:rPr>
          <w:sz w:val="24"/>
          <w:szCs w:val="24"/>
        </w:rPr>
      </w:pPr>
      <w:r>
        <w:rPr>
          <w:sz w:val="24"/>
          <w:szCs w:val="24"/>
        </w:rPr>
      </w:r>
    </w:p>
    <w:p>
      <w:pPr>
        <w:pStyle w:val="Normal"/>
        <w:keepLines/>
        <w:widowControl/>
        <w:numPr>
          <w:ilvl w:val="1"/>
          <w:numId w:val="52"/>
        </w:numPr>
        <w:tabs>
          <w:tab w:val="clear" w:pos="720"/>
          <w:tab w:val="left" w:pos="0" w:leader="none"/>
        </w:tabs>
        <w:ind w:hanging="0" w:start="0"/>
        <w:jc w:val="both"/>
        <w:rPr/>
      </w:pPr>
      <w:r>
        <w:rPr>
          <w:rStyle w:val="SectionHead"/>
          <w:sz w:val="24"/>
          <w:szCs w:val="24"/>
        </w:rPr>
        <w:tab/>
        <w:t xml:space="preserve">Section     Solvency </w:t>
      </w:r>
      <w:ins w:id="125" w:author="foobar" w:date="2000-11-09T12:47:00Z">
        <w:r>
          <w:fldChar w:fldCharType="begin"/>
        </w:r>
        <w:r>
          <w:rPr/>
          <w:instrText xml:space="preserve"> TC "Section     Solvency " \l 2 </w:instrText>
        </w:r>
      </w:ins>
      <w:r>
        <w:rPr/>
        <w:fldChar w:fldCharType="separate"/>
      </w:r>
      <w:ins w:id="126" w:author="foobar" w:date="2000-11-09T12:47:00Z">
        <w:r>
          <w:rPr/>
        </w:r>
      </w:ins>
      <w:r>
        <w:rPr/>
        <w:fldChar w:fldCharType="end"/>
      </w:r>
      <w:r>
        <w:rPr>
          <w:sz w:val="24"/>
          <w:szCs w:val="24"/>
        </w:rPr>
        <w:t>.  As of each applicable Drawdown Date, each of the Trust, the Asset LLCs and the Transferors will be solvent within the definition of any law applicable to it which requires as a condition to the validity (and/or non-avoidability) of financial obligations undertaken by it that it be solvent.</w:t>
      </w:r>
    </w:p>
    <w:p>
      <w:pPr>
        <w:pStyle w:val="Normal"/>
        <w:keepNext w:val="true"/>
        <w:widowControl/>
        <w:jc w:val="both"/>
        <w:rPr>
          <w:sz w:val="24"/>
          <w:szCs w:val="24"/>
        </w:rPr>
      </w:pPr>
      <w:r>
        <w:rPr>
          <w:sz w:val="24"/>
          <w:szCs w:val="24"/>
        </w:rPr>
      </w:r>
    </w:p>
    <w:p>
      <w:pPr>
        <w:pStyle w:val="Normal"/>
        <w:keepLines/>
        <w:widowControl/>
        <w:numPr>
          <w:ilvl w:val="1"/>
          <w:numId w:val="53"/>
        </w:numPr>
        <w:tabs>
          <w:tab w:val="clear" w:pos="720"/>
          <w:tab w:val="left" w:pos="0" w:leader="none"/>
        </w:tabs>
        <w:ind w:hanging="0" w:start="0"/>
        <w:jc w:val="both"/>
        <w:rPr/>
      </w:pPr>
      <w:r>
        <w:rPr>
          <w:rStyle w:val="SectionHead"/>
          <w:sz w:val="24"/>
          <w:szCs w:val="24"/>
        </w:rPr>
        <w:tab/>
        <w:t xml:space="preserve">Section     Indebtedness </w:t>
      </w:r>
      <w:ins w:id="127" w:author="foobar" w:date="2000-11-09T12:47:00Z">
        <w:r>
          <w:fldChar w:fldCharType="begin"/>
        </w:r>
        <w:r>
          <w:rPr/>
          <w:instrText xml:space="preserve"> TC "Section     Indebtedness " \l 2 </w:instrText>
        </w:r>
      </w:ins>
      <w:r>
        <w:rPr/>
        <w:fldChar w:fldCharType="separate"/>
      </w:r>
      <w:ins w:id="128" w:author="foobar" w:date="2000-11-09T12:47:00Z">
        <w:r>
          <w:rPr/>
        </w:r>
      </w:ins>
      <w:r>
        <w:rPr/>
        <w:fldChar w:fldCharType="end"/>
      </w:r>
      <w:r>
        <w:rPr>
          <w:sz w:val="24"/>
          <w:szCs w:val="24"/>
        </w:rPr>
        <w:t>.  The Trust, the Asset LLCs and the Transferors  have not incurred and have not suffered to exist any material Indebtedness other than pursuant to this Agreement and the other Finance Documents.</w:t>
      </w:r>
    </w:p>
    <w:p>
      <w:pPr>
        <w:pStyle w:val="Normal"/>
        <w:keepNext w:val="true"/>
        <w:widowControl/>
        <w:jc w:val="both"/>
        <w:rPr>
          <w:sz w:val="24"/>
          <w:szCs w:val="24"/>
        </w:rPr>
      </w:pPr>
      <w:r>
        <w:rPr>
          <w:sz w:val="24"/>
          <w:szCs w:val="24"/>
        </w:rPr>
      </w:r>
    </w:p>
    <w:p>
      <w:pPr>
        <w:pStyle w:val="Normal"/>
        <w:keepLines/>
        <w:widowControl/>
        <w:numPr>
          <w:ilvl w:val="1"/>
          <w:numId w:val="54"/>
        </w:numPr>
        <w:tabs>
          <w:tab w:val="clear" w:pos="720"/>
          <w:tab w:val="left" w:pos="0" w:leader="none"/>
        </w:tabs>
        <w:ind w:hanging="0" w:start="0"/>
        <w:jc w:val="both"/>
        <w:rPr/>
      </w:pPr>
      <w:r>
        <w:rPr>
          <w:rStyle w:val="SectionHead"/>
          <w:sz w:val="24"/>
          <w:szCs w:val="24"/>
        </w:rPr>
        <w:tab/>
        <w:t xml:space="preserve">Section     Margin Stock </w:t>
      </w:r>
      <w:ins w:id="129" w:author="foobar" w:date="2000-11-09T12:47:00Z">
        <w:r>
          <w:fldChar w:fldCharType="begin"/>
        </w:r>
        <w:r>
          <w:rPr/>
          <w:instrText xml:space="preserve"> TC "Section     Margin Stock " \l 2 </w:instrText>
        </w:r>
      </w:ins>
      <w:r>
        <w:rPr/>
        <w:fldChar w:fldCharType="separate"/>
      </w:r>
      <w:ins w:id="130" w:author="foobar" w:date="2000-11-09T12:47:00Z">
        <w:r>
          <w:rPr/>
        </w:r>
      </w:ins>
      <w:r>
        <w:rPr/>
        <w:fldChar w:fldCharType="end"/>
      </w:r>
      <w:r>
        <w:rPr>
          <w:sz w:val="24"/>
          <w:szCs w:val="24"/>
        </w:rPr>
        <w:t>.  None of the Trust, the Asset LLCs or the Transferors is engaged principally, or as one of its important activities, in the business of extending credit for the purpose of purchasing or carrying any Margin Stock.</w:t>
      </w:r>
    </w:p>
    <w:p>
      <w:pPr>
        <w:pStyle w:val="Normal"/>
        <w:keepNext w:val="true"/>
        <w:widowControl/>
        <w:jc w:val="both"/>
        <w:rPr>
          <w:sz w:val="24"/>
          <w:szCs w:val="24"/>
        </w:rPr>
      </w:pPr>
      <w:r>
        <w:rPr>
          <w:sz w:val="24"/>
          <w:szCs w:val="24"/>
        </w:rPr>
      </w:r>
    </w:p>
    <w:p>
      <w:pPr>
        <w:pStyle w:val="Normal"/>
        <w:keepLines/>
        <w:widowControl/>
        <w:numPr>
          <w:ilvl w:val="1"/>
          <w:numId w:val="55"/>
        </w:numPr>
        <w:tabs>
          <w:tab w:val="clear" w:pos="720"/>
          <w:tab w:val="left" w:pos="0" w:leader="none"/>
        </w:tabs>
        <w:ind w:hanging="0" w:start="0"/>
        <w:jc w:val="both"/>
        <w:rPr/>
      </w:pPr>
      <w:r>
        <w:rPr>
          <w:rStyle w:val="SectionHead"/>
          <w:sz w:val="24"/>
          <w:szCs w:val="24"/>
        </w:rPr>
        <w:tab/>
        <w:t xml:space="preserve">Section     Investment Company Act and PUHCA </w:t>
      </w:r>
      <w:ins w:id="131" w:author="foobar" w:date="2000-11-09T12:47:00Z">
        <w:r>
          <w:fldChar w:fldCharType="begin"/>
        </w:r>
        <w:r>
          <w:rPr/>
          <w:instrText xml:space="preserve"> TC "Section     Investment Company Act and PUHCA " \l 2 </w:instrText>
        </w:r>
      </w:ins>
      <w:r>
        <w:rPr/>
        <w:fldChar w:fldCharType="separate"/>
      </w:r>
      <w:ins w:id="132" w:author="foobar" w:date="2000-11-09T12:47:00Z">
        <w:r>
          <w:rPr/>
        </w:r>
      </w:ins>
      <w:r>
        <w:rPr/>
        <w:fldChar w:fldCharType="end"/>
      </w:r>
      <w:r>
        <w:rPr>
          <w:sz w:val="24"/>
          <w:szCs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widowControl/>
        <w:jc w:val="both"/>
        <w:rPr>
          <w:sz w:val="24"/>
          <w:szCs w:val="24"/>
        </w:rPr>
      </w:pPr>
      <w:r>
        <w:rPr>
          <w:sz w:val="24"/>
          <w:szCs w:val="24"/>
        </w:rPr>
      </w:r>
    </w:p>
    <w:p>
      <w:pPr>
        <w:pStyle w:val="ARTICLE"/>
        <w:keepNext w:val="true"/>
        <w:keepLines/>
        <w:widowControl/>
        <w:numPr>
          <w:ilvl w:val="0"/>
          <w:numId w:val="56"/>
        </w:numPr>
        <w:tabs>
          <w:tab w:val="clear" w:pos="720"/>
          <w:tab w:val="left" w:pos="0" w:leader="none"/>
        </w:tabs>
        <w:ind w:hanging="0" w:start="1440"/>
        <w:rPr/>
      </w:pPr>
      <w:r>
        <w:rPr>
          <w:b/>
          <w:bCs/>
        </w:rPr>
        <w:t>ARTICLE COVENANTS</w:t>
      </w:r>
      <w:ins w:id="133" w:author="foobar" w:date="2000-11-09T12:47:00Z">
        <w:r>
          <w:fldChar w:fldCharType="begin"/>
        </w:r>
        <w:r>
          <w:rPr/>
          <w:instrText xml:space="preserve"> TC "ARTICLE COVENANTS" \l 1 </w:instrText>
        </w:r>
      </w:ins>
      <w:r>
        <w:rPr/>
        <w:fldChar w:fldCharType="separate"/>
      </w:r>
      <w:ins w:id="134" w:author="foobar" w:date="2000-11-09T12:47:00Z">
        <w:r>
          <w:rPr/>
        </w:r>
      </w:ins>
      <w:r>
        <w:rPr/>
        <w:fldChar w:fldCharType="end"/>
      </w:r>
    </w:p>
    <w:p>
      <w:pPr>
        <w:pStyle w:val="ARTICLE"/>
        <w:keepNext w:val="true"/>
        <w:keepLines/>
        <w:widowControl/>
        <w:ind w:start="0" w:end="0"/>
        <w:jc w:val="both"/>
        <w:rPr/>
      </w:pPr>
      <w:r>
        <w:rPr/>
      </w:r>
    </w:p>
    <w:p>
      <w:pPr>
        <w:pStyle w:val="Normal"/>
        <w:keepLines/>
        <w:widowControl/>
        <w:numPr>
          <w:ilvl w:val="1"/>
          <w:numId w:val="57"/>
        </w:numPr>
        <w:tabs>
          <w:tab w:val="clear" w:pos="720"/>
          <w:tab w:val="left" w:pos="0" w:leader="none"/>
        </w:tabs>
        <w:ind w:hanging="0" w:start="0"/>
        <w:jc w:val="both"/>
        <w:rPr/>
      </w:pPr>
      <w:r>
        <w:rPr>
          <w:rStyle w:val="SectionHead"/>
          <w:sz w:val="24"/>
          <w:szCs w:val="24"/>
        </w:rPr>
        <w:tab/>
        <w:t xml:space="preserve">Section     Duration </w:t>
      </w:r>
      <w:ins w:id="135" w:author="foobar" w:date="2000-11-09T12:47:00Z">
        <w:r>
          <w:fldChar w:fldCharType="begin"/>
        </w:r>
        <w:r>
          <w:rPr/>
          <w:instrText xml:space="preserve"> TC "Section     Duration " \l 2 </w:instrText>
        </w:r>
      </w:ins>
      <w:r>
        <w:rPr/>
        <w:fldChar w:fldCharType="separate"/>
      </w:r>
      <w:ins w:id="136" w:author="foobar" w:date="2000-11-09T12:47:00Z">
        <w:r>
          <w:rPr/>
        </w:r>
      </w:ins>
      <w:r>
        <w:rPr/>
        <w:fldChar w:fldCharType="end"/>
      </w:r>
      <w:r>
        <w:rPr>
          <w:sz w:val="24"/>
          <w:szCs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widowControl/>
        <w:jc w:val="both"/>
        <w:rPr>
          <w:sz w:val="24"/>
          <w:szCs w:val="24"/>
        </w:rPr>
      </w:pPr>
      <w:r>
        <w:rPr>
          <w:sz w:val="24"/>
          <w:szCs w:val="24"/>
        </w:rPr>
      </w:r>
    </w:p>
    <w:p>
      <w:pPr>
        <w:pStyle w:val="Normal"/>
        <w:keepNext w:val="true"/>
        <w:keepLines/>
        <w:widowControl/>
        <w:numPr>
          <w:ilvl w:val="1"/>
          <w:numId w:val="58"/>
        </w:numPr>
        <w:tabs>
          <w:tab w:val="clear" w:pos="720"/>
          <w:tab w:val="left" w:pos="0" w:leader="none"/>
        </w:tabs>
        <w:ind w:hanging="0" w:start="0"/>
        <w:jc w:val="both"/>
        <w:rPr/>
      </w:pPr>
      <w:r>
        <w:rPr>
          <w:rStyle w:val="SectionHead"/>
          <w:sz w:val="24"/>
          <w:szCs w:val="24"/>
        </w:rPr>
        <w:tab/>
        <w:t xml:space="preserve">Section     General Covenants </w:t>
      </w:r>
      <w:ins w:id="137" w:author="foobar" w:date="2000-11-09T12:47:00Z">
        <w:r>
          <w:fldChar w:fldCharType="begin"/>
        </w:r>
        <w:r>
          <w:rPr/>
          <w:instrText xml:space="preserve"> TC "Section     General Covenants " \l 2 </w:instrText>
        </w:r>
      </w:ins>
      <w:r>
        <w:rPr/>
        <w:fldChar w:fldCharType="separate"/>
      </w:r>
      <w:ins w:id="138" w:author="foobar" w:date="2000-11-09T12:47:00Z">
        <w:r>
          <w:rPr/>
        </w:r>
      </w:ins>
      <w:r>
        <w:rPr/>
        <w:fldChar w:fldCharType="end"/>
      </w:r>
      <w:r>
        <w:rPr>
          <w:sz w:val="24"/>
          <w:szCs w:val="24"/>
        </w:rPr>
        <w:t xml:space="preserve">.  </w:t>
      </w:r>
    </w:p>
    <w:p>
      <w:pPr>
        <w:pStyle w:val="Normal"/>
        <w:keepNext w:val="true"/>
        <w:keepLines/>
        <w:widowControl/>
        <w:jc w:val="both"/>
        <w:rPr>
          <w:sz w:val="24"/>
          <w:szCs w:val="24"/>
        </w:rPr>
      </w:pPr>
      <w:r>
        <w:rPr>
          <w:sz w:val="24"/>
          <w:szCs w:val="24"/>
        </w:rPr>
      </w:r>
    </w:p>
    <w:p>
      <w:pPr>
        <w:pStyle w:val="a"/>
        <w:keepLines/>
        <w:widowControl/>
        <w:numPr>
          <w:ilvl w:val="2"/>
          <w:numId w:val="59"/>
        </w:numPr>
        <w:tabs>
          <w:tab w:val="clear" w:pos="720"/>
          <w:tab w:val="left" w:pos="0" w:leader="none"/>
        </w:tabs>
        <w:ind w:hanging="0" w:start="0"/>
        <w:jc w:val="both"/>
        <w:rPr/>
      </w:pPr>
      <w:r>
        <w:rPr/>
        <w:tab/>
      </w:r>
      <w:r>
        <w:rPr>
          <w:u w:val="single"/>
        </w:rPr>
        <w:t>Business of the Trust; Indebtedness</w:t>
      </w:r>
      <w:r>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a"/>
        <w:widowControl/>
        <w:numPr>
          <w:ilvl w:val="2"/>
          <w:numId w:val="59"/>
        </w:numPr>
        <w:tabs>
          <w:tab w:val="clear" w:pos="720"/>
          <w:tab w:val="left" w:pos="0" w:leader="none"/>
        </w:tabs>
        <w:ind w:hanging="0" w:start="0"/>
        <w:jc w:val="both"/>
        <w:rPr/>
      </w:pPr>
      <w:r>
        <w:rPr/>
        <w:tab/>
      </w:r>
      <w:r>
        <w:rPr>
          <w:u w:val="single"/>
        </w:rPr>
        <w:t>Ownership of the Class B Interests; No Modification to Certain Agreements</w:t>
      </w:r>
      <w:r>
        <w:rPr/>
        <w:t xml:space="preserve">.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w:t>
      </w:r>
      <w:r>
        <w:rPr>
          <w:u w:val="single"/>
        </w:rPr>
        <w:t>material</w:t>
      </w:r>
      <w:r>
        <w:rPr/>
        <w:t xml:space="preserve">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a"/>
        <w:widowControl/>
        <w:numPr>
          <w:ilvl w:val="2"/>
          <w:numId w:val="59"/>
        </w:numPr>
        <w:tabs>
          <w:tab w:val="clear" w:pos="720"/>
          <w:tab w:val="left" w:pos="0" w:leader="none"/>
        </w:tabs>
        <w:ind w:hanging="0" w:start="0"/>
        <w:jc w:val="both"/>
        <w:rPr/>
      </w:pPr>
      <w:r>
        <w:rPr/>
        <w:tab/>
      </w:r>
      <w:r>
        <w:rPr>
          <w:u w:val="single"/>
        </w:rPr>
        <w:t>Use of Proceeds</w:t>
      </w:r>
      <w:r>
        <w:rPr/>
        <w:t>.  The Trust will use the proceeds of the Advances only for the purposes specified in Section 2.2(b).</w:t>
      </w:r>
    </w:p>
    <w:p>
      <w:pPr>
        <w:pStyle w:val="a"/>
        <w:widowControl/>
        <w:numPr>
          <w:ilvl w:val="2"/>
          <w:numId w:val="59"/>
        </w:numPr>
        <w:tabs>
          <w:tab w:val="clear" w:pos="720"/>
          <w:tab w:val="left" w:pos="0" w:leader="none"/>
        </w:tabs>
        <w:ind w:hanging="0" w:start="0"/>
        <w:jc w:val="both"/>
        <w:rPr/>
      </w:pPr>
      <w:r>
        <w:rPr/>
        <w:tab/>
      </w:r>
      <w:r>
        <w:rPr>
          <w:u w:val="single"/>
        </w:rPr>
        <w:t>Authorizations and Consents</w:t>
      </w:r>
      <w:r>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a"/>
        <w:widowControl/>
        <w:numPr>
          <w:ilvl w:val="2"/>
          <w:numId w:val="59"/>
        </w:numPr>
        <w:tabs>
          <w:tab w:val="clear" w:pos="720"/>
          <w:tab w:val="left" w:pos="0" w:leader="none"/>
        </w:tabs>
        <w:ind w:hanging="0" w:start="0"/>
        <w:jc w:val="both"/>
        <w:rPr/>
      </w:pPr>
      <w:r>
        <w:rPr/>
        <w:tab/>
      </w:r>
      <w:r>
        <w:rPr>
          <w:u w:val="single"/>
        </w:rPr>
        <w:t>Maintenance of Status and Authorizations; Title to Assets</w:t>
      </w:r>
      <w:r>
        <w:rPr/>
        <w:t>.  The Trust will:</w:t>
      </w:r>
    </w:p>
    <w:p>
      <w:pPr>
        <w:pStyle w:val="i"/>
        <w:widowControl/>
        <w:numPr>
          <w:ilvl w:val="3"/>
          <w:numId w:val="59"/>
        </w:numPr>
        <w:tabs>
          <w:tab w:val="clear" w:pos="720"/>
          <w:tab w:val="left" w:pos="0" w:leader="none"/>
        </w:tabs>
        <w:ind w:hanging="0" w:start="720"/>
        <w:jc w:val="both"/>
        <w:rPr/>
      </w:pPr>
      <w:r>
        <w:rPr/>
        <w:tab/>
        <w:t>do all such things as are necessary to maintain its legal existence;</w:t>
      </w:r>
    </w:p>
    <w:p>
      <w:pPr>
        <w:pStyle w:val="i"/>
        <w:widowControl/>
        <w:numPr>
          <w:ilvl w:val="3"/>
          <w:numId w:val="59"/>
        </w:numPr>
        <w:tabs>
          <w:tab w:val="clear" w:pos="720"/>
          <w:tab w:val="left" w:pos="0" w:leader="none"/>
        </w:tabs>
        <w:ind w:hanging="0" w:start="720"/>
        <w:jc w:val="both"/>
        <w:rPr/>
      </w:pPr>
      <w:r>
        <w:rPr/>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i"/>
        <w:widowControl/>
        <w:numPr>
          <w:ilvl w:val="3"/>
          <w:numId w:val="59"/>
        </w:numPr>
        <w:tabs>
          <w:tab w:val="clear" w:pos="720"/>
          <w:tab w:val="left" w:pos="0" w:leader="none"/>
        </w:tabs>
        <w:ind w:hanging="0" w:start="720"/>
        <w:jc w:val="both"/>
        <w:rPr/>
      </w:pPr>
      <w:r>
        <w:rPr/>
        <w:tab/>
        <w:t>comply in all material respects with all laws, regulations, judgments, orders, licenses, permits or consents binding upon it, except where  non-</w:t>
        <w:softHyphen/>
        <w:t>compliance would not have, and would not be reasonably likely to have, a Material Adverse Effect.</w:t>
      </w:r>
    </w:p>
    <w:p>
      <w:pPr>
        <w:pStyle w:val="a"/>
        <w:widowControl/>
        <w:numPr>
          <w:ilvl w:val="2"/>
          <w:numId w:val="59"/>
        </w:numPr>
        <w:tabs>
          <w:tab w:val="clear" w:pos="720"/>
          <w:tab w:val="left" w:pos="0" w:leader="none"/>
        </w:tabs>
        <w:ind w:hanging="0" w:start="0"/>
        <w:jc w:val="both"/>
        <w:rPr/>
      </w:pPr>
      <w:r>
        <w:rPr/>
        <w:tab/>
      </w:r>
      <w:r>
        <w:rPr>
          <w:u w:val="single"/>
        </w:rPr>
        <w:t>Taxes</w:t>
      </w:r>
      <w:r>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a"/>
        <w:widowControl/>
        <w:numPr>
          <w:ilvl w:val="2"/>
          <w:numId w:val="59"/>
        </w:numPr>
        <w:tabs>
          <w:tab w:val="clear" w:pos="720"/>
          <w:tab w:val="left" w:pos="0" w:leader="none"/>
        </w:tabs>
        <w:ind w:hanging="0" w:start="0"/>
        <w:jc w:val="both"/>
        <w:rPr/>
      </w:pPr>
      <w:r>
        <w:rPr/>
        <w:tab/>
      </w:r>
      <w:r>
        <w:rPr>
          <w:u w:val="single"/>
        </w:rPr>
        <w:t>Dispositions</w:t>
      </w:r>
      <w:r>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a"/>
        <w:widowControl/>
        <w:numPr>
          <w:ilvl w:val="2"/>
          <w:numId w:val="59"/>
        </w:numPr>
        <w:tabs>
          <w:tab w:val="clear" w:pos="720"/>
          <w:tab w:val="left" w:pos="0" w:leader="none"/>
        </w:tabs>
        <w:ind w:hanging="0" w:start="0"/>
        <w:jc w:val="both"/>
        <w:rPr/>
      </w:pPr>
      <w:r>
        <w:rPr/>
        <w:tab/>
      </w:r>
      <w:r>
        <w:rPr>
          <w:u w:val="single"/>
        </w:rPr>
        <w:t>Merger, Consolidation, Etc.</w:t>
      </w:r>
      <w:r>
        <w:rPr/>
        <w:t xml:space="preserve">  The Trust will not merge or consolidate with any other Person (whether by winding-up, dissolution or other means).</w:t>
      </w:r>
    </w:p>
    <w:p>
      <w:pPr>
        <w:pStyle w:val="a"/>
        <w:widowControl/>
        <w:numPr>
          <w:ilvl w:val="2"/>
          <w:numId w:val="59"/>
        </w:numPr>
        <w:tabs>
          <w:tab w:val="clear" w:pos="720"/>
          <w:tab w:val="left" w:pos="0" w:leader="none"/>
        </w:tabs>
        <w:ind w:hanging="0" w:start="0"/>
        <w:jc w:val="both"/>
        <w:rPr/>
      </w:pPr>
      <w:r>
        <w:rPr/>
        <w:tab/>
      </w:r>
      <w:r>
        <w:rPr>
          <w:u w:val="single"/>
        </w:rPr>
        <w:t>Negative Pledge; Absence of Other Negative Pledges</w:t>
      </w:r>
      <w:r>
        <w:rPr/>
        <w:t>.</w:t>
      </w:r>
    </w:p>
    <w:p>
      <w:pPr>
        <w:pStyle w:val="i"/>
        <w:widowControl/>
        <w:numPr>
          <w:ilvl w:val="3"/>
          <w:numId w:val="59"/>
        </w:numPr>
        <w:tabs>
          <w:tab w:val="clear" w:pos="720"/>
          <w:tab w:val="left" w:pos="0" w:leader="none"/>
        </w:tabs>
        <w:ind w:hanging="0" w:start="720"/>
        <w:jc w:val="both"/>
        <w:rPr/>
      </w:pPr>
      <w:r>
        <w:rPr/>
        <w:tab/>
        <w:t>The Trust will not create or have outstanding any Lien on or over its assets, except as contemplated and permitted by the Operative Documents and for Liens for Taxes being contested in good faith pursuant to Section 12.2(f).</w:t>
      </w:r>
    </w:p>
    <w:p>
      <w:pPr>
        <w:pStyle w:val="i"/>
        <w:widowControl/>
        <w:numPr>
          <w:ilvl w:val="3"/>
          <w:numId w:val="59"/>
        </w:numPr>
        <w:tabs>
          <w:tab w:val="clear" w:pos="720"/>
          <w:tab w:val="left" w:pos="0" w:leader="none"/>
        </w:tabs>
        <w:ind w:hanging="0" w:start="720"/>
        <w:jc w:val="both"/>
        <w:rPr/>
      </w:pPr>
      <w:r>
        <w:rPr/>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a"/>
        <w:widowControl/>
        <w:numPr>
          <w:ilvl w:val="2"/>
          <w:numId w:val="59"/>
        </w:numPr>
        <w:tabs>
          <w:tab w:val="clear" w:pos="720"/>
          <w:tab w:val="left" w:pos="0" w:leader="none"/>
        </w:tabs>
        <w:ind w:hanging="0" w:start="0"/>
        <w:jc w:val="both"/>
        <w:rPr/>
      </w:pPr>
      <w:r>
        <w:rPr/>
        <w:tab/>
      </w:r>
      <w:r>
        <w:rPr>
          <w:u w:val="single"/>
        </w:rPr>
        <w:t>Loans, Etc.</w:t>
      </w:r>
      <w:r>
        <w:rPr/>
        <w:t xml:space="preserve">  The Trust will not make or permit to be outstanding any loans or grant any credit to any Person, except as expressly permitted under the Finance Documents.</w:t>
      </w:r>
    </w:p>
    <w:p>
      <w:pPr>
        <w:pStyle w:val="a"/>
        <w:widowControl/>
        <w:numPr>
          <w:ilvl w:val="2"/>
          <w:numId w:val="59"/>
        </w:numPr>
        <w:tabs>
          <w:tab w:val="clear" w:pos="720"/>
          <w:tab w:val="left" w:pos="0" w:leader="none"/>
        </w:tabs>
        <w:ind w:hanging="0" w:start="0"/>
        <w:jc w:val="both"/>
        <w:rPr/>
      </w:pPr>
      <w:r>
        <w:rPr/>
        <w:tab/>
      </w:r>
      <w:r>
        <w:rPr>
          <w:u w:val="single"/>
        </w:rPr>
        <w:t>Acquisitions of Subsidiaries or Businesses</w:t>
      </w:r>
      <w:r>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a"/>
        <w:widowControl/>
        <w:numPr>
          <w:ilvl w:val="2"/>
          <w:numId w:val="59"/>
        </w:numPr>
        <w:tabs>
          <w:tab w:val="clear" w:pos="720"/>
          <w:tab w:val="left" w:pos="0" w:leader="none"/>
        </w:tabs>
        <w:ind w:hanging="0" w:start="0"/>
        <w:jc w:val="both"/>
        <w:rPr/>
      </w:pPr>
      <w:r>
        <w:rPr/>
        <w:tab/>
      </w:r>
      <w:r>
        <w:rPr>
          <w:u w:val="single"/>
        </w:rPr>
        <w:t>Restriction on Payments and Distributions</w:t>
      </w:r>
      <w:r>
        <w:rPr/>
        <w:t>.  The Trust will not make any payments or distributions to the Certificate Holders or to the Transferors other than as provided in the Trust Agreement.</w:t>
      </w:r>
    </w:p>
    <w:p>
      <w:pPr>
        <w:pStyle w:val="a"/>
        <w:keepNext w:val="true"/>
        <w:widowControl/>
        <w:numPr>
          <w:ilvl w:val="2"/>
          <w:numId w:val="59"/>
        </w:numPr>
        <w:tabs>
          <w:tab w:val="clear" w:pos="720"/>
          <w:tab w:val="left" w:pos="0" w:leader="none"/>
        </w:tabs>
        <w:ind w:hanging="0" w:start="0"/>
        <w:jc w:val="both"/>
        <w:rPr/>
      </w:pPr>
      <w:r>
        <w:rPr/>
        <w:tab/>
      </w:r>
      <w:r>
        <w:rPr>
          <w:u w:val="single"/>
        </w:rPr>
        <w:t>Investments</w:t>
      </w:r>
      <w:r>
        <w:rPr/>
        <w:t>.  The Trust will not own any interest in any share, equity related investment or investment security other than Permitted Investments and the Class B Interests.</w:t>
      </w:r>
    </w:p>
    <w:p>
      <w:pPr>
        <w:pStyle w:val="Normal"/>
        <w:keepNext w:val="true"/>
        <w:keepLines/>
        <w:widowControl/>
        <w:numPr>
          <w:ilvl w:val="1"/>
          <w:numId w:val="59"/>
        </w:numPr>
        <w:tabs>
          <w:tab w:val="clear" w:pos="720"/>
          <w:tab w:val="left" w:pos="0" w:leader="none"/>
        </w:tabs>
        <w:ind w:hanging="0" w:start="0"/>
        <w:jc w:val="both"/>
        <w:rPr/>
      </w:pPr>
      <w:r>
        <w:rPr>
          <w:rStyle w:val="SectionHead"/>
          <w:sz w:val="24"/>
          <w:szCs w:val="24"/>
        </w:rPr>
        <w:tab/>
        <w:t xml:space="preserve">Section     Information Covenants </w:t>
      </w:r>
      <w:ins w:id="139" w:author="foobar" w:date="2000-11-09T12:47:00Z">
        <w:r>
          <w:fldChar w:fldCharType="begin"/>
        </w:r>
        <w:r>
          <w:rPr/>
          <w:instrText xml:space="preserve"> TC "Section     Information Covenants " \l 2 </w:instrText>
        </w:r>
      </w:ins>
      <w:r>
        <w:rPr/>
        <w:fldChar w:fldCharType="separate"/>
      </w:r>
      <w:ins w:id="140" w:author="foobar" w:date="2000-11-09T12:47:00Z">
        <w:r>
          <w:rPr/>
        </w:r>
      </w:ins>
      <w:r>
        <w:rPr/>
        <w:fldChar w:fldCharType="end"/>
      </w:r>
      <w:r>
        <w:rPr>
          <w:sz w:val="24"/>
          <w:szCs w:val="24"/>
        </w:rPr>
        <w:t xml:space="preserve">.  </w:t>
      </w:r>
    </w:p>
    <w:p>
      <w:pPr>
        <w:pStyle w:val="Normal"/>
        <w:keepNext w:val="true"/>
        <w:keepLines/>
        <w:widowControl/>
        <w:numPr>
          <w:ilvl w:val="1"/>
          <w:numId w:val="59"/>
        </w:numPr>
        <w:tabs>
          <w:tab w:val="clear" w:pos="720"/>
          <w:tab w:val="left" w:pos="0" w:leader="none"/>
        </w:tabs>
        <w:ind w:hanging="0" w:start="0"/>
        <w:jc w:val="both"/>
        <w:rPr>
          <w:sz w:val="24"/>
          <w:szCs w:val="24"/>
        </w:rPr>
      </w:pPr>
      <w:r>
        <w:rPr>
          <w:sz w:val="24"/>
          <w:szCs w:val="24"/>
        </w:rPr>
      </w:r>
    </w:p>
    <w:p>
      <w:pPr>
        <w:pStyle w:val="a"/>
        <w:keepLines/>
        <w:widowControl/>
        <w:numPr>
          <w:ilvl w:val="2"/>
          <w:numId w:val="59"/>
        </w:numPr>
        <w:tabs>
          <w:tab w:val="clear" w:pos="720"/>
          <w:tab w:val="left" w:pos="0" w:leader="none"/>
        </w:tabs>
        <w:ind w:hanging="0" w:start="0"/>
        <w:jc w:val="both"/>
        <w:rPr/>
      </w:pPr>
      <w:r>
        <w:rPr/>
        <w:tab/>
      </w:r>
      <w:r>
        <w:rPr>
          <w:u w:val="single"/>
        </w:rPr>
        <w:t>Notice of Defaults</w:t>
      </w:r>
      <w:r>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a"/>
        <w:widowControl/>
        <w:numPr>
          <w:ilvl w:val="2"/>
          <w:numId w:val="59"/>
        </w:numPr>
        <w:tabs>
          <w:tab w:val="clear" w:pos="720"/>
          <w:tab w:val="left" w:pos="0" w:leader="none"/>
        </w:tabs>
        <w:ind w:hanging="0" w:start="0"/>
        <w:jc w:val="both"/>
        <w:rPr/>
      </w:pPr>
      <w:r>
        <w:rPr/>
        <w:tab/>
      </w:r>
      <w:r>
        <w:rPr>
          <w:u w:val="single"/>
        </w:rPr>
        <w:t>Other Information</w:t>
      </w:r>
      <w:r>
        <w:rPr/>
        <w:t>.  The Trust will promptly deliver (or cause to be delivered) to the Agent for distribution to the Lenders:</w:t>
      </w:r>
    </w:p>
    <w:p>
      <w:pPr>
        <w:pStyle w:val="i"/>
        <w:widowControl/>
        <w:numPr>
          <w:ilvl w:val="3"/>
          <w:numId w:val="59"/>
        </w:numPr>
        <w:tabs>
          <w:tab w:val="clear" w:pos="720"/>
          <w:tab w:val="left" w:pos="0" w:leader="none"/>
        </w:tabs>
        <w:ind w:hanging="0" w:start="720"/>
        <w:jc w:val="both"/>
        <w:rPr/>
      </w:pPr>
      <w:r>
        <w:rPr/>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i"/>
        <w:keepNext w:val="true"/>
        <w:widowControl/>
        <w:numPr>
          <w:ilvl w:val="3"/>
          <w:numId w:val="59"/>
        </w:numPr>
        <w:tabs>
          <w:tab w:val="clear" w:pos="720"/>
          <w:tab w:val="left" w:pos="0" w:leader="none"/>
        </w:tabs>
        <w:ind w:hanging="0" w:start="720"/>
        <w:jc w:val="both"/>
        <w:rPr/>
      </w:pPr>
      <w:r>
        <w:rPr/>
        <w:tab/>
        <w:t>details of any occurrence or circumstance which will materially and adversely affect the ability of the Trust to perform any of its material payment obligations under any of the Operative Documents.</w:t>
      </w:r>
    </w:p>
    <w:p>
      <w:pPr>
        <w:pStyle w:val="Normal"/>
        <w:keepNext w:val="true"/>
        <w:keepLines/>
        <w:widowControl/>
        <w:numPr>
          <w:ilvl w:val="1"/>
          <w:numId w:val="59"/>
        </w:numPr>
        <w:tabs>
          <w:tab w:val="clear" w:pos="720"/>
          <w:tab w:val="left" w:pos="0" w:leader="none"/>
        </w:tabs>
        <w:ind w:hanging="0" w:start="0"/>
        <w:jc w:val="both"/>
        <w:rPr/>
      </w:pPr>
      <w:r>
        <w:rPr>
          <w:rStyle w:val="SectionHead"/>
          <w:sz w:val="24"/>
          <w:szCs w:val="24"/>
        </w:rPr>
        <w:tab/>
        <w:t xml:space="preserve">Section     Separateness </w:t>
      </w:r>
      <w:ins w:id="141" w:author="foobar" w:date="2000-11-09T12:47:00Z">
        <w:r>
          <w:fldChar w:fldCharType="begin"/>
        </w:r>
        <w:r>
          <w:rPr/>
          <w:instrText xml:space="preserve"> TC "Section     Separateness " \l 2 </w:instrText>
        </w:r>
      </w:ins>
      <w:r>
        <w:rPr/>
        <w:fldChar w:fldCharType="separate"/>
      </w:r>
      <w:ins w:id="142" w:author="foobar" w:date="2000-11-09T12:47:00Z">
        <w:r>
          <w:rPr/>
        </w:r>
      </w:ins>
      <w:r>
        <w:rPr/>
        <w:fldChar w:fldCharType="end"/>
      </w:r>
      <w:r>
        <w:rPr>
          <w:sz w:val="24"/>
          <w:szCs w:val="24"/>
        </w:rPr>
        <w:t>.  The Trust covenants and agrees as follows:</w:t>
      </w:r>
    </w:p>
    <w:p>
      <w:pPr>
        <w:pStyle w:val="Normal"/>
        <w:keepNext w:val="true"/>
        <w:keepLines/>
        <w:widowControl/>
        <w:numPr>
          <w:ilvl w:val="1"/>
          <w:numId w:val="59"/>
        </w:numPr>
        <w:tabs>
          <w:tab w:val="clear" w:pos="720"/>
          <w:tab w:val="left" w:pos="0" w:leader="none"/>
        </w:tabs>
        <w:ind w:hanging="0" w:start="0"/>
        <w:jc w:val="both"/>
        <w:rPr>
          <w:sz w:val="24"/>
          <w:szCs w:val="24"/>
        </w:rPr>
      </w:pPr>
      <w:r>
        <w:rPr>
          <w:sz w:val="24"/>
          <w:szCs w:val="24"/>
        </w:rPr>
      </w:r>
    </w:p>
    <w:p>
      <w:pPr>
        <w:pStyle w:val="a"/>
        <w:keepLines/>
        <w:widowControl/>
        <w:numPr>
          <w:ilvl w:val="2"/>
          <w:numId w:val="59"/>
        </w:numPr>
        <w:tabs>
          <w:tab w:val="clear" w:pos="720"/>
          <w:tab w:val="left" w:pos="0" w:leader="none"/>
        </w:tabs>
        <w:ind w:hanging="0" w:start="0"/>
        <w:jc w:val="both"/>
        <w:rPr/>
      </w:pPr>
      <w:r>
        <w:rPr/>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a"/>
        <w:widowControl/>
        <w:numPr>
          <w:ilvl w:val="2"/>
          <w:numId w:val="59"/>
        </w:numPr>
        <w:tabs>
          <w:tab w:val="clear" w:pos="720"/>
          <w:tab w:val="left" w:pos="0" w:leader="none"/>
        </w:tabs>
        <w:ind w:hanging="0" w:start="0"/>
        <w:jc w:val="both"/>
        <w:rPr/>
      </w:pPr>
      <w:r>
        <w:rPr/>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a"/>
        <w:widowControl/>
        <w:numPr>
          <w:ilvl w:val="2"/>
          <w:numId w:val="59"/>
        </w:numPr>
        <w:tabs>
          <w:tab w:val="clear" w:pos="720"/>
          <w:tab w:val="left" w:pos="0" w:leader="none"/>
        </w:tabs>
        <w:ind w:hanging="0" w:start="0"/>
        <w:jc w:val="both"/>
        <w:rPr/>
      </w:pPr>
      <w:r>
        <w:rPr/>
        <w:tab/>
        <w:t>The Trust shall not commingle the funds and other assets of the Trust with those of any Affiliate or constituent party, or any Affiliate of any constituent party, or any other Person.</w:t>
      </w:r>
    </w:p>
    <w:p>
      <w:pPr>
        <w:pStyle w:val="a"/>
        <w:widowControl/>
        <w:numPr>
          <w:ilvl w:val="2"/>
          <w:numId w:val="59"/>
        </w:numPr>
        <w:tabs>
          <w:tab w:val="clear" w:pos="720"/>
          <w:tab w:val="left" w:pos="0" w:leader="none"/>
        </w:tabs>
        <w:ind w:hanging="0" w:start="0"/>
        <w:jc w:val="both"/>
        <w:rPr/>
      </w:pPr>
      <w:r>
        <w:rPr/>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a"/>
        <w:keepNext w:val="true"/>
        <w:widowControl/>
        <w:numPr>
          <w:ilvl w:val="2"/>
          <w:numId w:val="59"/>
        </w:numPr>
        <w:tabs>
          <w:tab w:val="clear" w:pos="720"/>
          <w:tab w:val="left" w:pos="0" w:leader="none"/>
        </w:tabs>
        <w:ind w:hanging="0" w:start="0"/>
        <w:jc w:val="both"/>
        <w:rPr/>
      </w:pPr>
      <w:r>
        <w:rPr/>
        <w:tab/>
        <w:t>The Trust shall not hold itself out to be responsible for the debts or obligations of any other Person.</w:t>
      </w:r>
    </w:p>
    <w:p>
      <w:pPr>
        <w:pStyle w:val="Normal"/>
        <w:keepNext w:val="true"/>
        <w:keepLines/>
        <w:widowControl/>
        <w:numPr>
          <w:ilvl w:val="1"/>
          <w:numId w:val="59"/>
        </w:numPr>
        <w:tabs>
          <w:tab w:val="clear" w:pos="720"/>
          <w:tab w:val="left" w:pos="0" w:leader="none"/>
        </w:tabs>
        <w:ind w:hanging="0" w:start="0"/>
        <w:jc w:val="both"/>
        <w:rPr/>
      </w:pPr>
      <w:r>
        <w:rPr>
          <w:rStyle w:val="SectionHead"/>
          <w:sz w:val="24"/>
          <w:szCs w:val="24"/>
        </w:rPr>
        <w:tab/>
        <w:t xml:space="preserve">Section     Exercise of Put Options; Demand Note </w:t>
      </w:r>
      <w:ins w:id="143" w:author="foobar" w:date="2000-11-09T12:47:00Z">
        <w:r>
          <w:fldChar w:fldCharType="begin"/>
        </w:r>
        <w:r>
          <w:rPr/>
          <w:instrText xml:space="preserve"> TC "Section     Exercise of Put Options; Demand Note " \l 2 </w:instrText>
        </w:r>
      </w:ins>
      <w:r>
        <w:rPr/>
        <w:fldChar w:fldCharType="separate"/>
      </w:r>
      <w:ins w:id="144" w:author="foobar" w:date="2000-11-09T12:47:00Z">
        <w:r>
          <w:rPr/>
        </w:r>
      </w:ins>
      <w:r>
        <w:rPr/>
        <w:fldChar w:fldCharType="end"/>
      </w:r>
      <w:r>
        <w:rPr>
          <w:sz w:val="24"/>
          <w:szCs w:val="24"/>
        </w:rPr>
        <w:t xml:space="preserve">.  </w:t>
      </w:r>
    </w:p>
    <w:p>
      <w:pPr>
        <w:pStyle w:val="Normal"/>
        <w:keepNext w:val="true"/>
        <w:keepLines/>
        <w:widowControl/>
        <w:numPr>
          <w:ilvl w:val="1"/>
          <w:numId w:val="59"/>
        </w:numPr>
        <w:tabs>
          <w:tab w:val="clear" w:pos="720"/>
          <w:tab w:val="left" w:pos="0" w:leader="none"/>
        </w:tabs>
        <w:ind w:hanging="0" w:start="0"/>
        <w:jc w:val="both"/>
        <w:rPr>
          <w:sz w:val="24"/>
          <w:szCs w:val="24"/>
        </w:rPr>
      </w:pPr>
      <w:r>
        <w:rPr>
          <w:sz w:val="24"/>
          <w:szCs w:val="24"/>
        </w:rPr>
        <w:tab/>
      </w:r>
    </w:p>
    <w:p>
      <w:pPr>
        <w:pStyle w:val="Normal"/>
        <w:keepLines/>
        <w:widowControl/>
        <w:jc w:val="both"/>
        <w:rPr>
          <w:sz w:val="24"/>
          <w:szCs w:val="24"/>
        </w:rPr>
      </w:pPr>
      <w:r>
        <w:rPr>
          <w:sz w:val="24"/>
          <w:szCs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widowControl/>
        <w:jc w:val="both"/>
        <w:rPr>
          <w:sz w:val="24"/>
          <w:szCs w:val="24"/>
        </w:rPr>
      </w:pPr>
      <w:r>
        <w:rPr>
          <w:sz w:val="24"/>
          <w:szCs w:val="24"/>
        </w:rPr>
      </w:r>
    </w:p>
    <w:p>
      <w:pPr>
        <w:pStyle w:val="ARTICLE"/>
        <w:keepNext w:val="true"/>
        <w:keepLines/>
        <w:widowControl/>
        <w:numPr>
          <w:ilvl w:val="0"/>
          <w:numId w:val="60"/>
        </w:numPr>
        <w:tabs>
          <w:tab w:val="clear" w:pos="720"/>
          <w:tab w:val="left" w:pos="0" w:leader="none"/>
        </w:tabs>
        <w:ind w:hanging="0" w:start="1440"/>
        <w:rPr/>
      </w:pPr>
      <w:r>
        <w:rPr>
          <w:b/>
          <w:bCs/>
        </w:rPr>
        <w:t>ARTICLE EVENTS OF DEFAULT</w:t>
      </w:r>
      <w:ins w:id="145" w:author="foobar" w:date="2000-11-09T12:47:00Z">
        <w:r>
          <w:fldChar w:fldCharType="begin"/>
        </w:r>
        <w:r>
          <w:rPr/>
          <w:instrText xml:space="preserve"> TC "ARTICLE EVENTS OF DEFAULT" \l 1 </w:instrText>
        </w:r>
      </w:ins>
      <w:r>
        <w:rPr/>
        <w:fldChar w:fldCharType="separate"/>
      </w:r>
      <w:ins w:id="146" w:author="foobar" w:date="2000-11-09T12:47:00Z">
        <w:r>
          <w:rPr/>
        </w:r>
      </w:ins>
      <w:r>
        <w:rPr/>
        <w:fldChar w:fldCharType="end"/>
      </w:r>
    </w:p>
    <w:p>
      <w:pPr>
        <w:pStyle w:val="ARTICLE"/>
        <w:keepNext w:val="true"/>
        <w:keepLines/>
        <w:widowControl/>
        <w:ind w:start="0" w:end="0"/>
        <w:jc w:val="both"/>
        <w:rPr/>
      </w:pPr>
      <w:r>
        <w:rPr/>
      </w:r>
    </w:p>
    <w:p>
      <w:pPr>
        <w:pStyle w:val="Normal"/>
        <w:keepNext w:val="true"/>
        <w:keepLines/>
        <w:widowControl/>
        <w:numPr>
          <w:ilvl w:val="1"/>
          <w:numId w:val="61"/>
        </w:numPr>
        <w:tabs>
          <w:tab w:val="clear" w:pos="720"/>
          <w:tab w:val="left" w:pos="0" w:leader="none"/>
        </w:tabs>
        <w:ind w:hanging="0" w:start="0"/>
        <w:jc w:val="both"/>
        <w:rPr/>
      </w:pPr>
      <w:r>
        <w:rPr>
          <w:rStyle w:val="SectionHead"/>
          <w:sz w:val="24"/>
          <w:szCs w:val="24"/>
        </w:rPr>
        <w:tab/>
        <w:t xml:space="preserve">Section     List of Events </w:t>
      </w:r>
      <w:ins w:id="147" w:author="foobar" w:date="2000-11-09T12:47:00Z">
        <w:r>
          <w:fldChar w:fldCharType="begin"/>
        </w:r>
        <w:r>
          <w:rPr/>
          <w:instrText xml:space="preserve"> TC "Section     List of Events " \l 2 </w:instrText>
        </w:r>
      </w:ins>
      <w:r>
        <w:rPr/>
        <w:fldChar w:fldCharType="separate"/>
      </w:r>
      <w:ins w:id="148" w:author="foobar" w:date="2000-11-09T12:47:00Z">
        <w:r>
          <w:rPr/>
        </w:r>
      </w:ins>
      <w:r>
        <w:rPr/>
        <w:fldChar w:fldCharType="end"/>
      </w:r>
      <w:r>
        <w:rPr>
          <w:sz w:val="24"/>
          <w:szCs w:val="24"/>
        </w:rPr>
        <w:t>.  Each of the events set out in this Section 13.1 constitutes an Event of Default whether or not the occurrence of the event concerned is outside the control of the Trust or any other Person.</w:t>
      </w:r>
    </w:p>
    <w:p>
      <w:pPr>
        <w:pStyle w:val="Normal"/>
        <w:keepNext w:val="true"/>
        <w:keepLines/>
        <w:widowControl/>
        <w:jc w:val="both"/>
        <w:rPr>
          <w:sz w:val="24"/>
          <w:szCs w:val="24"/>
        </w:rPr>
      </w:pPr>
      <w:r>
        <w:rPr>
          <w:sz w:val="24"/>
          <w:szCs w:val="24"/>
        </w:rPr>
      </w:r>
    </w:p>
    <w:p>
      <w:pPr>
        <w:pStyle w:val="a"/>
        <w:keepLines/>
        <w:widowControl/>
        <w:numPr>
          <w:ilvl w:val="2"/>
          <w:numId w:val="62"/>
        </w:numPr>
        <w:tabs>
          <w:tab w:val="clear" w:pos="720"/>
          <w:tab w:val="left" w:pos="0" w:leader="none"/>
        </w:tabs>
        <w:ind w:hanging="0" w:start="0"/>
        <w:jc w:val="both"/>
        <w:rPr/>
      </w:pPr>
      <w:r>
        <w:rPr/>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a"/>
        <w:widowControl/>
        <w:numPr>
          <w:ilvl w:val="2"/>
          <w:numId w:val="62"/>
        </w:numPr>
        <w:tabs>
          <w:tab w:val="clear" w:pos="720"/>
          <w:tab w:val="left" w:pos="0" w:leader="none"/>
        </w:tabs>
        <w:ind w:hanging="0" w:start="0"/>
        <w:jc w:val="both"/>
        <w:rPr/>
      </w:pPr>
      <w:r>
        <w:rPr/>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a"/>
        <w:widowControl/>
        <w:numPr>
          <w:ilvl w:val="2"/>
          <w:numId w:val="62"/>
        </w:numPr>
        <w:tabs>
          <w:tab w:val="clear" w:pos="720"/>
          <w:tab w:val="left" w:pos="0" w:leader="none"/>
        </w:tabs>
        <w:ind w:hanging="0" w:start="0"/>
        <w:jc w:val="both"/>
        <w:rPr/>
      </w:pPr>
      <w:r>
        <w:rPr/>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a"/>
        <w:widowControl/>
        <w:numPr>
          <w:ilvl w:val="2"/>
          <w:numId w:val="62"/>
        </w:numPr>
        <w:tabs>
          <w:tab w:val="clear" w:pos="720"/>
          <w:tab w:val="left" w:pos="0" w:leader="none"/>
        </w:tabs>
        <w:ind w:hanging="0" w:start="0"/>
        <w:jc w:val="both"/>
        <w:rPr/>
      </w:pPr>
      <w:r>
        <w:rPr/>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a"/>
        <w:widowControl/>
        <w:numPr>
          <w:ilvl w:val="2"/>
          <w:numId w:val="62"/>
        </w:numPr>
        <w:tabs>
          <w:tab w:val="clear" w:pos="720"/>
          <w:tab w:val="left" w:pos="0" w:leader="none"/>
        </w:tabs>
        <w:ind w:hanging="0" w:start="0"/>
        <w:jc w:val="both"/>
        <w:rPr/>
      </w:pPr>
      <w:r>
        <w:rPr/>
        <w:tab/>
        <w:t>At any time it is or becomes unlawful under the laws of any applicable jurisdiction for any party to the Finance Documents (other than any Finance Party) to perform any of its material obligations under any Finance Document.</w:t>
      </w:r>
    </w:p>
    <w:p>
      <w:pPr>
        <w:pStyle w:val="a"/>
        <w:widowControl/>
        <w:numPr>
          <w:ilvl w:val="2"/>
          <w:numId w:val="62"/>
        </w:numPr>
        <w:tabs>
          <w:tab w:val="clear" w:pos="720"/>
          <w:tab w:val="left" w:pos="0" w:leader="none"/>
        </w:tabs>
        <w:ind w:hanging="0" w:start="0"/>
        <w:jc w:val="both"/>
        <w:rPr/>
      </w:pPr>
      <w:r>
        <w:rPr/>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a"/>
        <w:widowControl/>
        <w:numPr>
          <w:ilvl w:val="2"/>
          <w:numId w:val="62"/>
        </w:numPr>
        <w:tabs>
          <w:tab w:val="clear" w:pos="720"/>
          <w:tab w:val="left" w:pos="0" w:leader="none"/>
        </w:tabs>
        <w:ind w:hanging="0" w:start="0"/>
        <w:jc w:val="both"/>
        <w:rPr/>
      </w:pPr>
      <w:r>
        <w:rPr/>
        <w:tab/>
        <w:t>Any party to the Finance Documents (other than any Finance Party) ceases, or threatens to cease, to carry on all or a substantial part of its business.</w:t>
      </w:r>
    </w:p>
    <w:p>
      <w:pPr>
        <w:pStyle w:val="a"/>
        <w:widowControl/>
        <w:numPr>
          <w:ilvl w:val="2"/>
          <w:numId w:val="62"/>
        </w:numPr>
        <w:tabs>
          <w:tab w:val="clear" w:pos="720"/>
          <w:tab w:val="left" w:pos="0" w:leader="none"/>
        </w:tabs>
        <w:ind w:hanging="0" w:start="0"/>
        <w:jc w:val="both"/>
        <w:rPr/>
      </w:pPr>
      <w:r>
        <w:rPr/>
        <w:tab/>
        <w:t>There shall occur a designation of an Early Termination Date under (and as defined in) any Total Return Swap Agreement.</w:t>
      </w:r>
    </w:p>
    <w:p>
      <w:pPr>
        <w:pStyle w:val="a"/>
        <w:widowControl/>
        <w:numPr>
          <w:ilvl w:val="2"/>
          <w:numId w:val="62"/>
        </w:numPr>
        <w:tabs>
          <w:tab w:val="clear" w:pos="720"/>
          <w:tab w:val="left" w:pos="0" w:leader="none"/>
        </w:tabs>
        <w:ind w:hanging="0" w:start="0"/>
        <w:jc w:val="both"/>
        <w:rPr/>
      </w:pPr>
      <w:r>
        <w:rPr/>
        <w:tab/>
        <w:t xml:space="preserve">An involuntary case or other proceeding shall be commenced against the Trust, any Sponsor, any  Asset LLC or any Transferor (each, a </w:t>
      </w:r>
      <w:r>
        <w:rPr>
          <w:b/>
          <w:bCs/>
        </w:rPr>
        <w:t>“</w:t>
      </w:r>
      <w:r>
        <w:rPr>
          <w:b/>
          <w:bCs/>
          <w:u w:val="single"/>
        </w:rPr>
        <w:t>Bankruptcy Party</w:t>
      </w:r>
      <w:r>
        <w:rPr>
          <w:b/>
          <w:bCs/>
        </w:rPr>
        <w:t>”</w:t>
      </w:r>
      <w:r>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a"/>
        <w:keepNext w:val="true"/>
        <w:widowControl/>
        <w:numPr>
          <w:ilvl w:val="2"/>
          <w:numId w:val="62"/>
        </w:numPr>
        <w:tabs>
          <w:tab w:val="clear" w:pos="720"/>
          <w:tab w:val="left" w:pos="0" w:leader="none"/>
        </w:tabs>
        <w:ind w:hanging="0" w:start="0"/>
        <w:jc w:val="both"/>
        <w:rPr/>
      </w:pPr>
      <w:r>
        <w:rPr/>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a"/>
        <w:keepNext w:val="true"/>
        <w:keepLines/>
        <w:widowControl/>
        <w:numPr>
          <w:ilvl w:val="2"/>
          <w:numId w:val="62"/>
        </w:numPr>
        <w:tabs>
          <w:tab w:val="clear" w:pos="720"/>
          <w:tab w:val="left" w:pos="0" w:leader="none"/>
        </w:tabs>
        <w:ind w:hanging="0" w:start="0"/>
        <w:jc w:val="both"/>
        <w:rPr/>
      </w:pPr>
      <w:r>
        <w:rPr/>
        <w:tab/>
        <w:t>An Event of Default (as defined in the Hawaii I  Facility Agreement) shall occur and be continuing.</w:t>
      </w:r>
    </w:p>
    <w:p>
      <w:pPr>
        <w:pStyle w:val="Normal"/>
        <w:keepNext w:val="true"/>
        <w:keepLines/>
        <w:widowControl/>
        <w:numPr>
          <w:ilvl w:val="1"/>
          <w:numId w:val="62"/>
        </w:numPr>
        <w:tabs>
          <w:tab w:val="clear" w:pos="720"/>
          <w:tab w:val="left" w:pos="0" w:leader="none"/>
        </w:tabs>
        <w:ind w:hanging="0" w:start="0"/>
        <w:jc w:val="both"/>
        <w:rPr/>
      </w:pPr>
      <w:r>
        <w:rPr>
          <w:rStyle w:val="SectionHead"/>
          <w:sz w:val="24"/>
          <w:szCs w:val="24"/>
        </w:rPr>
        <w:tab/>
        <w:t xml:space="preserve">Section     Cancellation and Repayment </w:t>
      </w:r>
      <w:ins w:id="149" w:author="foobar" w:date="2000-11-09T12:47:00Z">
        <w:r>
          <w:fldChar w:fldCharType="begin"/>
        </w:r>
        <w:r>
          <w:rPr/>
          <w:instrText xml:space="preserve"> TC "Section     Cancellation and Repayment " \l 2 </w:instrText>
        </w:r>
      </w:ins>
      <w:r>
        <w:rPr/>
        <w:fldChar w:fldCharType="separate"/>
      </w:r>
      <w:ins w:id="150" w:author="foobar" w:date="2000-11-09T12:47:00Z">
        <w:r>
          <w:rPr/>
        </w:r>
      </w:ins>
      <w:r>
        <w:rPr/>
        <w:fldChar w:fldCharType="end"/>
      </w:r>
      <w:r>
        <w:rPr>
          <w:sz w:val="24"/>
          <w:szCs w:val="24"/>
        </w:rPr>
        <w:t>.  At any time after the occurrence and during the continuance of an Event of Default the Agent may and, if so instructed by the Majority Lenders, will by notice to the Trust:</w:t>
      </w:r>
    </w:p>
    <w:p>
      <w:pPr>
        <w:pStyle w:val="Normal"/>
        <w:keepLines/>
        <w:widowControl/>
        <w:jc w:val="both"/>
        <w:rPr>
          <w:sz w:val="24"/>
          <w:szCs w:val="24"/>
        </w:rPr>
      </w:pPr>
      <w:r>
        <w:rPr>
          <w:sz w:val="24"/>
          <w:szCs w:val="24"/>
        </w:rPr>
      </w:r>
    </w:p>
    <w:p>
      <w:pPr>
        <w:pStyle w:val="a"/>
        <w:widowControl/>
        <w:numPr>
          <w:ilvl w:val="2"/>
          <w:numId w:val="63"/>
        </w:numPr>
        <w:tabs>
          <w:tab w:val="clear" w:pos="720"/>
          <w:tab w:val="left" w:pos="0" w:leader="none"/>
        </w:tabs>
        <w:ind w:hanging="0" w:start="0"/>
        <w:jc w:val="both"/>
        <w:rPr/>
      </w:pPr>
      <w:r>
        <w:rPr/>
        <w:tab/>
        <w:t>declare such event to constitute an Event of Default; and/or</w:t>
      </w:r>
    </w:p>
    <w:p>
      <w:pPr>
        <w:pStyle w:val="a"/>
        <w:keepNext w:val="true"/>
        <w:widowControl/>
        <w:numPr>
          <w:ilvl w:val="2"/>
          <w:numId w:val="63"/>
        </w:numPr>
        <w:tabs>
          <w:tab w:val="clear" w:pos="720"/>
          <w:tab w:val="left" w:pos="0" w:leader="none"/>
        </w:tabs>
        <w:ind w:hanging="0" w:start="0"/>
        <w:jc w:val="both"/>
        <w:rPr/>
      </w:pPr>
      <w:r>
        <w:rPr/>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u w:val="single"/>
        </w:rPr>
        <w:t>provided, however</w:t>
      </w:r>
      <w:r>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ARTICLE"/>
        <w:keepNext w:val="true"/>
        <w:keepLines/>
        <w:widowControl/>
        <w:numPr>
          <w:ilvl w:val="0"/>
          <w:numId w:val="63"/>
        </w:numPr>
        <w:tabs>
          <w:tab w:val="clear" w:pos="720"/>
          <w:tab w:val="left" w:pos="0" w:leader="none"/>
        </w:tabs>
        <w:ind w:hanging="0" w:start="1440"/>
        <w:rPr/>
      </w:pPr>
      <w:r>
        <w:rPr>
          <w:b/>
          <w:bCs/>
        </w:rPr>
        <w:t>ARTICLE THE AGENT AND THE OTHER FINANCE PARTIES</w:t>
      </w:r>
      <w:ins w:id="151" w:author="foobar" w:date="2000-11-09T12:47:00Z">
        <w:r>
          <w:fldChar w:fldCharType="begin"/>
        </w:r>
        <w:r>
          <w:rPr/>
          <w:instrText xml:space="preserve"> TC "ARTICLE THE AGENT AND THE OTHER FINANCE PARTIES" \l 1 </w:instrText>
        </w:r>
      </w:ins>
      <w:r>
        <w:rPr/>
        <w:fldChar w:fldCharType="separate"/>
      </w:r>
      <w:ins w:id="152" w:author="foobar" w:date="2000-11-09T12:47:00Z">
        <w:r>
          <w:rPr/>
        </w:r>
      </w:ins>
      <w:r>
        <w:rPr/>
        <w:fldChar w:fldCharType="end"/>
      </w:r>
    </w:p>
    <w:p>
      <w:pPr>
        <w:pStyle w:val="ARTICLE"/>
        <w:keepNext w:val="true"/>
        <w:keepLines/>
        <w:widowControl/>
        <w:ind w:start="0" w:end="0"/>
        <w:jc w:val="both"/>
        <w:rPr/>
      </w:pPr>
      <w:r>
        <w:rPr/>
      </w:r>
    </w:p>
    <w:p>
      <w:pPr>
        <w:pStyle w:val="Normal"/>
        <w:keepNext w:val="true"/>
        <w:keepLines/>
        <w:widowControl/>
        <w:numPr>
          <w:ilvl w:val="1"/>
          <w:numId w:val="64"/>
        </w:numPr>
        <w:tabs>
          <w:tab w:val="clear" w:pos="720"/>
          <w:tab w:val="left" w:pos="0" w:leader="none"/>
        </w:tabs>
        <w:ind w:hanging="0" w:start="0"/>
        <w:jc w:val="both"/>
        <w:rPr>
          <w:sz w:val="24"/>
          <w:szCs w:val="24"/>
        </w:rPr>
      </w:pPr>
      <w:r>
        <w:rPr>
          <w:rStyle w:val="SectionHead"/>
          <w:sz w:val="24"/>
          <w:szCs w:val="24"/>
        </w:rPr>
        <w:tab/>
        <w:t xml:space="preserve">Section     Appointment and Duties of the Agent </w:t>
      </w:r>
      <w:ins w:id="153" w:author="foobar" w:date="2000-11-09T12:47:00Z">
        <w:r>
          <w:fldChar w:fldCharType="begin"/>
        </w:r>
        <w:r>
          <w:rPr/>
          <w:instrText xml:space="preserve"> TC "Section     Appointment and Duties of the Agent " \l 2 </w:instrText>
        </w:r>
      </w:ins>
      <w:r>
        <w:rPr/>
        <w:fldChar w:fldCharType="separate"/>
      </w:r>
      <w:ins w:id="154" w:author="foobar" w:date="2000-11-09T12:47:00Z">
        <w:r>
          <w:rPr/>
        </w:r>
      </w:ins>
      <w:r>
        <w:rPr/>
        <w:fldChar w:fldCharType="end"/>
      </w:r>
    </w:p>
    <w:p>
      <w:pPr>
        <w:pStyle w:val="Normal"/>
        <w:keepNext w:val="true"/>
        <w:keepLines/>
        <w:widowControl/>
        <w:numPr>
          <w:ilvl w:val="1"/>
          <w:numId w:val="64"/>
        </w:numPr>
        <w:tabs>
          <w:tab w:val="clear" w:pos="720"/>
          <w:tab w:val="left" w:pos="0" w:leader="none"/>
        </w:tabs>
        <w:ind w:hanging="0" w:start="0"/>
        <w:jc w:val="both"/>
        <w:rPr>
          <w:sz w:val="24"/>
          <w:szCs w:val="24"/>
        </w:rPr>
      </w:pPr>
      <w:r>
        <w:rPr>
          <w:sz w:val="24"/>
          <w:szCs w:val="24"/>
        </w:rPr>
      </w:r>
    </w:p>
    <w:p>
      <w:pPr>
        <w:pStyle w:val="a"/>
        <w:keepLines/>
        <w:widowControl/>
        <w:numPr>
          <w:ilvl w:val="2"/>
          <w:numId w:val="64"/>
        </w:numPr>
        <w:tabs>
          <w:tab w:val="clear" w:pos="720"/>
          <w:tab w:val="left" w:pos="0" w:leader="none"/>
        </w:tabs>
        <w:ind w:hanging="0" w:start="0"/>
        <w:jc w:val="both"/>
        <w:rPr/>
      </w:pPr>
      <w:r>
        <w:rPr/>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 Paolo IMI S.p.A., as Co-Arrangers, to act as co-arrangers for the purposes of the Finance Documents; and Bayerische Landesbank, as Documentation Agent, to act as documentation agent for the purposes of the Finance Documents.  Each Lender further irrevocably authorizes Canadian Imperial Bank of Commerce</w:t>
      </w:r>
      <w:r>
        <w:rPr>
          <w:b/>
          <w:bCs/>
        </w:rPr>
        <w:t>,</w:t>
      </w:r>
      <w:r>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a"/>
        <w:widowControl/>
        <w:numPr>
          <w:ilvl w:val="2"/>
          <w:numId w:val="64"/>
        </w:numPr>
        <w:tabs>
          <w:tab w:val="clear" w:pos="720"/>
          <w:tab w:val="left" w:pos="0" w:leader="none"/>
        </w:tabs>
        <w:ind w:hanging="0" w:start="0"/>
        <w:jc w:val="both"/>
        <w:rPr/>
      </w:pPr>
      <w:r>
        <w:rPr/>
        <w:tab/>
        <w:t>The Agent will act solely as agent for the Lenders in carrying out its functions as agent for purposes of the Operative Documents and will exercise the same care as it would in dealing with a credit for its own account.</w:t>
      </w:r>
    </w:p>
    <w:p>
      <w:pPr>
        <w:pStyle w:val="a"/>
        <w:keepNext w:val="true"/>
        <w:widowControl/>
        <w:numPr>
          <w:ilvl w:val="2"/>
          <w:numId w:val="64"/>
        </w:numPr>
        <w:tabs>
          <w:tab w:val="clear" w:pos="720"/>
          <w:tab w:val="left" w:pos="0" w:leader="none"/>
        </w:tabs>
        <w:ind w:hanging="0" w:start="0"/>
        <w:jc w:val="both"/>
        <w:rPr/>
      </w:pPr>
      <w:r>
        <w:rPr/>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widowControl/>
        <w:numPr>
          <w:ilvl w:val="1"/>
          <w:numId w:val="64"/>
        </w:numPr>
        <w:tabs>
          <w:tab w:val="clear" w:pos="720"/>
          <w:tab w:val="left" w:pos="0" w:leader="none"/>
        </w:tabs>
        <w:ind w:hanging="0" w:start="0"/>
        <w:jc w:val="both"/>
        <w:rPr/>
      </w:pPr>
      <w:r>
        <w:rPr>
          <w:rStyle w:val="SectionHead"/>
          <w:sz w:val="24"/>
          <w:szCs w:val="24"/>
        </w:rPr>
        <w:tab/>
        <w:t xml:space="preserve">Section     Agent’s Duties </w:t>
      </w:r>
      <w:ins w:id="155" w:author="foobar" w:date="2000-11-09T12:47:00Z">
        <w:r>
          <w:fldChar w:fldCharType="begin"/>
        </w:r>
        <w:r>
          <w:rPr/>
          <w:instrText xml:space="preserve"> TC "Section     Agent’s Duties " \l 2 </w:instrText>
        </w:r>
      </w:ins>
      <w:r>
        <w:rPr/>
        <w:fldChar w:fldCharType="separate"/>
      </w:r>
      <w:ins w:id="156" w:author="foobar" w:date="2000-11-09T12:47:00Z">
        <w:r>
          <w:rPr/>
        </w:r>
      </w:ins>
      <w:r>
        <w:rPr/>
        <w:fldChar w:fldCharType="end"/>
      </w:r>
      <w:r>
        <w:rPr>
          <w:sz w:val="24"/>
          <w:szCs w:val="24"/>
        </w:rPr>
        <w:t>.  The Agent shall:</w:t>
      </w:r>
    </w:p>
    <w:p>
      <w:pPr>
        <w:pStyle w:val="Normal"/>
        <w:keepNext w:val="true"/>
        <w:keepLines/>
        <w:widowControl/>
        <w:numPr>
          <w:ilvl w:val="1"/>
          <w:numId w:val="64"/>
        </w:numPr>
        <w:tabs>
          <w:tab w:val="clear" w:pos="720"/>
          <w:tab w:val="left" w:pos="0" w:leader="none"/>
        </w:tabs>
        <w:ind w:hanging="0" w:start="0"/>
        <w:jc w:val="both"/>
        <w:rPr>
          <w:sz w:val="24"/>
          <w:szCs w:val="24"/>
        </w:rPr>
      </w:pPr>
      <w:r>
        <w:rPr>
          <w:sz w:val="24"/>
          <w:szCs w:val="24"/>
        </w:rPr>
      </w:r>
    </w:p>
    <w:p>
      <w:pPr>
        <w:pStyle w:val="a"/>
        <w:keepLines/>
        <w:widowControl/>
        <w:numPr>
          <w:ilvl w:val="2"/>
          <w:numId w:val="64"/>
        </w:numPr>
        <w:tabs>
          <w:tab w:val="clear" w:pos="720"/>
          <w:tab w:val="left" w:pos="0" w:leader="none"/>
        </w:tabs>
        <w:ind w:hanging="0" w:start="0"/>
        <w:jc w:val="both"/>
        <w:rPr/>
      </w:pPr>
      <w:r>
        <w:rPr/>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a"/>
        <w:widowControl/>
        <w:numPr>
          <w:ilvl w:val="2"/>
          <w:numId w:val="64"/>
        </w:numPr>
        <w:tabs>
          <w:tab w:val="clear" w:pos="720"/>
          <w:tab w:val="left" w:pos="0" w:leader="none"/>
        </w:tabs>
        <w:ind w:hanging="0" w:start="0"/>
        <w:jc w:val="both"/>
        <w:rPr/>
      </w:pPr>
      <w:r>
        <w:rPr/>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a"/>
        <w:widowControl/>
        <w:numPr>
          <w:ilvl w:val="2"/>
          <w:numId w:val="64"/>
        </w:numPr>
        <w:tabs>
          <w:tab w:val="clear" w:pos="720"/>
          <w:tab w:val="left" w:pos="0" w:leader="none"/>
        </w:tabs>
        <w:ind w:hanging="0" w:start="0"/>
        <w:jc w:val="both"/>
        <w:rPr/>
      </w:pPr>
      <w:r>
        <w:rPr/>
        <w:tab/>
        <w:t>have only those duties, obligations and responsibilities expressly specified in the Operative Documents; and</w:t>
      </w:r>
    </w:p>
    <w:p>
      <w:pPr>
        <w:pStyle w:val="a"/>
        <w:keepNext w:val="true"/>
        <w:widowControl/>
        <w:numPr>
          <w:ilvl w:val="2"/>
          <w:numId w:val="64"/>
        </w:numPr>
        <w:tabs>
          <w:tab w:val="clear" w:pos="720"/>
          <w:tab w:val="left" w:pos="0" w:leader="none"/>
        </w:tabs>
        <w:ind w:hanging="0" w:start="0"/>
        <w:jc w:val="both"/>
        <w:rPr/>
      </w:pPr>
      <w:r>
        <w:rPr/>
        <w:tab/>
        <w:t>without affecting any other clause hereof, promptly notify the Lenders of the occurrence of any Event of Default or Default of which it becomes aware.</w:t>
      </w:r>
    </w:p>
    <w:p>
      <w:pPr>
        <w:pStyle w:val="Normal"/>
        <w:keepNext w:val="true"/>
        <w:keepLines/>
        <w:widowControl/>
        <w:numPr>
          <w:ilvl w:val="1"/>
          <w:numId w:val="64"/>
        </w:numPr>
        <w:tabs>
          <w:tab w:val="clear" w:pos="720"/>
          <w:tab w:val="left" w:pos="0" w:leader="none"/>
        </w:tabs>
        <w:ind w:hanging="0" w:start="0"/>
        <w:jc w:val="both"/>
        <w:rPr/>
      </w:pPr>
      <w:r>
        <w:rPr>
          <w:rStyle w:val="SectionHead"/>
          <w:sz w:val="24"/>
          <w:szCs w:val="24"/>
        </w:rPr>
        <w:tab/>
        <w:t xml:space="preserve">Section     Agent’s Rights </w:t>
      </w:r>
      <w:ins w:id="157" w:author="foobar" w:date="2000-11-09T12:47:00Z">
        <w:r>
          <w:fldChar w:fldCharType="begin"/>
        </w:r>
        <w:r>
          <w:rPr/>
          <w:instrText xml:space="preserve"> TC "Section     Agent’s Rights " \l 2 </w:instrText>
        </w:r>
      </w:ins>
      <w:r>
        <w:rPr/>
        <w:fldChar w:fldCharType="separate"/>
      </w:r>
      <w:ins w:id="158" w:author="foobar" w:date="2000-11-09T12:47:00Z">
        <w:r>
          <w:rPr/>
        </w:r>
      </w:ins>
      <w:r>
        <w:rPr/>
        <w:fldChar w:fldCharType="end"/>
      </w:r>
      <w:r>
        <w:rPr>
          <w:sz w:val="24"/>
          <w:szCs w:val="24"/>
        </w:rPr>
        <w:t>.  The Agent may:</w:t>
      </w:r>
    </w:p>
    <w:p>
      <w:pPr>
        <w:pStyle w:val="Normal"/>
        <w:keepNext w:val="true"/>
        <w:keepLines/>
        <w:widowControl/>
        <w:numPr>
          <w:ilvl w:val="1"/>
          <w:numId w:val="64"/>
        </w:numPr>
        <w:tabs>
          <w:tab w:val="clear" w:pos="720"/>
          <w:tab w:val="left" w:pos="0" w:leader="none"/>
        </w:tabs>
        <w:ind w:hanging="0" w:start="0"/>
        <w:jc w:val="both"/>
        <w:rPr>
          <w:sz w:val="24"/>
          <w:szCs w:val="24"/>
        </w:rPr>
      </w:pPr>
      <w:r>
        <w:rPr>
          <w:sz w:val="24"/>
          <w:szCs w:val="24"/>
        </w:rPr>
      </w:r>
    </w:p>
    <w:p>
      <w:pPr>
        <w:pStyle w:val="a"/>
        <w:keepLines/>
        <w:widowControl/>
        <w:numPr>
          <w:ilvl w:val="2"/>
          <w:numId w:val="64"/>
        </w:numPr>
        <w:tabs>
          <w:tab w:val="clear" w:pos="720"/>
          <w:tab w:val="left" w:pos="0" w:leader="none"/>
        </w:tabs>
        <w:ind w:hanging="0" w:start="0"/>
        <w:jc w:val="both"/>
        <w:rPr/>
      </w:pPr>
      <w:r>
        <w:rPr/>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a"/>
        <w:widowControl/>
        <w:numPr>
          <w:ilvl w:val="2"/>
          <w:numId w:val="64"/>
        </w:numPr>
        <w:tabs>
          <w:tab w:val="clear" w:pos="720"/>
          <w:tab w:val="left" w:pos="0" w:leader="none"/>
        </w:tabs>
        <w:ind w:hanging="0" w:start="0"/>
        <w:jc w:val="both"/>
        <w:rPr/>
      </w:pPr>
      <w:r>
        <w:rPr/>
        <w:tab/>
        <w:t>refrain from exercising any right, power or discretion vested in it under the Operative Documents until it has received instructions from the Lenders;</w:t>
      </w:r>
    </w:p>
    <w:p>
      <w:pPr>
        <w:pStyle w:val="a"/>
        <w:widowControl/>
        <w:numPr>
          <w:ilvl w:val="2"/>
          <w:numId w:val="64"/>
        </w:numPr>
        <w:tabs>
          <w:tab w:val="clear" w:pos="720"/>
          <w:tab w:val="left" w:pos="0" w:leader="none"/>
        </w:tabs>
        <w:ind w:hanging="0" w:start="0"/>
        <w:jc w:val="both"/>
        <w:rPr/>
      </w:pPr>
      <w:r>
        <w:rPr/>
        <w:tab/>
        <w:t>unless it has received notice in writing to the contrary, treat (a) each Lender which makes available its Advance as the Person entitled to repayment thereof and (b) the office set under such Lender’s name in Schedule 1 as its Funding Office;</w:t>
      </w:r>
    </w:p>
    <w:p>
      <w:pPr>
        <w:pStyle w:val="a"/>
        <w:widowControl/>
        <w:numPr>
          <w:ilvl w:val="2"/>
          <w:numId w:val="64"/>
        </w:numPr>
        <w:tabs>
          <w:tab w:val="clear" w:pos="720"/>
          <w:tab w:val="left" w:pos="0" w:leader="none"/>
        </w:tabs>
        <w:ind w:hanging="0" w:start="0"/>
        <w:jc w:val="both"/>
        <w:rPr/>
      </w:pPr>
      <w:r>
        <w:rPr/>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a"/>
        <w:widowControl/>
        <w:numPr>
          <w:ilvl w:val="2"/>
          <w:numId w:val="64"/>
        </w:numPr>
        <w:tabs>
          <w:tab w:val="clear" w:pos="720"/>
          <w:tab w:val="left" w:pos="0" w:leader="none"/>
        </w:tabs>
        <w:ind w:hanging="0" w:start="0"/>
        <w:jc w:val="both"/>
        <w:rPr/>
      </w:pPr>
      <w:r>
        <w:rPr/>
        <w:tab/>
        <w:t>assume that no Event of Default or Default has occurred unless an officer of the Agent while active on the account of the Trust acquires actual knowledge to the contrary;</w:t>
      </w:r>
    </w:p>
    <w:p>
      <w:pPr>
        <w:pStyle w:val="a"/>
        <w:widowControl/>
        <w:numPr>
          <w:ilvl w:val="2"/>
          <w:numId w:val="64"/>
        </w:numPr>
        <w:tabs>
          <w:tab w:val="clear" w:pos="720"/>
          <w:tab w:val="left" w:pos="0" w:leader="none"/>
        </w:tabs>
        <w:ind w:hanging="0" w:start="0"/>
        <w:jc w:val="both"/>
        <w:rPr/>
      </w:pPr>
      <w:r>
        <w:rPr/>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a"/>
        <w:widowControl/>
        <w:numPr>
          <w:ilvl w:val="2"/>
          <w:numId w:val="64"/>
        </w:numPr>
        <w:tabs>
          <w:tab w:val="clear" w:pos="720"/>
          <w:tab w:val="left" w:pos="0" w:leader="none"/>
        </w:tabs>
        <w:ind w:hanging="0" w:start="0"/>
        <w:jc w:val="both"/>
        <w:rPr/>
      </w:pPr>
      <w:r>
        <w:rPr/>
        <w:tab/>
        <w:t>rely on any communication or document believed by it to be genuine and correct and to have been communicated or signed by the Person to whom it purports to be communicated and signed;</w:t>
      </w:r>
    </w:p>
    <w:p>
      <w:pPr>
        <w:pStyle w:val="a"/>
        <w:widowControl/>
        <w:numPr>
          <w:ilvl w:val="2"/>
          <w:numId w:val="64"/>
        </w:numPr>
        <w:tabs>
          <w:tab w:val="clear" w:pos="720"/>
          <w:tab w:val="left" w:pos="0" w:leader="none"/>
        </w:tabs>
        <w:ind w:hanging="0" w:start="0"/>
        <w:jc w:val="both"/>
        <w:rPr/>
      </w:pPr>
      <w:r>
        <w:rPr/>
        <w:tab/>
        <w:t>rely as to any matter of fact which might reasonably be expected to be within the knowledge of the Trust on a statement by or on behalf of the Trust;</w:t>
      </w:r>
    </w:p>
    <w:p>
      <w:pPr>
        <w:pStyle w:val="a"/>
        <w:widowControl/>
        <w:numPr>
          <w:ilvl w:val="2"/>
          <w:numId w:val="64"/>
        </w:numPr>
        <w:tabs>
          <w:tab w:val="clear" w:pos="720"/>
          <w:tab w:val="left" w:pos="0" w:leader="none"/>
        </w:tabs>
        <w:ind w:hanging="0" w:start="0"/>
        <w:jc w:val="both"/>
        <w:rPr/>
      </w:pPr>
      <w:r>
        <w:rPr/>
        <w:tab/>
        <w:t>obtain and pay for such legal or other expert advice or services as may seem necessary to it or desirable and rely on any such advice;</w:t>
      </w:r>
    </w:p>
    <w:p>
      <w:pPr>
        <w:pStyle w:val="a"/>
        <w:widowControl/>
        <w:numPr>
          <w:ilvl w:val="2"/>
          <w:numId w:val="64"/>
        </w:numPr>
        <w:tabs>
          <w:tab w:val="clear" w:pos="720"/>
          <w:tab w:val="left" w:pos="0" w:leader="none"/>
        </w:tabs>
        <w:ind w:hanging="0" w:start="0"/>
        <w:jc w:val="both"/>
        <w:rPr/>
      </w:pPr>
      <w:r>
        <w:rPr/>
        <w:tab/>
        <w:t>accept without enquiry such title as the Trust may have to any asset or assets that may at any time be intended to be the subject of security created by or for any obligations under any of the Operative Documents; and</w:t>
      </w:r>
    </w:p>
    <w:p>
      <w:pPr>
        <w:pStyle w:val="a"/>
        <w:keepNext w:val="true"/>
        <w:widowControl/>
        <w:numPr>
          <w:ilvl w:val="2"/>
          <w:numId w:val="64"/>
        </w:numPr>
        <w:tabs>
          <w:tab w:val="clear" w:pos="720"/>
          <w:tab w:val="left" w:pos="0" w:leader="none"/>
        </w:tabs>
        <w:ind w:hanging="0" w:start="0"/>
        <w:jc w:val="both"/>
        <w:rPr/>
      </w:pPr>
      <w:r>
        <w:rPr/>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widowControl/>
        <w:numPr>
          <w:ilvl w:val="1"/>
          <w:numId w:val="64"/>
        </w:numPr>
        <w:tabs>
          <w:tab w:val="clear" w:pos="720"/>
          <w:tab w:val="left" w:pos="0" w:leader="none"/>
        </w:tabs>
        <w:ind w:hanging="0" w:start="0"/>
        <w:jc w:val="both"/>
        <w:rPr/>
      </w:pPr>
      <w:r>
        <w:rPr>
          <w:rStyle w:val="SectionHead"/>
          <w:sz w:val="24"/>
          <w:szCs w:val="24"/>
        </w:rPr>
        <w:tab/>
        <w:t xml:space="preserve">Section     Exoneration of Agent, Syndication Agent, Documentation Agent, Arranger and Co-Arrangers </w:t>
      </w:r>
      <w:ins w:id="159" w:author="foobar" w:date="2000-11-09T12:47:00Z">
        <w:r>
          <w:fldChar w:fldCharType="begin"/>
        </w:r>
        <w:r>
          <w:rPr/>
          <w:instrText xml:space="preserve"> TC "Section     Exoneration of Agent, Syndication Agent, Documentation Agent, Arranger and Co-Arrangers " \l 2 </w:instrText>
        </w:r>
      </w:ins>
      <w:r>
        <w:rPr/>
        <w:fldChar w:fldCharType="separate"/>
      </w:r>
      <w:ins w:id="160" w:author="foobar" w:date="2000-11-09T12:47:00Z">
        <w:r>
          <w:rPr/>
        </w:r>
      </w:ins>
      <w:r>
        <w:rPr/>
        <w:fldChar w:fldCharType="end"/>
      </w:r>
      <w:r>
        <w:rPr>
          <w:sz w:val="24"/>
          <w:szCs w:val="24"/>
        </w:rPr>
        <w:t xml:space="preserve">.  </w:t>
      </w:r>
    </w:p>
    <w:p>
      <w:pPr>
        <w:pStyle w:val="Normal"/>
        <w:keepNext w:val="true"/>
        <w:keepLines/>
        <w:widowControl/>
        <w:numPr>
          <w:ilvl w:val="1"/>
          <w:numId w:val="64"/>
        </w:numPr>
        <w:tabs>
          <w:tab w:val="clear" w:pos="720"/>
          <w:tab w:val="left" w:pos="0" w:leader="none"/>
        </w:tabs>
        <w:ind w:hanging="0" w:start="0"/>
        <w:jc w:val="both"/>
        <w:rPr>
          <w:sz w:val="24"/>
          <w:szCs w:val="24"/>
        </w:rPr>
      </w:pPr>
      <w:r>
        <w:rPr>
          <w:sz w:val="24"/>
          <w:szCs w:val="24"/>
        </w:rPr>
        <w:tab/>
      </w:r>
    </w:p>
    <w:p>
      <w:pPr>
        <w:pStyle w:val="Normal"/>
        <w:keepLines/>
        <w:widowControl/>
        <w:jc w:val="both"/>
        <w:rPr>
          <w:sz w:val="24"/>
          <w:szCs w:val="24"/>
        </w:rPr>
      </w:pPr>
      <w:r>
        <w:rPr>
          <w:sz w:val="24"/>
          <w:szCs w:val="24"/>
        </w:rPr>
        <w:tab/>
        <w:t>None of the Agent, Syndication Agent, Arranger, either Co-Arranger or the Documentation Agent or any of their respective personnel or agents:</w:t>
      </w:r>
    </w:p>
    <w:p>
      <w:pPr>
        <w:pStyle w:val="Normal"/>
        <w:widowControl/>
        <w:jc w:val="both"/>
        <w:rPr>
          <w:sz w:val="24"/>
          <w:szCs w:val="24"/>
        </w:rPr>
      </w:pPr>
      <w:r>
        <w:rPr>
          <w:sz w:val="24"/>
          <w:szCs w:val="24"/>
        </w:rPr>
      </w:r>
    </w:p>
    <w:p>
      <w:pPr>
        <w:pStyle w:val="a"/>
        <w:widowControl/>
        <w:numPr>
          <w:ilvl w:val="2"/>
          <w:numId w:val="65"/>
        </w:numPr>
        <w:tabs>
          <w:tab w:val="clear" w:pos="720"/>
          <w:tab w:val="left" w:pos="0" w:leader="none"/>
        </w:tabs>
        <w:ind w:hanging="0" w:start="0"/>
        <w:jc w:val="both"/>
        <w:rPr/>
      </w:pPr>
      <w:r>
        <w:rPr/>
        <w:tab/>
        <w:t>shall be responsible for the adequacy, accuracy or completeness of any representation, warranty, statement or information in any of the Operative Documents or any notice or other document delivered under the Operative Documents;</w:t>
      </w:r>
    </w:p>
    <w:p>
      <w:pPr>
        <w:pStyle w:val="a"/>
        <w:widowControl/>
        <w:numPr>
          <w:ilvl w:val="2"/>
          <w:numId w:val="65"/>
        </w:numPr>
        <w:tabs>
          <w:tab w:val="clear" w:pos="720"/>
          <w:tab w:val="left" w:pos="0" w:leader="none"/>
        </w:tabs>
        <w:ind w:hanging="0" w:start="0"/>
        <w:jc w:val="both"/>
        <w:rPr/>
      </w:pPr>
      <w:r>
        <w:rPr/>
        <w:tab/>
        <w:t>shall be responsible for the execution, delivery, validity, legality, adequacy, enforceability or admissibility in evidence of any of the Operative Documents;</w:t>
      </w:r>
    </w:p>
    <w:p>
      <w:pPr>
        <w:pStyle w:val="a"/>
        <w:widowControl/>
        <w:numPr>
          <w:ilvl w:val="2"/>
          <w:numId w:val="65"/>
        </w:numPr>
        <w:tabs>
          <w:tab w:val="clear" w:pos="720"/>
          <w:tab w:val="left" w:pos="0" w:leader="none"/>
        </w:tabs>
        <w:ind w:hanging="0" w:start="0"/>
        <w:jc w:val="both"/>
        <w:rPr/>
      </w:pPr>
      <w:r>
        <w:rPr/>
        <w:tab/>
        <w:t>shall be obliged to enquire as to the occurrence or continuation of an Event of Default or a Default;</w:t>
      </w:r>
    </w:p>
    <w:p>
      <w:pPr>
        <w:pStyle w:val="a"/>
        <w:widowControl/>
        <w:numPr>
          <w:ilvl w:val="2"/>
          <w:numId w:val="65"/>
        </w:numPr>
        <w:tabs>
          <w:tab w:val="clear" w:pos="720"/>
          <w:tab w:val="left" w:pos="0" w:leader="none"/>
        </w:tabs>
        <w:ind w:hanging="0" w:start="0"/>
        <w:jc w:val="both"/>
        <w:rPr/>
      </w:pPr>
      <w:r>
        <w:rPr/>
        <w:tab/>
        <w:t>shall be responsible for any failure of the Trust, Enron, or any Lender duly and punctually to observe and perform their respective obligations under the Operative Documents;</w:t>
      </w:r>
    </w:p>
    <w:p>
      <w:pPr>
        <w:pStyle w:val="a"/>
        <w:widowControl/>
        <w:numPr>
          <w:ilvl w:val="2"/>
          <w:numId w:val="65"/>
        </w:numPr>
        <w:tabs>
          <w:tab w:val="clear" w:pos="720"/>
          <w:tab w:val="left" w:pos="0" w:leader="none"/>
        </w:tabs>
        <w:ind w:hanging="0" w:start="0"/>
        <w:jc w:val="both"/>
        <w:rPr/>
      </w:pPr>
      <w:r>
        <w:rPr/>
        <w:tab/>
        <w:t>shall be responsible for the consequences of relying on the advice of any professional advisers selected by any of them in connection with the Operative Documents;</w:t>
      </w:r>
    </w:p>
    <w:p>
      <w:pPr>
        <w:pStyle w:val="a"/>
        <w:widowControl/>
        <w:numPr>
          <w:ilvl w:val="2"/>
          <w:numId w:val="65"/>
        </w:numPr>
        <w:tabs>
          <w:tab w:val="clear" w:pos="720"/>
          <w:tab w:val="left" w:pos="0" w:leader="none"/>
        </w:tabs>
        <w:ind w:hanging="0" w:start="0"/>
        <w:jc w:val="both"/>
        <w:rPr/>
      </w:pPr>
      <w:r>
        <w:rPr/>
        <w:tab/>
        <w:t>shall be liable for acting (or refraining from acting) in what it believes to be in the best interests of the Lenders in circumstances where it has been unable, or it is not practicable to obtain the instructions of the Lenders; or</w:t>
      </w:r>
    </w:p>
    <w:p>
      <w:pPr>
        <w:pStyle w:val="a"/>
        <w:widowControl/>
        <w:numPr>
          <w:ilvl w:val="2"/>
          <w:numId w:val="65"/>
        </w:numPr>
        <w:tabs>
          <w:tab w:val="clear" w:pos="720"/>
          <w:tab w:val="left" w:pos="0" w:leader="none"/>
        </w:tabs>
        <w:ind w:hanging="0" w:start="0"/>
        <w:jc w:val="both"/>
        <w:rPr/>
      </w:pPr>
      <w:r>
        <w:rPr/>
        <w:tab/>
        <w:t>shall be liable for anything done or not done by it under or in connection with the Operative Documents save in the case of its own gross negligence or willful misconduct.</w:t>
      </w:r>
    </w:p>
    <w:p>
      <w:pPr>
        <w:pStyle w:val="Normal"/>
        <w:widowControl/>
        <w:jc w:val="both"/>
        <w:rPr>
          <w:sz w:val="24"/>
          <w:szCs w:val="24"/>
        </w:rPr>
      </w:pPr>
      <w:r>
        <w:rPr>
          <w:sz w:val="24"/>
          <w:szCs w:val="24"/>
        </w:rPr>
        <w:t>Each Lender acknowledges that an Affiliate or Affiliates of the Agent may be the Certificate Holder of Certificates issued by the Trust.</w:t>
      </w:r>
    </w:p>
    <w:p>
      <w:pPr>
        <w:pStyle w:val="Normal"/>
        <w:keepNext w:val="true"/>
        <w:widowControl/>
        <w:jc w:val="both"/>
        <w:rPr>
          <w:sz w:val="24"/>
          <w:szCs w:val="24"/>
        </w:rPr>
      </w:pPr>
      <w:r>
        <w:rPr>
          <w:sz w:val="24"/>
          <w:szCs w:val="24"/>
        </w:rPr>
      </w:r>
    </w:p>
    <w:p>
      <w:pPr>
        <w:pStyle w:val="Normal"/>
        <w:keepNext w:val="true"/>
        <w:keepLines/>
        <w:widowControl/>
        <w:numPr>
          <w:ilvl w:val="1"/>
          <w:numId w:val="66"/>
        </w:numPr>
        <w:tabs>
          <w:tab w:val="clear" w:pos="720"/>
          <w:tab w:val="left" w:pos="0" w:leader="none"/>
        </w:tabs>
        <w:ind w:hanging="0" w:start="0"/>
        <w:jc w:val="both"/>
        <w:rPr/>
      </w:pPr>
      <w:r>
        <w:rPr>
          <w:rStyle w:val="SectionHead"/>
          <w:sz w:val="24"/>
          <w:szCs w:val="24"/>
        </w:rPr>
        <w:tab/>
        <w:t xml:space="preserve">Section     The Agent, the Co-Arrangers, the Syndication Agent, the Arranger and the Documentation Agent Individually </w:t>
      </w:r>
      <w:ins w:id="161" w:author="foobar" w:date="2000-11-09T12:47:00Z">
        <w:r>
          <w:fldChar w:fldCharType="begin"/>
        </w:r>
        <w:r>
          <w:rPr/>
          <w:instrText xml:space="preserve"> TC "Section     The Agent, the Co-Arrangers, the Syndication Agent, the Arranger and the Documentation Agent Individually " \l 2 </w:instrText>
        </w:r>
      </w:ins>
      <w:r>
        <w:rPr/>
        <w:fldChar w:fldCharType="separate"/>
      </w:r>
      <w:ins w:id="162" w:author="foobar" w:date="2000-11-09T12:47:00Z">
        <w:r>
          <w:rPr/>
        </w:r>
      </w:ins>
      <w:r>
        <w:rPr/>
        <w:fldChar w:fldCharType="end"/>
      </w:r>
      <w:r>
        <w:rPr>
          <w:sz w:val="24"/>
          <w:szCs w:val="24"/>
        </w:rPr>
        <w:t xml:space="preserve">.  </w:t>
      </w:r>
    </w:p>
    <w:p>
      <w:pPr>
        <w:pStyle w:val="Normal"/>
        <w:keepNext w:val="true"/>
        <w:keepLines/>
        <w:widowControl/>
        <w:numPr>
          <w:ilvl w:val="1"/>
          <w:numId w:val="66"/>
        </w:numPr>
        <w:tabs>
          <w:tab w:val="clear" w:pos="720"/>
          <w:tab w:val="left" w:pos="0" w:leader="none"/>
        </w:tabs>
        <w:ind w:hanging="0" w:start="0"/>
        <w:jc w:val="both"/>
        <w:rPr>
          <w:sz w:val="24"/>
          <w:szCs w:val="24"/>
        </w:rPr>
      </w:pPr>
      <w:r>
        <w:rPr>
          <w:sz w:val="24"/>
          <w:szCs w:val="24"/>
        </w:rPr>
      </w:r>
    </w:p>
    <w:p>
      <w:pPr>
        <w:pStyle w:val="a"/>
        <w:keepLines/>
        <w:widowControl/>
        <w:numPr>
          <w:ilvl w:val="2"/>
          <w:numId w:val="66"/>
        </w:numPr>
        <w:tabs>
          <w:tab w:val="clear" w:pos="720"/>
          <w:tab w:val="left" w:pos="0" w:leader="none"/>
        </w:tabs>
        <w:ind w:hanging="0" w:start="0"/>
        <w:jc w:val="both"/>
        <w:rPr/>
      </w:pPr>
      <w:r>
        <w:rPr/>
        <w:tab/>
        <w:t xml:space="preserve">If it is a Lender, each of the Agent, the Co-Arrangers, the Syndication Agent, the Arranger and the Documentation Agent shall have the same rights and powers under the Operative Documents as any other Lender and may exercise those rights and powers as if it were not also acting as Agent, Co-Arrangers, Syndication Agent, Arranger or Documentation Agent. </w:t>
      </w:r>
    </w:p>
    <w:p>
      <w:pPr>
        <w:pStyle w:val="a"/>
        <w:widowControl/>
        <w:numPr>
          <w:ilvl w:val="2"/>
          <w:numId w:val="66"/>
        </w:numPr>
        <w:tabs>
          <w:tab w:val="clear" w:pos="720"/>
          <w:tab w:val="left" w:pos="0" w:leader="none"/>
        </w:tabs>
        <w:ind w:hanging="0" w:start="0"/>
        <w:jc w:val="both"/>
        <w:rPr/>
      </w:pPr>
      <w:r>
        <w:rPr/>
        <w:tab/>
        <w:t>Each of the Agent, the Co-Arrangers, the Syndication Agent, the Arranger and the Documentation Agent may:</w:t>
      </w:r>
    </w:p>
    <w:p>
      <w:pPr>
        <w:pStyle w:val="i"/>
        <w:widowControl/>
        <w:numPr>
          <w:ilvl w:val="3"/>
          <w:numId w:val="66"/>
        </w:numPr>
        <w:tabs>
          <w:tab w:val="clear" w:pos="720"/>
          <w:tab w:val="left" w:pos="0" w:leader="none"/>
        </w:tabs>
        <w:ind w:hanging="0" w:start="720"/>
        <w:jc w:val="both"/>
        <w:rPr/>
      </w:pPr>
      <w:r>
        <w:rPr/>
        <w:tab/>
        <w:t>retain for its own benefit (and without liability to account) any fee or other sum receivable by it for its own account; and</w:t>
      </w:r>
    </w:p>
    <w:p>
      <w:pPr>
        <w:pStyle w:val="i"/>
        <w:keepNext w:val="true"/>
        <w:widowControl/>
        <w:numPr>
          <w:ilvl w:val="3"/>
          <w:numId w:val="66"/>
        </w:numPr>
        <w:tabs>
          <w:tab w:val="clear" w:pos="720"/>
          <w:tab w:val="left" w:pos="0" w:leader="none"/>
        </w:tabs>
        <w:ind w:hanging="0" w:start="720"/>
        <w:jc w:val="both"/>
        <w:rPr/>
      </w:pPr>
      <w:r>
        <w:rPr/>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widowControl/>
        <w:numPr>
          <w:ilvl w:val="1"/>
          <w:numId w:val="66"/>
        </w:numPr>
        <w:tabs>
          <w:tab w:val="clear" w:pos="720"/>
          <w:tab w:val="left" w:pos="0" w:leader="none"/>
        </w:tabs>
        <w:ind w:hanging="0" w:start="0"/>
        <w:jc w:val="both"/>
        <w:rPr/>
      </w:pPr>
      <w:r>
        <w:rPr>
          <w:rStyle w:val="SectionHead"/>
          <w:sz w:val="24"/>
          <w:szCs w:val="24"/>
        </w:rPr>
        <w:tab/>
        <w:t xml:space="preserve">Section     Communications and Information </w:t>
      </w:r>
      <w:ins w:id="163" w:author="foobar" w:date="2000-11-09T12:47:00Z">
        <w:r>
          <w:fldChar w:fldCharType="begin"/>
        </w:r>
        <w:r>
          <w:rPr/>
          <w:instrText xml:space="preserve"> TC "Section     Communications and Information " \l 2 </w:instrText>
        </w:r>
      </w:ins>
      <w:r>
        <w:rPr/>
        <w:fldChar w:fldCharType="separate"/>
      </w:r>
      <w:ins w:id="164" w:author="foobar" w:date="2000-11-09T12:47:00Z">
        <w:r>
          <w:rPr/>
        </w:r>
      </w:ins>
      <w:r>
        <w:rPr/>
        <w:fldChar w:fldCharType="end"/>
      </w:r>
      <w:r>
        <w:rPr>
          <w:sz w:val="24"/>
          <w:szCs w:val="24"/>
        </w:rPr>
        <w:t xml:space="preserve">.  </w:t>
      </w:r>
    </w:p>
    <w:p>
      <w:pPr>
        <w:pStyle w:val="Normal"/>
        <w:keepNext w:val="true"/>
        <w:keepLines/>
        <w:widowControl/>
        <w:numPr>
          <w:ilvl w:val="1"/>
          <w:numId w:val="66"/>
        </w:numPr>
        <w:tabs>
          <w:tab w:val="clear" w:pos="720"/>
          <w:tab w:val="left" w:pos="0" w:leader="none"/>
        </w:tabs>
        <w:ind w:hanging="0" w:start="0"/>
        <w:jc w:val="both"/>
        <w:rPr>
          <w:sz w:val="24"/>
          <w:szCs w:val="24"/>
        </w:rPr>
      </w:pPr>
      <w:r>
        <w:rPr>
          <w:sz w:val="24"/>
          <w:szCs w:val="24"/>
        </w:rPr>
      </w:r>
    </w:p>
    <w:p>
      <w:pPr>
        <w:pStyle w:val="a"/>
        <w:keepLines/>
        <w:widowControl/>
        <w:numPr>
          <w:ilvl w:val="2"/>
          <w:numId w:val="66"/>
        </w:numPr>
        <w:tabs>
          <w:tab w:val="clear" w:pos="720"/>
          <w:tab w:val="left" w:pos="0" w:leader="none"/>
        </w:tabs>
        <w:ind w:hanging="0" w:start="0"/>
        <w:jc w:val="both"/>
        <w:rPr/>
      </w:pPr>
      <w:r>
        <w:rPr/>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a"/>
        <w:keepNext w:val="true"/>
        <w:widowControl/>
        <w:numPr>
          <w:ilvl w:val="2"/>
          <w:numId w:val="66"/>
        </w:numPr>
        <w:tabs>
          <w:tab w:val="clear" w:pos="720"/>
          <w:tab w:val="left" w:pos="0" w:leader="none"/>
        </w:tabs>
        <w:ind w:hanging="0" w:start="0"/>
        <w:jc w:val="both"/>
        <w:rPr/>
      </w:pPr>
      <w:r>
        <w:rPr/>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widowControl/>
        <w:numPr>
          <w:ilvl w:val="1"/>
          <w:numId w:val="66"/>
        </w:numPr>
        <w:tabs>
          <w:tab w:val="clear" w:pos="720"/>
          <w:tab w:val="left" w:pos="0" w:leader="none"/>
        </w:tabs>
        <w:ind w:hanging="0" w:start="0"/>
        <w:jc w:val="both"/>
        <w:rPr/>
      </w:pPr>
      <w:r>
        <w:rPr>
          <w:rStyle w:val="SectionHead"/>
          <w:sz w:val="24"/>
          <w:szCs w:val="24"/>
        </w:rPr>
        <w:tab/>
        <w:t xml:space="preserve">Section     Non-Reliance on Agent, Co-Arrangers, Syndication Agent, Arranger or Documentation Agent </w:t>
      </w:r>
      <w:ins w:id="165" w:author="foobar" w:date="2000-11-09T12:47:00Z">
        <w:r>
          <w:fldChar w:fldCharType="begin"/>
        </w:r>
        <w:r>
          <w:rPr/>
          <w:instrText xml:space="preserve"> TC "Section     Non-Reliance on Agent, Co-Arrangers, Syndication Agent, Arranger or Documentation Agent " \l 2 </w:instrText>
        </w:r>
      </w:ins>
      <w:r>
        <w:rPr/>
        <w:fldChar w:fldCharType="separate"/>
      </w:r>
      <w:ins w:id="166" w:author="foobar" w:date="2000-11-09T12:47:00Z">
        <w:r>
          <w:rPr/>
        </w:r>
      </w:ins>
      <w:r>
        <w:rPr/>
        <w:fldChar w:fldCharType="end"/>
      </w:r>
      <w:r>
        <w:rPr>
          <w:sz w:val="24"/>
          <w:szCs w:val="24"/>
        </w:rPr>
        <w:t xml:space="preserve">.  Each Lender confirms in favor of the Agent, the Co-Arrangers,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Co-Arrangers, the Syndication Agent, the Arranger or Documentation Agent.  </w:t>
      </w:r>
    </w:p>
    <w:p>
      <w:pPr>
        <w:pStyle w:val="a"/>
        <w:widowControl/>
        <w:numPr>
          <w:ilvl w:val="2"/>
          <w:numId w:val="66"/>
        </w:numPr>
        <w:tabs>
          <w:tab w:val="clear" w:pos="720"/>
          <w:tab w:val="left" w:pos="0" w:leader="none"/>
        </w:tabs>
        <w:ind w:hanging="0" w:start="0"/>
        <w:jc w:val="both"/>
        <w:rPr/>
      </w:pPr>
      <w:r>
        <w:rPr/>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a"/>
        <w:widowControl/>
        <w:numPr>
          <w:ilvl w:val="2"/>
          <w:numId w:val="66"/>
        </w:numPr>
        <w:tabs>
          <w:tab w:val="clear" w:pos="720"/>
          <w:tab w:val="left" w:pos="0" w:leader="none"/>
        </w:tabs>
        <w:ind w:hanging="0" w:start="0"/>
        <w:jc w:val="both"/>
        <w:rPr/>
      </w:pPr>
      <w:r>
        <w:rPr/>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Co-Arrangers, the Syndication Agent, the Arranger or Documentation Agent); or</w:t>
      </w:r>
    </w:p>
    <w:p>
      <w:pPr>
        <w:pStyle w:val="a"/>
        <w:keepNext w:val="true"/>
        <w:widowControl/>
        <w:numPr>
          <w:ilvl w:val="2"/>
          <w:numId w:val="66"/>
        </w:numPr>
        <w:tabs>
          <w:tab w:val="clear" w:pos="720"/>
          <w:tab w:val="left" w:pos="0" w:leader="none"/>
        </w:tabs>
        <w:ind w:hanging="0" w:start="0"/>
        <w:jc w:val="both"/>
        <w:rPr/>
      </w:pPr>
      <w:r>
        <w:rPr/>
        <w:tab/>
        <w:t>to assess or keep under review the business, operations, financial condition, creditworthiness, status or affairs of the Trust, the Asset LLCs, the Transferors, the Sponsor, and Enron.</w:t>
      </w:r>
    </w:p>
    <w:p>
      <w:pPr>
        <w:pStyle w:val="Normal"/>
        <w:keepNext w:val="true"/>
        <w:keepLines/>
        <w:widowControl/>
        <w:numPr>
          <w:ilvl w:val="1"/>
          <w:numId w:val="66"/>
        </w:numPr>
        <w:tabs>
          <w:tab w:val="clear" w:pos="720"/>
          <w:tab w:val="left" w:pos="0" w:leader="none"/>
        </w:tabs>
        <w:ind w:hanging="0" w:start="0"/>
        <w:jc w:val="both"/>
        <w:rPr/>
      </w:pPr>
      <w:r>
        <w:rPr>
          <w:rStyle w:val="SectionHead"/>
          <w:sz w:val="24"/>
          <w:szCs w:val="24"/>
        </w:rPr>
        <w:tab/>
        <w:t xml:space="preserve">Section     Indemnity to Agent, Syndication Agent, Arranger, Co-Arrangers and Documentation Agent </w:t>
      </w:r>
      <w:ins w:id="167" w:author="foobar" w:date="2000-11-09T12:47:00Z">
        <w:r>
          <w:fldChar w:fldCharType="begin"/>
        </w:r>
        <w:r>
          <w:rPr/>
          <w:instrText xml:space="preserve"> TC "Section     Indemnity to Agent, Syndication Agent, Arranger, Co-Arrangers and Documentation Agent " \l 2 </w:instrText>
        </w:r>
      </w:ins>
      <w:r>
        <w:rPr/>
        <w:fldChar w:fldCharType="separate"/>
      </w:r>
      <w:ins w:id="168" w:author="foobar" w:date="2000-11-09T12:47:00Z">
        <w:r>
          <w:rPr/>
        </w:r>
      </w:ins>
      <w:r>
        <w:rPr/>
        <w:fldChar w:fldCharType="end"/>
      </w:r>
      <w:r>
        <w:rPr>
          <w:sz w:val="24"/>
          <w:szCs w:val="24"/>
        </w:rPr>
        <w:t xml:space="preserve">.  </w:t>
      </w:r>
    </w:p>
    <w:p>
      <w:pPr>
        <w:pStyle w:val="Normal"/>
        <w:keepNext w:val="true"/>
        <w:keepLines/>
        <w:widowControl/>
        <w:numPr>
          <w:ilvl w:val="1"/>
          <w:numId w:val="66"/>
        </w:numPr>
        <w:tabs>
          <w:tab w:val="clear" w:pos="720"/>
          <w:tab w:val="left" w:pos="0" w:leader="none"/>
        </w:tabs>
        <w:ind w:hanging="0" w:start="0"/>
        <w:jc w:val="both"/>
        <w:rPr>
          <w:sz w:val="24"/>
          <w:szCs w:val="24"/>
        </w:rPr>
      </w:pPr>
      <w:r>
        <w:rPr>
          <w:sz w:val="24"/>
          <w:szCs w:val="24"/>
        </w:rPr>
      </w:r>
    </w:p>
    <w:p>
      <w:pPr>
        <w:pStyle w:val="a"/>
        <w:keepLines/>
        <w:widowControl/>
        <w:numPr>
          <w:ilvl w:val="2"/>
          <w:numId w:val="66"/>
        </w:numPr>
        <w:tabs>
          <w:tab w:val="clear" w:pos="720"/>
          <w:tab w:val="left" w:pos="0" w:leader="none"/>
        </w:tabs>
        <w:ind w:hanging="0" w:start="0"/>
        <w:jc w:val="both"/>
        <w:rPr/>
      </w:pPr>
      <w:r>
        <w:rPr/>
        <w:tab/>
        <w:t xml:space="preserve">The Lenders shall, in proportion to their respective Commitments on demand fully indemnify the Agent, the Co-Arrangers, the Syndication Agent, the Arranger and the Documentation Agent and their respective officers, employees and affiliates (collectively, the </w:t>
      </w:r>
      <w:r>
        <w:rPr>
          <w:b/>
          <w:bCs/>
        </w:rPr>
        <w:t>“</w:t>
      </w:r>
      <w:r>
        <w:rPr>
          <w:b/>
          <w:bCs/>
          <w:u w:val="single"/>
        </w:rPr>
        <w:t>Agency Indemnitees</w:t>
      </w:r>
      <w:r>
        <w:rPr>
          <w:b/>
          <w:bCs/>
        </w:rPr>
        <w:t>”</w:t>
      </w:r>
      <w:r>
        <w:rPr/>
        <w:t>) against any reasonable cost, reasonable expense or liability sustained or incurred by any of the Agency Indemnitees in their respective capacities as Agent, Co-Arrangers, Syndication Agent, Arranger or Documentation Agent as a consequence of or in connection with complying with any instructions from the Lenders or otherwise sustained or incurred in their respective capacities as Agent, Co-Arrangers,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a"/>
        <w:keepNext w:val="true"/>
        <w:widowControl/>
        <w:numPr>
          <w:ilvl w:val="2"/>
          <w:numId w:val="66"/>
        </w:numPr>
        <w:tabs>
          <w:tab w:val="clear" w:pos="720"/>
          <w:tab w:val="left" w:pos="0" w:leader="none"/>
        </w:tabs>
        <w:ind w:hanging="0" w:start="0"/>
        <w:jc w:val="both"/>
        <w:rPr/>
      </w:pPr>
      <w:r>
        <w:rPr/>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widowControl/>
        <w:numPr>
          <w:ilvl w:val="1"/>
          <w:numId w:val="66"/>
        </w:numPr>
        <w:tabs>
          <w:tab w:val="clear" w:pos="720"/>
          <w:tab w:val="left" w:pos="0" w:leader="none"/>
        </w:tabs>
        <w:ind w:hanging="0" w:start="0"/>
        <w:jc w:val="both"/>
        <w:rPr/>
      </w:pPr>
      <w:r>
        <w:rPr>
          <w:rStyle w:val="SectionHead"/>
          <w:sz w:val="24"/>
          <w:szCs w:val="24"/>
        </w:rPr>
        <w:tab/>
        <w:t xml:space="preserve">Section     Termination and Resignation of Agency; Appointment of Successor </w:t>
      </w:r>
      <w:ins w:id="169" w:author="foobar" w:date="2000-11-09T12:47:00Z">
        <w:r>
          <w:fldChar w:fldCharType="begin"/>
        </w:r>
        <w:r>
          <w:rPr/>
          <w:instrText xml:space="preserve"> TC "Section     Termination and Resignation of Agency; Appointment of Successor " \l 2 </w:instrText>
        </w:r>
      </w:ins>
      <w:r>
        <w:rPr/>
        <w:fldChar w:fldCharType="separate"/>
      </w:r>
      <w:ins w:id="170" w:author="foobar" w:date="2000-11-09T12:47:00Z">
        <w:r>
          <w:rPr/>
        </w:r>
      </w:ins>
      <w:r>
        <w:rPr/>
        <w:fldChar w:fldCharType="end"/>
      </w:r>
      <w:r>
        <w:rPr>
          <w:sz w:val="24"/>
          <w:szCs w:val="24"/>
        </w:rPr>
        <w:t xml:space="preserve">.  </w:t>
      </w:r>
    </w:p>
    <w:p>
      <w:pPr>
        <w:pStyle w:val="Normal"/>
        <w:keepNext w:val="true"/>
        <w:keepLines/>
        <w:widowControl/>
        <w:numPr>
          <w:ilvl w:val="1"/>
          <w:numId w:val="66"/>
        </w:numPr>
        <w:tabs>
          <w:tab w:val="clear" w:pos="720"/>
          <w:tab w:val="left" w:pos="0" w:leader="none"/>
        </w:tabs>
        <w:ind w:hanging="0" w:start="0"/>
        <w:jc w:val="both"/>
        <w:rPr>
          <w:sz w:val="24"/>
          <w:szCs w:val="24"/>
        </w:rPr>
      </w:pPr>
      <w:r>
        <w:rPr>
          <w:sz w:val="24"/>
          <w:szCs w:val="24"/>
        </w:rPr>
      </w:r>
    </w:p>
    <w:p>
      <w:pPr>
        <w:pStyle w:val="a"/>
        <w:keepLines/>
        <w:widowControl/>
        <w:numPr>
          <w:ilvl w:val="2"/>
          <w:numId w:val="66"/>
        </w:numPr>
        <w:tabs>
          <w:tab w:val="clear" w:pos="720"/>
          <w:tab w:val="left" w:pos="0" w:leader="none"/>
        </w:tabs>
        <w:ind w:hanging="0" w:start="0"/>
        <w:jc w:val="both"/>
        <w:rPr/>
      </w:pPr>
      <w:r>
        <w:rPr/>
        <w:tab/>
        <w:t>The Agent may resign its appointment at any time by giving notice to the Lenders and the Trust.</w:t>
      </w:r>
    </w:p>
    <w:p>
      <w:pPr>
        <w:pStyle w:val="a"/>
        <w:widowControl/>
        <w:numPr>
          <w:ilvl w:val="2"/>
          <w:numId w:val="66"/>
        </w:numPr>
        <w:tabs>
          <w:tab w:val="clear" w:pos="720"/>
          <w:tab w:val="left" w:pos="0" w:leader="none"/>
        </w:tabs>
        <w:ind w:hanging="0" w:start="0"/>
        <w:jc w:val="both"/>
        <w:rPr/>
      </w:pPr>
      <w:r>
        <w:rPr/>
        <w:tab/>
        <w:t>A successor Agent shall be selected:</w:t>
      </w:r>
    </w:p>
    <w:p>
      <w:pPr>
        <w:pStyle w:val="i"/>
        <w:widowControl/>
        <w:numPr>
          <w:ilvl w:val="3"/>
          <w:numId w:val="66"/>
        </w:numPr>
        <w:tabs>
          <w:tab w:val="clear" w:pos="720"/>
          <w:tab w:val="left" w:pos="0" w:leader="none"/>
        </w:tabs>
        <w:ind w:hanging="0" w:start="720"/>
        <w:jc w:val="both"/>
        <w:rPr/>
      </w:pPr>
      <w:r>
        <w:rPr/>
        <w:tab/>
        <w:t>by the retiring Agent with the consent of the Trust (which consent will not be unreasonably withheld) nominating one of its Affiliates as successor Agent in its notice of resignation; or</w:t>
      </w:r>
    </w:p>
    <w:p>
      <w:pPr>
        <w:pStyle w:val="i"/>
        <w:widowControl/>
        <w:numPr>
          <w:ilvl w:val="3"/>
          <w:numId w:val="66"/>
        </w:numPr>
        <w:tabs>
          <w:tab w:val="clear" w:pos="720"/>
          <w:tab w:val="left" w:pos="0" w:leader="none"/>
        </w:tabs>
        <w:ind w:hanging="0" w:start="720"/>
        <w:jc w:val="both"/>
        <w:rPr/>
      </w:pPr>
      <w:r>
        <w:rPr/>
        <w:tab/>
        <w:t>if the retiring Agent makes no such nomination, by the Majority Lenders with the consent of the Trust (which consent will not be unreasonably withheld); or</w:t>
      </w:r>
    </w:p>
    <w:p>
      <w:pPr>
        <w:pStyle w:val="i"/>
        <w:widowControl/>
        <w:numPr>
          <w:ilvl w:val="3"/>
          <w:numId w:val="66"/>
        </w:numPr>
        <w:tabs>
          <w:tab w:val="clear" w:pos="720"/>
          <w:tab w:val="left" w:pos="0" w:leader="none"/>
        </w:tabs>
        <w:ind w:hanging="0" w:start="720"/>
        <w:jc w:val="both"/>
        <w:rPr/>
      </w:pPr>
      <w:r>
        <w:rPr/>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a"/>
        <w:widowControl/>
        <w:numPr>
          <w:ilvl w:val="2"/>
          <w:numId w:val="66"/>
        </w:numPr>
        <w:tabs>
          <w:tab w:val="clear" w:pos="720"/>
          <w:tab w:val="left" w:pos="0" w:leader="none"/>
        </w:tabs>
        <w:ind w:hanging="0" w:start="0"/>
        <w:jc w:val="both"/>
        <w:rPr/>
      </w:pPr>
      <w:r>
        <w:rPr/>
        <w:tab/>
        <w:t>The resignation of the retiring Agent and the appointment of the successor Agent will only become effective upon the successor Agent accepting its appointment as Agent in writing at which time:</w:t>
      </w:r>
    </w:p>
    <w:p>
      <w:pPr>
        <w:pStyle w:val="i"/>
        <w:widowControl/>
        <w:numPr>
          <w:ilvl w:val="3"/>
          <w:numId w:val="66"/>
        </w:numPr>
        <w:tabs>
          <w:tab w:val="clear" w:pos="720"/>
          <w:tab w:val="left" w:pos="0" w:leader="none"/>
        </w:tabs>
        <w:ind w:hanging="0" w:start="720"/>
        <w:jc w:val="both"/>
        <w:rPr/>
      </w:pPr>
      <w:r>
        <w:rPr/>
        <w:tab/>
        <w:t>the successor Agent will become bound by all the obligations of the Agent and become entitled to all the rights, privileges, powers, authorities and discretions of the Agent hereunder;</w:t>
      </w:r>
    </w:p>
    <w:p>
      <w:pPr>
        <w:pStyle w:val="i"/>
        <w:widowControl/>
        <w:numPr>
          <w:ilvl w:val="3"/>
          <w:numId w:val="66"/>
        </w:numPr>
        <w:tabs>
          <w:tab w:val="clear" w:pos="720"/>
          <w:tab w:val="left" w:pos="0" w:leader="none"/>
        </w:tabs>
        <w:ind w:hanging="0" w:start="720"/>
        <w:jc w:val="both"/>
        <w:rPr/>
      </w:pPr>
      <w:r>
        <w:rPr/>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i"/>
        <w:widowControl/>
        <w:numPr>
          <w:ilvl w:val="3"/>
          <w:numId w:val="66"/>
        </w:numPr>
        <w:tabs>
          <w:tab w:val="clear" w:pos="720"/>
          <w:tab w:val="left" w:pos="0" w:leader="none"/>
        </w:tabs>
        <w:ind w:hanging="0" w:start="720"/>
        <w:jc w:val="both"/>
        <w:rPr/>
      </w:pPr>
      <w:r>
        <w:rPr/>
        <w:tab/>
        <w:t>the retiring Agent will be discharged from any further liability or obligation under or in connection with the Operative Documents.</w:t>
      </w:r>
    </w:p>
    <w:p>
      <w:pPr>
        <w:pStyle w:val="a"/>
        <w:widowControl/>
        <w:numPr>
          <w:ilvl w:val="2"/>
          <w:numId w:val="66"/>
        </w:numPr>
        <w:tabs>
          <w:tab w:val="clear" w:pos="720"/>
          <w:tab w:val="left" w:pos="0" w:leader="none"/>
        </w:tabs>
        <w:ind w:hanging="0" w:start="0"/>
        <w:jc w:val="both"/>
        <w:rPr/>
      </w:pPr>
      <w:r>
        <w:rPr/>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a"/>
        <w:keepNext w:val="true"/>
        <w:widowControl/>
        <w:numPr>
          <w:ilvl w:val="2"/>
          <w:numId w:val="66"/>
        </w:numPr>
        <w:tabs>
          <w:tab w:val="clear" w:pos="720"/>
          <w:tab w:val="left" w:pos="0" w:leader="none"/>
        </w:tabs>
        <w:ind w:hanging="0" w:start="0"/>
        <w:jc w:val="both"/>
        <w:rPr/>
      </w:pPr>
      <w:r>
        <w:rPr/>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widowControl/>
        <w:numPr>
          <w:ilvl w:val="1"/>
          <w:numId w:val="66"/>
        </w:numPr>
        <w:tabs>
          <w:tab w:val="clear" w:pos="720"/>
          <w:tab w:val="left" w:pos="0" w:leader="none"/>
        </w:tabs>
        <w:ind w:hanging="0" w:start="0"/>
        <w:jc w:val="both"/>
        <w:rPr/>
      </w:pPr>
      <w:r>
        <w:rPr>
          <w:rStyle w:val="SectionHead"/>
          <w:sz w:val="24"/>
          <w:szCs w:val="24"/>
        </w:rPr>
        <w:tab/>
        <w:t xml:space="preserve">Section     Payments to Finance Parties </w:t>
      </w:r>
      <w:ins w:id="171" w:author="foobar" w:date="2000-11-09T12:47:00Z">
        <w:r>
          <w:fldChar w:fldCharType="begin"/>
        </w:r>
        <w:r>
          <w:rPr/>
          <w:instrText xml:space="preserve"> TC "Section     Payments to Finance Parties " \l 2 </w:instrText>
        </w:r>
      </w:ins>
      <w:r>
        <w:rPr/>
        <w:fldChar w:fldCharType="separate"/>
      </w:r>
      <w:ins w:id="172" w:author="foobar" w:date="2000-11-09T12:47:00Z">
        <w:r>
          <w:rPr/>
        </w:r>
      </w:ins>
      <w:r>
        <w:rPr/>
        <w:fldChar w:fldCharType="end"/>
      </w:r>
      <w:r>
        <w:rPr>
          <w:sz w:val="24"/>
          <w:szCs w:val="24"/>
        </w:rPr>
        <w:t xml:space="preserve">.  </w:t>
      </w:r>
    </w:p>
    <w:p>
      <w:pPr>
        <w:pStyle w:val="Normal"/>
        <w:keepNext w:val="true"/>
        <w:keepLines/>
        <w:widowControl/>
        <w:numPr>
          <w:ilvl w:val="1"/>
          <w:numId w:val="66"/>
        </w:numPr>
        <w:tabs>
          <w:tab w:val="clear" w:pos="720"/>
          <w:tab w:val="left" w:pos="0" w:leader="none"/>
        </w:tabs>
        <w:ind w:hanging="0" w:start="0"/>
        <w:jc w:val="both"/>
        <w:rPr>
          <w:sz w:val="24"/>
          <w:szCs w:val="24"/>
        </w:rPr>
      </w:pPr>
      <w:r>
        <w:rPr>
          <w:sz w:val="24"/>
          <w:szCs w:val="24"/>
        </w:rPr>
      </w:r>
    </w:p>
    <w:p>
      <w:pPr>
        <w:pStyle w:val="a"/>
        <w:keepLines/>
        <w:widowControl/>
        <w:numPr>
          <w:ilvl w:val="2"/>
          <w:numId w:val="66"/>
        </w:numPr>
        <w:tabs>
          <w:tab w:val="clear" w:pos="720"/>
          <w:tab w:val="left" w:pos="0" w:leader="none"/>
        </w:tabs>
        <w:ind w:hanging="0" w:start="0"/>
        <w:jc w:val="both"/>
        <w:rPr/>
      </w:pPr>
      <w:r>
        <w:rPr/>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a"/>
        <w:keepNext w:val="true"/>
        <w:widowControl/>
        <w:numPr>
          <w:ilvl w:val="2"/>
          <w:numId w:val="66"/>
        </w:numPr>
        <w:tabs>
          <w:tab w:val="clear" w:pos="720"/>
          <w:tab w:val="left" w:pos="0" w:leader="none"/>
        </w:tabs>
        <w:ind w:hanging="0" w:start="0"/>
        <w:jc w:val="both"/>
        <w:rPr/>
      </w:pPr>
      <w:r>
        <w:rPr/>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widowControl/>
        <w:numPr>
          <w:ilvl w:val="1"/>
          <w:numId w:val="66"/>
        </w:numPr>
        <w:tabs>
          <w:tab w:val="clear" w:pos="720"/>
          <w:tab w:val="left" w:pos="0" w:leader="none"/>
        </w:tabs>
        <w:ind w:hanging="0" w:start="0"/>
        <w:jc w:val="both"/>
        <w:rPr/>
      </w:pPr>
      <w:r>
        <w:rPr>
          <w:rStyle w:val="SectionHead"/>
          <w:sz w:val="24"/>
          <w:szCs w:val="24"/>
        </w:rPr>
        <w:tab/>
        <w:t xml:space="preserve">Section     Change of Office of Agent or Arranger </w:t>
      </w:r>
      <w:ins w:id="173" w:author="foobar" w:date="2000-11-09T12:47:00Z">
        <w:r>
          <w:fldChar w:fldCharType="begin"/>
        </w:r>
        <w:r>
          <w:rPr/>
          <w:instrText xml:space="preserve"> TC "Section     Change of Office of Agent or Arranger " \l 2 </w:instrText>
        </w:r>
      </w:ins>
      <w:r>
        <w:rPr/>
        <w:fldChar w:fldCharType="separate"/>
      </w:r>
      <w:ins w:id="174" w:author="foobar" w:date="2000-11-09T12:47:00Z">
        <w:r>
          <w:rPr/>
        </w:r>
      </w:ins>
      <w:r>
        <w:rPr/>
        <w:fldChar w:fldCharType="end"/>
      </w:r>
      <w:r>
        <w:rPr>
          <w:sz w:val="24"/>
          <w:szCs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widowControl/>
        <w:jc w:val="both"/>
        <w:rPr>
          <w:sz w:val="24"/>
          <w:szCs w:val="24"/>
        </w:rPr>
      </w:pPr>
      <w:r>
        <w:rPr>
          <w:sz w:val="24"/>
          <w:szCs w:val="24"/>
        </w:rPr>
      </w:r>
    </w:p>
    <w:p>
      <w:pPr>
        <w:pStyle w:val="Normal"/>
        <w:keepLines/>
        <w:widowControl/>
        <w:numPr>
          <w:ilvl w:val="1"/>
          <w:numId w:val="67"/>
        </w:numPr>
        <w:tabs>
          <w:tab w:val="clear" w:pos="720"/>
          <w:tab w:val="left" w:pos="0" w:leader="none"/>
        </w:tabs>
        <w:ind w:hanging="0" w:start="0"/>
        <w:jc w:val="both"/>
        <w:rPr/>
      </w:pPr>
      <w:r>
        <w:rPr>
          <w:rStyle w:val="SectionHead"/>
          <w:sz w:val="24"/>
          <w:szCs w:val="24"/>
        </w:rPr>
        <w:tab/>
        <w:t xml:space="preserve">Section     The Co-Arrangers, Syndication Agent, Arranger and Documentation Agent </w:t>
      </w:r>
      <w:ins w:id="175" w:author="foobar" w:date="2000-11-09T12:47:00Z">
        <w:r>
          <w:fldChar w:fldCharType="begin"/>
        </w:r>
        <w:r>
          <w:rPr/>
          <w:instrText xml:space="preserve"> TC "Section     The Co-Arrangers, Syndication Agent, Arranger and Documentation Agent " \l 2 </w:instrText>
        </w:r>
      </w:ins>
      <w:r>
        <w:rPr/>
        <w:fldChar w:fldCharType="separate"/>
      </w:r>
      <w:ins w:id="176" w:author="foobar" w:date="2000-11-09T12:47:00Z">
        <w:r>
          <w:rPr/>
        </w:r>
      </w:ins>
      <w:r>
        <w:rPr/>
        <w:fldChar w:fldCharType="end"/>
      </w:r>
      <w:r>
        <w:rPr>
          <w:sz w:val="24"/>
          <w:szCs w:val="24"/>
        </w:rPr>
        <w:t>.  First Union National Bank and San Paolo IMI S.p.A. shall have no rights, obligations or duties solely in their capacity as Co-Arrangers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widowControl/>
        <w:jc w:val="both"/>
        <w:rPr>
          <w:sz w:val="24"/>
          <w:szCs w:val="24"/>
        </w:rPr>
      </w:pPr>
      <w:r>
        <w:rPr>
          <w:sz w:val="24"/>
          <w:szCs w:val="24"/>
        </w:rPr>
      </w:r>
    </w:p>
    <w:p>
      <w:pPr>
        <w:pStyle w:val="ARTICLE"/>
        <w:keepNext w:val="true"/>
        <w:keepLines/>
        <w:widowControl/>
        <w:numPr>
          <w:ilvl w:val="0"/>
          <w:numId w:val="68"/>
        </w:numPr>
        <w:tabs>
          <w:tab w:val="clear" w:pos="720"/>
          <w:tab w:val="left" w:pos="0" w:leader="none"/>
        </w:tabs>
        <w:ind w:hanging="0" w:start="1440"/>
        <w:rPr/>
      </w:pPr>
      <w:r>
        <w:rPr>
          <w:b/>
          <w:bCs/>
        </w:rPr>
        <w:t>ARTICLE EVIDENCE OF INDEBTEDNESS</w:t>
      </w:r>
      <w:ins w:id="177" w:author="foobar" w:date="2000-11-09T12:47:00Z">
        <w:r>
          <w:fldChar w:fldCharType="begin"/>
        </w:r>
        <w:r>
          <w:rPr/>
          <w:instrText xml:space="preserve"> TC "ARTICLE EVIDENCE OF INDEBTEDNESS" \l 1 </w:instrText>
        </w:r>
      </w:ins>
      <w:r>
        <w:rPr/>
        <w:fldChar w:fldCharType="separate"/>
      </w:r>
      <w:ins w:id="178" w:author="foobar" w:date="2000-11-09T12:47:00Z">
        <w:r>
          <w:rPr/>
        </w:r>
      </w:ins>
      <w:r>
        <w:rPr/>
        <w:fldChar w:fldCharType="end"/>
      </w:r>
    </w:p>
    <w:p>
      <w:pPr>
        <w:pStyle w:val="ARTICLE"/>
        <w:keepNext w:val="true"/>
        <w:keepLines/>
        <w:widowControl/>
        <w:ind w:start="0" w:end="0"/>
        <w:jc w:val="both"/>
        <w:rPr/>
      </w:pPr>
      <w:r>
        <w:rPr/>
      </w:r>
    </w:p>
    <w:p>
      <w:pPr>
        <w:pStyle w:val="Normal"/>
        <w:keepLines/>
        <w:widowControl/>
        <w:jc w:val="both"/>
        <w:rPr/>
      </w:pPr>
      <w:r>
        <w:rPr>
          <w:sz w:val="24"/>
          <w:szCs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iCs/>
          <w:sz w:val="24"/>
          <w:szCs w:val="24"/>
        </w:rPr>
        <w:t>prima facie</w:t>
      </w:r>
      <w:r>
        <w:rPr>
          <w:sz w:val="24"/>
          <w:szCs w:val="24"/>
        </w:rPr>
        <w:t xml:space="preserve"> evidence of the amount so due.</w:t>
      </w:r>
    </w:p>
    <w:p>
      <w:pPr>
        <w:pStyle w:val="Normal"/>
        <w:keepNext w:val="true"/>
        <w:widowControl/>
        <w:jc w:val="both"/>
        <w:rPr>
          <w:sz w:val="24"/>
          <w:szCs w:val="24"/>
        </w:rPr>
      </w:pPr>
      <w:r>
        <w:rPr>
          <w:sz w:val="24"/>
          <w:szCs w:val="24"/>
        </w:rPr>
      </w:r>
    </w:p>
    <w:p>
      <w:pPr>
        <w:pStyle w:val="ARTICLE"/>
        <w:keepNext w:val="true"/>
        <w:keepLines/>
        <w:widowControl/>
        <w:numPr>
          <w:ilvl w:val="0"/>
          <w:numId w:val="69"/>
        </w:numPr>
        <w:tabs>
          <w:tab w:val="clear" w:pos="720"/>
          <w:tab w:val="left" w:pos="0" w:leader="none"/>
        </w:tabs>
        <w:ind w:hanging="0" w:start="1440"/>
        <w:rPr/>
      </w:pPr>
      <w:r>
        <w:rPr>
          <w:b/>
          <w:bCs/>
        </w:rPr>
        <w:t>ARTICLE APPLICATION OF MONEYS</w:t>
      </w:r>
      <w:ins w:id="179" w:author="foobar" w:date="2000-11-09T12:47:00Z">
        <w:r>
          <w:fldChar w:fldCharType="begin"/>
        </w:r>
        <w:r>
          <w:rPr/>
          <w:instrText xml:space="preserve"> TC "ARTICLE APPLICATION OF MONEYS" \l 1 </w:instrText>
        </w:r>
      </w:ins>
      <w:r>
        <w:rPr/>
        <w:fldChar w:fldCharType="separate"/>
      </w:r>
      <w:ins w:id="180" w:author="foobar" w:date="2000-11-09T12:47:00Z">
        <w:r>
          <w:rPr/>
        </w:r>
      </w:ins>
      <w:r>
        <w:rPr/>
        <w:fldChar w:fldCharType="end"/>
      </w:r>
    </w:p>
    <w:p>
      <w:pPr>
        <w:pStyle w:val="ARTICLE"/>
        <w:keepNext w:val="true"/>
        <w:keepLines/>
        <w:widowControl/>
        <w:ind w:start="0" w:end="0"/>
        <w:jc w:val="both"/>
        <w:rPr/>
      </w:pPr>
      <w:r>
        <w:rPr/>
      </w:r>
    </w:p>
    <w:p>
      <w:pPr>
        <w:pStyle w:val="Normal"/>
        <w:keepNext w:val="true"/>
        <w:keepLines/>
        <w:widowControl/>
        <w:numPr>
          <w:ilvl w:val="1"/>
          <w:numId w:val="70"/>
        </w:numPr>
        <w:tabs>
          <w:tab w:val="clear" w:pos="720"/>
          <w:tab w:val="left" w:pos="0" w:leader="none"/>
        </w:tabs>
        <w:ind w:hanging="0" w:start="0"/>
        <w:jc w:val="both"/>
        <w:rPr/>
      </w:pPr>
      <w:r>
        <w:rPr>
          <w:rStyle w:val="SectionHead"/>
          <w:sz w:val="24"/>
          <w:szCs w:val="24"/>
        </w:rPr>
        <w:tab/>
        <w:t xml:space="preserve">Section     Priority of Payments </w:t>
      </w:r>
      <w:ins w:id="181" w:author="foobar" w:date="2000-11-09T12:47:00Z">
        <w:r>
          <w:fldChar w:fldCharType="begin"/>
        </w:r>
        <w:r>
          <w:rPr/>
          <w:instrText xml:space="preserve"> TC "Section     Priority of Payments " \l 2 </w:instrText>
        </w:r>
      </w:ins>
      <w:r>
        <w:rPr/>
        <w:fldChar w:fldCharType="separate"/>
      </w:r>
      <w:ins w:id="182" w:author="foobar" w:date="2000-11-09T12:47:00Z">
        <w:r>
          <w:rPr/>
        </w:r>
      </w:ins>
      <w:r>
        <w:rPr/>
        <w:fldChar w:fldCharType="end"/>
      </w:r>
      <w:r>
        <w:rPr>
          <w:sz w:val="24"/>
          <w:szCs w:val="24"/>
        </w:rPr>
        <w:t>.  If any sum paid or recovered in respect of the liabilities of the Trust under any of  the Finance Documents is less than the amount then due, the Agent shall apply that sum in the following order:</w:t>
      </w:r>
    </w:p>
    <w:p>
      <w:pPr>
        <w:pStyle w:val="Normal"/>
        <w:keepLines/>
        <w:widowControl/>
        <w:jc w:val="both"/>
        <w:rPr>
          <w:sz w:val="24"/>
          <w:szCs w:val="24"/>
        </w:rPr>
      </w:pPr>
      <w:r>
        <w:rPr>
          <w:sz w:val="24"/>
          <w:szCs w:val="24"/>
        </w:rPr>
      </w:r>
    </w:p>
    <w:p>
      <w:pPr>
        <w:pStyle w:val="a"/>
        <w:widowControl/>
        <w:numPr>
          <w:ilvl w:val="2"/>
          <w:numId w:val="71"/>
        </w:numPr>
        <w:tabs>
          <w:tab w:val="clear" w:pos="720"/>
          <w:tab w:val="left" w:pos="0" w:leader="none"/>
        </w:tabs>
        <w:ind w:hanging="0" w:start="0"/>
        <w:jc w:val="both"/>
        <w:rPr/>
      </w:pPr>
      <w:r>
        <w:rPr/>
        <w:tab/>
        <w:t>first, to any unpaid fees and reimbursement of unpaid expenses of the Agent;</w:t>
      </w:r>
    </w:p>
    <w:p>
      <w:pPr>
        <w:pStyle w:val="a"/>
        <w:widowControl/>
        <w:numPr>
          <w:ilvl w:val="2"/>
          <w:numId w:val="71"/>
        </w:numPr>
        <w:tabs>
          <w:tab w:val="clear" w:pos="720"/>
          <w:tab w:val="left" w:pos="0" w:leader="none"/>
        </w:tabs>
        <w:ind w:hanging="0" w:start="0"/>
        <w:jc w:val="both"/>
        <w:rPr/>
      </w:pPr>
      <w:r>
        <w:rPr/>
        <w:tab/>
        <w:t>second, to any unpaid fees and reimbursement of unpaid expenses of the  Lenders;</w:t>
      </w:r>
    </w:p>
    <w:p>
      <w:pPr>
        <w:pStyle w:val="a"/>
        <w:widowControl/>
        <w:numPr>
          <w:ilvl w:val="2"/>
          <w:numId w:val="71"/>
        </w:numPr>
        <w:tabs>
          <w:tab w:val="clear" w:pos="720"/>
          <w:tab w:val="left" w:pos="0" w:leader="none"/>
        </w:tabs>
        <w:ind w:hanging="0" w:start="0"/>
        <w:jc w:val="both"/>
        <w:rPr/>
      </w:pPr>
      <w:r>
        <w:rPr/>
        <w:tab/>
        <w:t>third, to unpaid interest on the Notes;</w:t>
      </w:r>
    </w:p>
    <w:p>
      <w:pPr>
        <w:pStyle w:val="a"/>
        <w:widowControl/>
        <w:numPr>
          <w:ilvl w:val="2"/>
          <w:numId w:val="71"/>
        </w:numPr>
        <w:tabs>
          <w:tab w:val="clear" w:pos="720"/>
          <w:tab w:val="left" w:pos="0" w:leader="none"/>
        </w:tabs>
        <w:ind w:hanging="0" w:start="0"/>
        <w:jc w:val="both"/>
        <w:rPr/>
      </w:pPr>
      <w:r>
        <w:rPr/>
        <w:tab/>
        <w:t>fourth, to unpaid principal on the Notes; and</w:t>
      </w:r>
    </w:p>
    <w:p>
      <w:pPr>
        <w:pStyle w:val="a"/>
        <w:widowControl/>
        <w:numPr>
          <w:ilvl w:val="2"/>
          <w:numId w:val="71"/>
        </w:numPr>
        <w:tabs>
          <w:tab w:val="clear" w:pos="720"/>
          <w:tab w:val="left" w:pos="0" w:leader="none"/>
        </w:tabs>
        <w:ind w:hanging="0" w:start="0"/>
        <w:jc w:val="both"/>
        <w:rPr/>
      </w:pPr>
      <w:r>
        <w:rPr/>
        <w:tab/>
        <w:t>last, to other amounts due under the Finance Documents;</w:t>
      </w:r>
    </w:p>
    <w:p>
      <w:pPr>
        <w:pStyle w:val="Normal"/>
        <w:widowControl/>
        <w:jc w:val="both"/>
        <w:rPr/>
      </w:pPr>
      <w:r>
        <w:rPr>
          <w:sz w:val="24"/>
          <w:szCs w:val="24"/>
        </w:rPr>
        <w:t xml:space="preserve">in each case </w:t>
      </w:r>
      <w:r>
        <w:rPr>
          <w:sz w:val="24"/>
          <w:szCs w:val="24"/>
          <w:u w:val="single"/>
        </w:rPr>
        <w:t>pro</w:t>
      </w:r>
      <w:r>
        <w:rPr>
          <w:sz w:val="24"/>
          <w:szCs w:val="24"/>
        </w:rPr>
        <w:t xml:space="preserve"> </w:t>
      </w:r>
      <w:r>
        <w:rPr>
          <w:sz w:val="24"/>
          <w:szCs w:val="24"/>
          <w:u w:val="single"/>
        </w:rPr>
        <w:t>rata</w:t>
      </w:r>
      <w:r>
        <w:rPr>
          <w:sz w:val="24"/>
          <w:szCs w:val="24"/>
        </w:rPr>
        <w:t xml:space="preserve"> to the outstanding amounts owing to the Finance Parties under the Finance Documents taking into account any applications under this Article XVI.</w:t>
      </w:r>
    </w:p>
    <w:p>
      <w:pPr>
        <w:pStyle w:val="Normal"/>
        <w:keepNext w:val="true"/>
        <w:widowControl/>
        <w:jc w:val="both"/>
        <w:rPr>
          <w:sz w:val="24"/>
          <w:szCs w:val="24"/>
        </w:rPr>
      </w:pPr>
      <w:r>
        <w:rPr>
          <w:sz w:val="24"/>
          <w:szCs w:val="24"/>
        </w:rPr>
      </w:r>
    </w:p>
    <w:p>
      <w:pPr>
        <w:pStyle w:val="ARTICLE"/>
        <w:keepNext w:val="true"/>
        <w:keepLines/>
        <w:widowControl/>
        <w:numPr>
          <w:ilvl w:val="0"/>
          <w:numId w:val="72"/>
        </w:numPr>
        <w:tabs>
          <w:tab w:val="clear" w:pos="720"/>
          <w:tab w:val="left" w:pos="0" w:leader="none"/>
        </w:tabs>
        <w:ind w:hanging="0" w:start="1440"/>
        <w:rPr/>
      </w:pPr>
      <w:r>
        <w:rPr>
          <w:b/>
          <w:bCs/>
        </w:rPr>
        <w:t>ARTICLE PRO RATA PAYMENTS</w:t>
      </w:r>
      <w:ins w:id="183" w:author="foobar" w:date="2000-11-09T12:47:00Z">
        <w:r>
          <w:fldChar w:fldCharType="begin"/>
        </w:r>
        <w:r>
          <w:rPr/>
          <w:instrText xml:space="preserve"> TC "ARTICLE PRO RATA PAYMENTS" \l 1 </w:instrText>
        </w:r>
      </w:ins>
      <w:r>
        <w:rPr/>
        <w:fldChar w:fldCharType="separate"/>
      </w:r>
      <w:ins w:id="184" w:author="foobar" w:date="2000-11-09T12:47:00Z">
        <w:r>
          <w:rPr/>
        </w:r>
      </w:ins>
      <w:r>
        <w:rPr/>
        <w:fldChar w:fldCharType="end"/>
      </w:r>
    </w:p>
    <w:p>
      <w:pPr>
        <w:pStyle w:val="ARTICLE"/>
        <w:keepNext w:val="true"/>
        <w:keepLines/>
        <w:widowControl/>
        <w:ind w:start="0" w:end="0"/>
        <w:jc w:val="both"/>
        <w:rPr/>
      </w:pPr>
      <w:r>
        <w:rPr/>
      </w:r>
    </w:p>
    <w:p>
      <w:pPr>
        <w:pStyle w:val="Normal"/>
        <w:keepLines/>
        <w:widowControl/>
        <w:numPr>
          <w:ilvl w:val="1"/>
          <w:numId w:val="73"/>
        </w:numPr>
        <w:tabs>
          <w:tab w:val="clear" w:pos="720"/>
          <w:tab w:val="left" w:pos="0" w:leader="none"/>
        </w:tabs>
        <w:ind w:hanging="0" w:start="0"/>
        <w:jc w:val="both"/>
        <w:rPr/>
      </w:pPr>
      <w:r>
        <w:rPr>
          <w:rStyle w:val="SectionHead"/>
          <w:sz w:val="24"/>
          <w:szCs w:val="24"/>
        </w:rPr>
        <w:tab/>
        <w:t xml:space="preserve">Section     Recoveries by Lenders </w:t>
      </w:r>
      <w:ins w:id="185" w:author="foobar" w:date="2000-11-09T12:47:00Z">
        <w:r>
          <w:fldChar w:fldCharType="begin"/>
        </w:r>
        <w:r>
          <w:rPr/>
          <w:instrText xml:space="preserve"> TC "Section     Recoveries by Lenders " \l 2 </w:instrText>
        </w:r>
      </w:ins>
      <w:r>
        <w:rPr/>
        <w:fldChar w:fldCharType="separate"/>
      </w:r>
      <w:ins w:id="186" w:author="foobar" w:date="2000-11-09T12:47:00Z">
        <w:r>
          <w:rPr/>
        </w:r>
      </w:ins>
      <w:r>
        <w:rPr/>
        <w:fldChar w:fldCharType="end"/>
      </w:r>
      <w:r>
        <w:rPr>
          <w:sz w:val="24"/>
          <w:szCs w:val="24"/>
        </w:rPr>
        <w:t xml:space="preserve">.  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b/>
          <w:bCs/>
          <w:sz w:val="24"/>
          <w:szCs w:val="24"/>
        </w:rPr>
        <w:t>“</w:t>
      </w:r>
      <w:r>
        <w:rPr>
          <w:b/>
          <w:bCs/>
          <w:sz w:val="24"/>
          <w:szCs w:val="24"/>
          <w:u w:val="single"/>
        </w:rPr>
        <w:t>Recovery</w:t>
      </w:r>
      <w:r>
        <w:rPr>
          <w:b/>
          <w:bCs/>
          <w:sz w:val="24"/>
          <w:szCs w:val="24"/>
        </w:rPr>
        <w:t>”</w:t>
      </w:r>
      <w:r>
        <w:rPr>
          <w:sz w:val="24"/>
          <w:szCs w:val="24"/>
        </w:rPr>
        <w:t>), then:</w:t>
      </w:r>
    </w:p>
    <w:p>
      <w:pPr>
        <w:pStyle w:val="Normal"/>
        <w:widowControl/>
        <w:jc w:val="both"/>
        <w:rPr>
          <w:sz w:val="24"/>
          <w:szCs w:val="24"/>
        </w:rPr>
      </w:pPr>
      <w:r>
        <w:rPr>
          <w:sz w:val="24"/>
          <w:szCs w:val="24"/>
        </w:rPr>
      </w:r>
    </w:p>
    <w:p>
      <w:pPr>
        <w:pStyle w:val="a"/>
        <w:widowControl/>
        <w:numPr>
          <w:ilvl w:val="2"/>
          <w:numId w:val="74"/>
        </w:numPr>
        <w:tabs>
          <w:tab w:val="clear" w:pos="720"/>
          <w:tab w:val="left" w:pos="0" w:leader="none"/>
        </w:tabs>
        <w:ind w:hanging="0" w:start="0"/>
        <w:jc w:val="both"/>
        <w:rPr/>
      </w:pPr>
      <w:r>
        <w:rPr/>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a"/>
        <w:widowControl/>
        <w:numPr>
          <w:ilvl w:val="2"/>
          <w:numId w:val="74"/>
        </w:numPr>
        <w:tabs>
          <w:tab w:val="clear" w:pos="720"/>
          <w:tab w:val="left" w:pos="0" w:leader="none"/>
        </w:tabs>
        <w:ind w:hanging="0" w:start="0"/>
        <w:jc w:val="both"/>
        <w:rPr/>
      </w:pPr>
      <w:r>
        <w:rPr/>
        <w:tab/>
        <w:t>the Agent shall treat such payment as if it were part of the payment to be made by the Trust to the Lenders ratably in accordance with their respective Commitments; and</w:t>
      </w:r>
    </w:p>
    <w:p>
      <w:pPr>
        <w:pStyle w:val="a"/>
        <w:keepNext w:val="true"/>
        <w:widowControl/>
        <w:numPr>
          <w:ilvl w:val="2"/>
          <w:numId w:val="74"/>
        </w:numPr>
        <w:tabs>
          <w:tab w:val="clear" w:pos="720"/>
          <w:tab w:val="left" w:pos="0" w:leader="none"/>
        </w:tabs>
        <w:ind w:hanging="0" w:start="0"/>
        <w:jc w:val="both"/>
        <w:rPr/>
      </w:pPr>
      <w:r>
        <w:rPr/>
        <w:tab/>
        <w:t>except for any receipt by such Lender as a result of the operation of paragraph (b) above, as between the Trust and such Lender, the Recovery shall be treated and deemed as not having been paid.</w:t>
      </w:r>
    </w:p>
    <w:p>
      <w:pPr>
        <w:pStyle w:val="Normal"/>
        <w:keepNext w:val="true"/>
        <w:keepLines/>
        <w:widowControl/>
        <w:numPr>
          <w:ilvl w:val="1"/>
          <w:numId w:val="74"/>
        </w:numPr>
        <w:tabs>
          <w:tab w:val="clear" w:pos="720"/>
          <w:tab w:val="left" w:pos="0" w:leader="none"/>
        </w:tabs>
        <w:ind w:hanging="0" w:start="0"/>
        <w:jc w:val="both"/>
        <w:rPr/>
      </w:pPr>
      <w:r>
        <w:rPr>
          <w:rStyle w:val="SectionHead"/>
          <w:sz w:val="24"/>
          <w:szCs w:val="24"/>
        </w:rPr>
        <w:tab/>
        <w:t xml:space="preserve">Section     Notification to Agent of Recoveries to Lender </w:t>
      </w:r>
      <w:ins w:id="187" w:author="foobar" w:date="2000-11-09T12:47:00Z">
        <w:r>
          <w:fldChar w:fldCharType="begin"/>
        </w:r>
        <w:r>
          <w:rPr/>
          <w:instrText xml:space="preserve"> TC "Section     Notification to Agent of Recoveries to Lender " \l 2 </w:instrText>
        </w:r>
      </w:ins>
      <w:r>
        <w:rPr/>
        <w:fldChar w:fldCharType="separate"/>
      </w:r>
      <w:ins w:id="188" w:author="foobar" w:date="2000-11-09T12:47:00Z">
        <w:r>
          <w:rPr/>
        </w:r>
      </w:ins>
      <w:r>
        <w:rPr/>
        <w:fldChar w:fldCharType="end"/>
      </w:r>
      <w:r>
        <w:rPr>
          <w:sz w:val="24"/>
          <w:szCs w:val="24"/>
        </w:rPr>
        <w:t>.  Each Lender shall notify the Agent promptly of any such Recovery by such Lender other than by payment through the Agent.</w:t>
      </w:r>
    </w:p>
    <w:p>
      <w:pPr>
        <w:pStyle w:val="Normal"/>
        <w:keepNext w:val="true"/>
        <w:keepLines/>
        <w:widowControl/>
        <w:jc w:val="both"/>
        <w:rPr>
          <w:sz w:val="24"/>
          <w:szCs w:val="24"/>
        </w:rPr>
      </w:pPr>
      <w:r>
        <w:rPr>
          <w:sz w:val="24"/>
          <w:szCs w:val="24"/>
        </w:rPr>
      </w:r>
    </w:p>
    <w:p>
      <w:pPr>
        <w:pStyle w:val="Normal"/>
        <w:keepLines/>
        <w:widowControl/>
        <w:numPr>
          <w:ilvl w:val="1"/>
          <w:numId w:val="75"/>
        </w:numPr>
        <w:tabs>
          <w:tab w:val="clear" w:pos="720"/>
          <w:tab w:val="left" w:pos="0" w:leader="none"/>
        </w:tabs>
        <w:ind w:hanging="0" w:start="0"/>
        <w:jc w:val="both"/>
        <w:rPr/>
      </w:pPr>
      <w:r>
        <w:rPr>
          <w:rStyle w:val="SectionHead"/>
          <w:sz w:val="24"/>
          <w:szCs w:val="24"/>
        </w:rPr>
        <w:tab/>
        <w:t xml:space="preserve">Section     Lender to Supply Agent with Specified Information </w:t>
      </w:r>
      <w:ins w:id="189" w:author="foobar" w:date="2000-11-09T12:47:00Z">
        <w:r>
          <w:fldChar w:fldCharType="begin"/>
        </w:r>
        <w:r>
          <w:rPr/>
          <w:instrText xml:space="preserve"> TC "Section     Lender to Supply Agent with Specified Information " \l 2 </w:instrText>
        </w:r>
      </w:ins>
      <w:r>
        <w:rPr/>
        <w:fldChar w:fldCharType="separate"/>
      </w:r>
      <w:ins w:id="190" w:author="foobar" w:date="2000-11-09T12:47:00Z">
        <w:r>
          <w:rPr/>
        </w:r>
      </w:ins>
      <w:r>
        <w:rPr/>
        <w:fldChar w:fldCharType="end"/>
      </w:r>
      <w:r>
        <w:rPr>
          <w:sz w:val="24"/>
          <w:szCs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widowControl/>
        <w:jc w:val="both"/>
        <w:rPr>
          <w:sz w:val="24"/>
          <w:szCs w:val="24"/>
        </w:rPr>
      </w:pPr>
      <w:r>
        <w:rPr>
          <w:sz w:val="24"/>
          <w:szCs w:val="24"/>
        </w:rPr>
      </w:r>
    </w:p>
    <w:p>
      <w:pPr>
        <w:pStyle w:val="Normal"/>
        <w:keepLines/>
        <w:widowControl/>
        <w:numPr>
          <w:ilvl w:val="1"/>
          <w:numId w:val="76"/>
        </w:numPr>
        <w:tabs>
          <w:tab w:val="clear" w:pos="720"/>
          <w:tab w:val="left" w:pos="0" w:leader="none"/>
        </w:tabs>
        <w:ind w:hanging="0" w:start="0"/>
        <w:jc w:val="both"/>
        <w:rPr/>
      </w:pPr>
      <w:r>
        <w:rPr>
          <w:rStyle w:val="SectionHead"/>
          <w:sz w:val="24"/>
          <w:szCs w:val="24"/>
        </w:rPr>
        <w:tab/>
        <w:t xml:space="preserve">Section     Agreement to Use Reasonable Efforts </w:t>
      </w:r>
      <w:ins w:id="191" w:author="foobar" w:date="2000-11-09T12:47:00Z">
        <w:r>
          <w:fldChar w:fldCharType="begin"/>
        </w:r>
        <w:r>
          <w:rPr/>
          <w:instrText xml:space="preserve"> TC "Section     Agreement to Use Reasonable Efforts " \l 2 </w:instrText>
        </w:r>
      </w:ins>
      <w:r>
        <w:rPr/>
        <w:fldChar w:fldCharType="separate"/>
      </w:r>
      <w:ins w:id="192" w:author="foobar" w:date="2000-11-09T12:47:00Z">
        <w:r>
          <w:rPr/>
        </w:r>
      </w:ins>
      <w:r>
        <w:rPr/>
        <w:fldChar w:fldCharType="end"/>
      </w:r>
      <w:r>
        <w:rPr>
          <w:sz w:val="24"/>
          <w:szCs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widowControl/>
        <w:jc w:val="both"/>
        <w:rPr>
          <w:sz w:val="24"/>
          <w:szCs w:val="24"/>
        </w:rPr>
      </w:pPr>
      <w:r>
        <w:rPr>
          <w:sz w:val="24"/>
          <w:szCs w:val="24"/>
        </w:rPr>
      </w:r>
    </w:p>
    <w:p>
      <w:pPr>
        <w:pStyle w:val="Normal"/>
        <w:keepNext w:val="true"/>
        <w:keepLines/>
        <w:widowControl/>
        <w:numPr>
          <w:ilvl w:val="1"/>
          <w:numId w:val="77"/>
        </w:numPr>
        <w:tabs>
          <w:tab w:val="clear" w:pos="720"/>
          <w:tab w:val="left" w:pos="0" w:leader="none"/>
        </w:tabs>
        <w:ind w:hanging="0" w:start="0"/>
        <w:jc w:val="both"/>
        <w:rPr/>
      </w:pPr>
      <w:r>
        <w:rPr>
          <w:rStyle w:val="SectionHead"/>
          <w:sz w:val="24"/>
          <w:szCs w:val="24"/>
        </w:rPr>
        <w:tab/>
        <w:t xml:space="preserve">Section     No Lien Against Lender </w:t>
      </w:r>
      <w:ins w:id="193" w:author="foobar" w:date="2000-11-09T12:47:00Z">
        <w:r>
          <w:fldChar w:fldCharType="begin"/>
        </w:r>
        <w:r>
          <w:rPr/>
          <w:instrText xml:space="preserve"> TC "Section     No Lien Against Lender " \l 2 </w:instrText>
        </w:r>
      </w:ins>
      <w:r>
        <w:rPr/>
        <w:fldChar w:fldCharType="separate"/>
      </w:r>
      <w:ins w:id="194" w:author="foobar" w:date="2000-11-09T12:47:00Z">
        <w:r>
          <w:rPr/>
        </w:r>
      </w:ins>
      <w:r>
        <w:rPr/>
        <w:fldChar w:fldCharType="end"/>
      </w:r>
      <w:r>
        <w:rPr>
          <w:sz w:val="24"/>
          <w:szCs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widowControl/>
        <w:jc w:val="both"/>
        <w:rPr>
          <w:sz w:val="24"/>
          <w:szCs w:val="24"/>
        </w:rPr>
      </w:pPr>
      <w:r>
        <w:rPr>
          <w:sz w:val="24"/>
          <w:szCs w:val="24"/>
        </w:rPr>
      </w:r>
    </w:p>
    <w:p>
      <w:pPr>
        <w:pStyle w:val="ARTICLE"/>
        <w:keepNext w:val="true"/>
        <w:keepLines/>
        <w:widowControl/>
        <w:numPr>
          <w:ilvl w:val="0"/>
          <w:numId w:val="78"/>
        </w:numPr>
        <w:tabs>
          <w:tab w:val="clear" w:pos="720"/>
          <w:tab w:val="left" w:pos="0" w:leader="none"/>
        </w:tabs>
        <w:ind w:hanging="0" w:start="1440"/>
        <w:rPr/>
      </w:pPr>
      <w:r>
        <w:rPr>
          <w:b/>
          <w:bCs/>
        </w:rPr>
        <w:t>ARTICLE SET-OFF</w:t>
      </w:r>
      <w:ins w:id="195" w:author="foobar" w:date="2000-11-09T12:47:00Z">
        <w:r>
          <w:fldChar w:fldCharType="begin"/>
        </w:r>
        <w:r>
          <w:rPr/>
          <w:instrText xml:space="preserve"> TC "ARTICLE SET-OFF" \l 1 </w:instrText>
        </w:r>
      </w:ins>
      <w:r>
        <w:rPr/>
        <w:fldChar w:fldCharType="separate"/>
      </w:r>
      <w:ins w:id="196" w:author="foobar" w:date="2000-11-09T12:47:00Z">
        <w:r>
          <w:rPr/>
        </w:r>
      </w:ins>
      <w:r>
        <w:rPr/>
        <w:fldChar w:fldCharType="end"/>
      </w:r>
    </w:p>
    <w:p>
      <w:pPr>
        <w:pStyle w:val="ARTICLE"/>
        <w:keepNext w:val="true"/>
        <w:keepLines/>
        <w:widowControl/>
        <w:ind w:start="0" w:end="0"/>
        <w:jc w:val="both"/>
        <w:rPr/>
      </w:pPr>
      <w:r>
        <w:rPr/>
      </w:r>
    </w:p>
    <w:p>
      <w:pPr>
        <w:pStyle w:val="Normal"/>
        <w:keepLines/>
        <w:widowControl/>
        <w:jc w:val="both"/>
        <w:rPr/>
      </w:pPr>
      <w:r>
        <w:rPr>
          <w:sz w:val="24"/>
          <w:szCs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szCs w:val="24"/>
          <w:u w:val="single"/>
        </w:rPr>
        <w:t>provided</w:t>
      </w:r>
      <w:r>
        <w:rPr>
          <w:sz w:val="24"/>
          <w:szCs w:val="24"/>
        </w:rPr>
        <w:t xml:space="preserve"> that the failure to give such notice shall not affect the validity of such set off or transfer.</w:t>
      </w:r>
    </w:p>
    <w:p>
      <w:pPr>
        <w:pStyle w:val="Normal"/>
        <w:keepNext w:val="true"/>
        <w:widowControl/>
        <w:jc w:val="both"/>
        <w:rPr>
          <w:sz w:val="24"/>
          <w:szCs w:val="24"/>
        </w:rPr>
      </w:pPr>
      <w:r>
        <w:rPr>
          <w:sz w:val="24"/>
          <w:szCs w:val="24"/>
        </w:rPr>
      </w:r>
    </w:p>
    <w:p>
      <w:pPr>
        <w:pStyle w:val="ARTICLE"/>
        <w:keepNext w:val="true"/>
        <w:keepLines/>
        <w:widowControl/>
        <w:numPr>
          <w:ilvl w:val="0"/>
          <w:numId w:val="79"/>
        </w:numPr>
        <w:tabs>
          <w:tab w:val="clear" w:pos="720"/>
          <w:tab w:val="left" w:pos="0" w:leader="none"/>
        </w:tabs>
        <w:ind w:hanging="0" w:start="1440"/>
        <w:rPr/>
      </w:pPr>
      <w:r>
        <w:rPr>
          <w:b/>
          <w:bCs/>
        </w:rPr>
        <w:t>ARTICLE NOTICES</w:t>
      </w:r>
      <w:ins w:id="197" w:author="foobar" w:date="2000-11-09T12:47:00Z">
        <w:r>
          <w:fldChar w:fldCharType="begin"/>
        </w:r>
        <w:r>
          <w:rPr/>
          <w:instrText xml:space="preserve"> TC "ARTICLE NOTICES" \l 1 </w:instrText>
        </w:r>
      </w:ins>
      <w:r>
        <w:rPr/>
        <w:fldChar w:fldCharType="separate"/>
      </w:r>
      <w:ins w:id="198" w:author="foobar" w:date="2000-11-09T12:47:00Z">
        <w:r>
          <w:rPr/>
        </w:r>
      </w:ins>
      <w:r>
        <w:rPr/>
        <w:fldChar w:fldCharType="end"/>
      </w:r>
    </w:p>
    <w:p>
      <w:pPr>
        <w:pStyle w:val="ARTICLE"/>
        <w:keepNext w:val="true"/>
        <w:keepLines/>
        <w:widowControl/>
        <w:ind w:start="0" w:end="0"/>
        <w:jc w:val="both"/>
        <w:rPr/>
      </w:pPr>
      <w:r>
        <w:rPr/>
      </w:r>
    </w:p>
    <w:p>
      <w:pPr>
        <w:pStyle w:val="Normal"/>
        <w:keepLines/>
        <w:widowControl/>
        <w:numPr>
          <w:ilvl w:val="1"/>
          <w:numId w:val="80"/>
        </w:numPr>
        <w:tabs>
          <w:tab w:val="clear" w:pos="720"/>
          <w:tab w:val="left" w:pos="0" w:leader="none"/>
        </w:tabs>
        <w:ind w:hanging="0" w:start="0"/>
        <w:jc w:val="both"/>
        <w:rPr/>
      </w:pPr>
      <w:r>
        <w:rPr>
          <w:rStyle w:val="SectionHead"/>
          <w:sz w:val="24"/>
          <w:szCs w:val="24"/>
        </w:rPr>
        <w:tab/>
        <w:t xml:space="preserve">Section     Addresses and Method of Notice </w:t>
      </w:r>
      <w:ins w:id="199" w:author="foobar" w:date="2000-11-09T12:47:00Z">
        <w:r>
          <w:fldChar w:fldCharType="begin"/>
        </w:r>
        <w:r>
          <w:rPr/>
          <w:instrText xml:space="preserve"> TC "Section     Addresses and Method of Notice " \l 2 </w:instrText>
        </w:r>
      </w:ins>
      <w:r>
        <w:rPr/>
        <w:fldChar w:fldCharType="separate"/>
      </w:r>
      <w:ins w:id="200" w:author="foobar" w:date="2000-11-09T12:47:00Z">
        <w:r>
          <w:rPr/>
        </w:r>
      </w:ins>
      <w:r>
        <w:rPr/>
        <w:fldChar w:fldCharType="end"/>
      </w:r>
      <w:r>
        <w:rPr>
          <w:sz w:val="24"/>
          <w:szCs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widowControl/>
        <w:jc w:val="both"/>
        <w:rPr>
          <w:sz w:val="24"/>
          <w:szCs w:val="24"/>
        </w:rPr>
      </w:pPr>
      <w:r>
        <w:rPr>
          <w:sz w:val="24"/>
          <w:szCs w:val="24"/>
        </w:rPr>
      </w:r>
    </w:p>
    <w:p>
      <w:pPr>
        <w:pStyle w:val="Normal"/>
        <w:keepLines/>
        <w:widowControl/>
        <w:numPr>
          <w:ilvl w:val="1"/>
          <w:numId w:val="81"/>
        </w:numPr>
        <w:tabs>
          <w:tab w:val="clear" w:pos="720"/>
          <w:tab w:val="left" w:pos="0" w:leader="none"/>
        </w:tabs>
        <w:ind w:hanging="0" w:start="0"/>
        <w:jc w:val="both"/>
        <w:rPr/>
      </w:pPr>
      <w:r>
        <w:rPr>
          <w:rStyle w:val="SectionHead"/>
          <w:sz w:val="24"/>
          <w:szCs w:val="24"/>
        </w:rPr>
        <w:tab/>
        <w:t xml:space="preserve">Section     Timing of Notice </w:t>
      </w:r>
      <w:ins w:id="201" w:author="foobar" w:date="2000-11-09T12:47:00Z">
        <w:r>
          <w:fldChar w:fldCharType="begin"/>
        </w:r>
        <w:r>
          <w:rPr/>
          <w:instrText xml:space="preserve"> TC "Section     Timing of Notice " \l 2 </w:instrText>
        </w:r>
      </w:ins>
      <w:r>
        <w:rPr/>
        <w:fldChar w:fldCharType="separate"/>
      </w:r>
      <w:ins w:id="202" w:author="foobar" w:date="2000-11-09T12:47:00Z">
        <w:r>
          <w:rPr/>
        </w:r>
      </w:ins>
      <w:r>
        <w:rPr/>
        <w:fldChar w:fldCharType="end"/>
      </w:r>
      <w:r>
        <w:rPr>
          <w:sz w:val="24"/>
          <w:szCs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keepNext w:val="true"/>
        <w:widowControl/>
        <w:jc w:val="both"/>
        <w:rPr>
          <w:sz w:val="24"/>
          <w:szCs w:val="24"/>
        </w:rPr>
      </w:pPr>
      <w:r>
        <w:rPr>
          <w:sz w:val="24"/>
          <w:szCs w:val="24"/>
        </w:rPr>
      </w:r>
    </w:p>
    <w:p>
      <w:pPr>
        <w:pStyle w:val="Normal"/>
        <w:keepLines/>
        <w:widowControl/>
        <w:numPr>
          <w:ilvl w:val="1"/>
          <w:numId w:val="82"/>
        </w:numPr>
        <w:tabs>
          <w:tab w:val="clear" w:pos="720"/>
          <w:tab w:val="left" w:pos="0" w:leader="none"/>
        </w:tabs>
        <w:ind w:hanging="0" w:start="0"/>
        <w:jc w:val="both"/>
        <w:rPr/>
      </w:pPr>
      <w:r>
        <w:rPr>
          <w:rStyle w:val="SectionHead"/>
          <w:sz w:val="24"/>
          <w:szCs w:val="24"/>
        </w:rPr>
        <w:tab/>
        <w:t xml:space="preserve">Section     Proving Service of Notice </w:t>
      </w:r>
      <w:ins w:id="203" w:author="foobar" w:date="2000-11-09T12:47:00Z">
        <w:r>
          <w:fldChar w:fldCharType="begin"/>
        </w:r>
        <w:r>
          <w:rPr/>
          <w:instrText xml:space="preserve"> TC "Section     Proving Service of Notice " \l 2 </w:instrText>
        </w:r>
      </w:ins>
      <w:r>
        <w:rPr/>
        <w:fldChar w:fldCharType="separate"/>
      </w:r>
      <w:ins w:id="204" w:author="foobar" w:date="2000-11-09T12:47:00Z">
        <w:r>
          <w:rPr/>
        </w:r>
      </w:ins>
      <w:r>
        <w:rPr/>
        <w:fldChar w:fldCharType="end"/>
      </w:r>
      <w:r>
        <w:rPr>
          <w:sz w:val="24"/>
          <w:szCs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widowControl/>
        <w:jc w:val="both"/>
        <w:rPr>
          <w:sz w:val="24"/>
          <w:szCs w:val="24"/>
        </w:rPr>
      </w:pPr>
      <w:r>
        <w:rPr>
          <w:sz w:val="24"/>
          <w:szCs w:val="24"/>
        </w:rPr>
      </w:r>
    </w:p>
    <w:p>
      <w:pPr>
        <w:pStyle w:val="ARTICLE"/>
        <w:keepNext w:val="true"/>
        <w:keepLines/>
        <w:widowControl/>
        <w:numPr>
          <w:ilvl w:val="0"/>
          <w:numId w:val="83"/>
        </w:numPr>
        <w:tabs>
          <w:tab w:val="clear" w:pos="720"/>
          <w:tab w:val="left" w:pos="0" w:leader="none"/>
        </w:tabs>
        <w:ind w:hanging="0" w:start="1440"/>
        <w:rPr/>
      </w:pPr>
      <w:r>
        <w:rPr>
          <w:b/>
          <w:bCs/>
        </w:rPr>
        <w:t>ARTICLE NO IMPLIED WAIVERS</w:t>
      </w:r>
      <w:ins w:id="205" w:author="foobar" w:date="2000-11-09T12:47:00Z">
        <w:r>
          <w:fldChar w:fldCharType="begin"/>
        </w:r>
        <w:r>
          <w:rPr/>
          <w:instrText xml:space="preserve"> TC "ARTICLE NO IMPLIED WAIVERS" \l 1 </w:instrText>
        </w:r>
      </w:ins>
      <w:r>
        <w:rPr/>
        <w:fldChar w:fldCharType="separate"/>
      </w:r>
      <w:ins w:id="206" w:author="foobar" w:date="2000-11-09T12:47:00Z">
        <w:r>
          <w:rPr/>
        </w:r>
      </w:ins>
      <w:r>
        <w:rPr/>
        <w:fldChar w:fldCharType="end"/>
      </w:r>
    </w:p>
    <w:p>
      <w:pPr>
        <w:pStyle w:val="ARTICLE"/>
        <w:keepNext w:val="true"/>
        <w:keepLines/>
        <w:widowControl/>
        <w:ind w:start="0" w:end="0"/>
        <w:jc w:val="both"/>
        <w:rPr/>
      </w:pPr>
      <w:r>
        <w:rPr/>
      </w:r>
    </w:p>
    <w:p>
      <w:pPr>
        <w:pStyle w:val="Normal"/>
        <w:keepLines/>
        <w:widowControl/>
        <w:numPr>
          <w:ilvl w:val="1"/>
          <w:numId w:val="84"/>
        </w:numPr>
        <w:tabs>
          <w:tab w:val="clear" w:pos="720"/>
          <w:tab w:val="left" w:pos="0" w:leader="none"/>
        </w:tabs>
        <w:ind w:hanging="0" w:start="0"/>
        <w:jc w:val="both"/>
        <w:rPr/>
      </w:pPr>
      <w:r>
        <w:rPr>
          <w:rStyle w:val="SectionHead"/>
          <w:sz w:val="24"/>
          <w:szCs w:val="24"/>
        </w:rPr>
        <w:tab/>
        <w:t xml:space="preserve">Section     No Waiver </w:t>
      </w:r>
      <w:ins w:id="207" w:author="foobar" w:date="2000-11-09T12:47:00Z">
        <w:r>
          <w:fldChar w:fldCharType="begin"/>
        </w:r>
        <w:r>
          <w:rPr/>
          <w:instrText xml:space="preserve"> TC "Section     No Waiver " \l 2 </w:instrText>
        </w:r>
      </w:ins>
      <w:r>
        <w:rPr/>
        <w:fldChar w:fldCharType="separate"/>
      </w:r>
      <w:ins w:id="208" w:author="foobar" w:date="2000-11-09T12:47:00Z">
        <w:r>
          <w:rPr/>
        </w:r>
      </w:ins>
      <w:r>
        <w:rPr/>
        <w:fldChar w:fldCharType="end"/>
      </w:r>
      <w:r>
        <w:rPr>
          <w:sz w:val="24"/>
          <w:szCs w:val="24"/>
        </w:rPr>
        <w:t>. No failure or delay by the Agent, the Syndication Agent, Documentation Agent, Co-Arrangers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widowControl/>
        <w:jc w:val="both"/>
        <w:rPr>
          <w:sz w:val="24"/>
          <w:szCs w:val="24"/>
        </w:rPr>
      </w:pPr>
      <w:r>
        <w:rPr>
          <w:sz w:val="24"/>
          <w:szCs w:val="24"/>
        </w:rPr>
      </w:r>
    </w:p>
    <w:p>
      <w:pPr>
        <w:pStyle w:val="Normal"/>
        <w:keepLines/>
        <w:widowControl/>
        <w:numPr>
          <w:ilvl w:val="1"/>
          <w:numId w:val="85"/>
        </w:numPr>
        <w:tabs>
          <w:tab w:val="clear" w:pos="720"/>
          <w:tab w:val="left" w:pos="0" w:leader="none"/>
        </w:tabs>
        <w:ind w:hanging="0" w:start="0"/>
        <w:jc w:val="both"/>
        <w:rPr/>
      </w:pPr>
      <w:r>
        <w:rPr>
          <w:rStyle w:val="SectionHead"/>
          <w:sz w:val="24"/>
          <w:szCs w:val="24"/>
        </w:rPr>
        <w:tab/>
        <w:t xml:space="preserve">Section     Rights and Remedies Cumulative </w:t>
      </w:r>
      <w:ins w:id="209" w:author="foobar" w:date="2000-11-09T12:47:00Z">
        <w:r>
          <w:fldChar w:fldCharType="begin"/>
        </w:r>
        <w:r>
          <w:rPr/>
          <w:instrText xml:space="preserve"> TC "Section     Rights and Remedies Cumulative " \l 2 </w:instrText>
        </w:r>
      </w:ins>
      <w:r>
        <w:rPr/>
        <w:fldChar w:fldCharType="separate"/>
      </w:r>
      <w:ins w:id="210" w:author="foobar" w:date="2000-11-09T12:47:00Z">
        <w:r>
          <w:rPr/>
        </w:r>
      </w:ins>
      <w:r>
        <w:rPr/>
        <w:fldChar w:fldCharType="end"/>
      </w:r>
      <w:r>
        <w:rPr>
          <w:sz w:val="24"/>
          <w:szCs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widowControl/>
        <w:jc w:val="both"/>
        <w:rPr>
          <w:sz w:val="24"/>
          <w:szCs w:val="24"/>
        </w:rPr>
      </w:pPr>
      <w:r>
        <w:rPr>
          <w:sz w:val="24"/>
          <w:szCs w:val="24"/>
        </w:rPr>
      </w:r>
    </w:p>
    <w:p>
      <w:pPr>
        <w:pStyle w:val="ARTICLE"/>
        <w:keepNext w:val="true"/>
        <w:keepLines/>
        <w:widowControl/>
        <w:numPr>
          <w:ilvl w:val="0"/>
          <w:numId w:val="86"/>
        </w:numPr>
        <w:tabs>
          <w:tab w:val="clear" w:pos="720"/>
          <w:tab w:val="left" w:pos="0" w:leader="none"/>
        </w:tabs>
        <w:ind w:hanging="0" w:start="1440"/>
        <w:rPr/>
      </w:pPr>
      <w:r>
        <w:rPr>
          <w:b/>
          <w:bCs/>
        </w:rPr>
        <w:t>ARTICLE INVALIDITY OF ANY PROVISION</w:t>
      </w:r>
      <w:ins w:id="211" w:author="foobar" w:date="2000-11-09T12:47:00Z">
        <w:r>
          <w:fldChar w:fldCharType="begin"/>
        </w:r>
        <w:r>
          <w:rPr/>
          <w:instrText xml:space="preserve"> TC "ARTICLE INVALIDITY OF ANY PROVISION" \l 1 </w:instrText>
        </w:r>
      </w:ins>
      <w:r>
        <w:rPr/>
        <w:fldChar w:fldCharType="separate"/>
      </w:r>
      <w:ins w:id="212" w:author="foobar" w:date="2000-11-09T12:47:00Z">
        <w:r>
          <w:rPr/>
        </w:r>
      </w:ins>
      <w:r>
        <w:rPr/>
        <w:fldChar w:fldCharType="end"/>
      </w:r>
    </w:p>
    <w:p>
      <w:pPr>
        <w:pStyle w:val="ARTICLE"/>
        <w:keepNext w:val="true"/>
        <w:keepLines/>
        <w:widowControl/>
        <w:ind w:start="0" w:end="0"/>
        <w:jc w:val="both"/>
        <w:rPr/>
      </w:pPr>
      <w:r>
        <w:rPr/>
      </w:r>
    </w:p>
    <w:p>
      <w:pPr>
        <w:pStyle w:val="ARTICLE"/>
        <w:keepNext w:val="true"/>
        <w:keepLines/>
        <w:widowControl/>
        <w:ind w:start="0" w:end="0"/>
        <w:jc w:val="both"/>
        <w:rPr/>
      </w:pPr>
      <w:r>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keepLines/>
        <w:widowControl/>
        <w:jc w:val="both"/>
        <w:rPr>
          <w:sz w:val="24"/>
          <w:szCs w:val="24"/>
        </w:rPr>
      </w:pPr>
      <w:r>
        <w:rPr>
          <w:sz w:val="24"/>
          <w:szCs w:val="24"/>
        </w:rPr>
      </w:r>
    </w:p>
    <w:p>
      <w:pPr>
        <w:pStyle w:val="ARTICLE"/>
        <w:keepNext w:val="true"/>
        <w:keepLines/>
        <w:widowControl/>
        <w:numPr>
          <w:ilvl w:val="0"/>
          <w:numId w:val="87"/>
        </w:numPr>
        <w:tabs>
          <w:tab w:val="clear" w:pos="720"/>
          <w:tab w:val="left" w:pos="0" w:leader="none"/>
        </w:tabs>
        <w:ind w:hanging="0" w:start="1440"/>
        <w:rPr/>
      </w:pPr>
      <w:r>
        <w:rPr>
          <w:b/>
          <w:bCs/>
        </w:rPr>
        <w:t>ARTICLE CONFIDENTIALITY</w:t>
      </w:r>
      <w:ins w:id="213" w:author="foobar" w:date="2000-11-09T12:47:00Z">
        <w:r>
          <w:fldChar w:fldCharType="begin"/>
        </w:r>
        <w:r>
          <w:rPr/>
          <w:instrText xml:space="preserve"> TC "ARTICLE CONFIDENTIALITY" \l 1 </w:instrText>
        </w:r>
      </w:ins>
      <w:r>
        <w:rPr/>
        <w:fldChar w:fldCharType="separate"/>
      </w:r>
      <w:ins w:id="214" w:author="foobar" w:date="2000-11-09T12:47:00Z">
        <w:r>
          <w:rPr/>
        </w:r>
      </w:ins>
      <w:r>
        <w:rPr/>
        <w:fldChar w:fldCharType="end"/>
      </w:r>
    </w:p>
    <w:p>
      <w:pPr>
        <w:pStyle w:val="ARTICLE"/>
        <w:keepNext w:val="true"/>
        <w:keepLines/>
        <w:widowControl/>
        <w:ind w:start="0" w:end="0"/>
        <w:jc w:val="both"/>
        <w:rPr/>
      </w:pPr>
      <w:r>
        <w:rPr/>
      </w:r>
    </w:p>
    <w:p>
      <w:pPr>
        <w:pStyle w:val="Normal"/>
        <w:keepLines/>
        <w:widowControl/>
        <w:numPr>
          <w:ilvl w:val="1"/>
          <w:numId w:val="88"/>
        </w:numPr>
        <w:tabs>
          <w:tab w:val="clear" w:pos="720"/>
          <w:tab w:val="left" w:pos="0" w:leader="none"/>
        </w:tabs>
        <w:ind w:hanging="0" w:start="0"/>
        <w:jc w:val="both"/>
        <w:rPr/>
      </w:pPr>
      <w:r>
        <w:rPr>
          <w:rStyle w:val="SectionHead"/>
          <w:sz w:val="24"/>
          <w:szCs w:val="24"/>
        </w:rPr>
        <w:tab/>
        <w:t xml:space="preserve">Section     Confidential Information </w:t>
      </w:r>
      <w:ins w:id="215" w:author="foobar" w:date="2000-11-09T12:47:00Z">
        <w:r>
          <w:fldChar w:fldCharType="begin"/>
        </w:r>
        <w:r>
          <w:rPr/>
          <w:instrText xml:space="preserve"> TC "Section     Confidential Information " \l 2 </w:instrText>
        </w:r>
      </w:ins>
      <w:r>
        <w:rPr/>
        <w:fldChar w:fldCharType="separate"/>
      </w:r>
      <w:ins w:id="216" w:author="foobar" w:date="2000-11-09T12:47:00Z">
        <w:r>
          <w:rPr/>
        </w:r>
      </w:ins>
      <w:r>
        <w:rPr/>
        <w:fldChar w:fldCharType="end"/>
      </w:r>
      <w:r>
        <w:rPr>
          <w:sz w:val="24"/>
          <w:szCs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bCs/>
          <w:sz w:val="24"/>
          <w:szCs w:val="24"/>
          <w:u w:val="single"/>
        </w:rPr>
        <w:t>Confidential Information</w:t>
      </w:r>
      <w:r>
        <w:rPr>
          <w:sz w:val="24"/>
          <w:szCs w:val="24"/>
        </w:rPr>
        <w:t xml:space="preserve">”) </w:t>
      </w:r>
      <w:r>
        <w:rPr>
          <w:sz w:val="24"/>
          <w:szCs w:val="24"/>
          <w:u w:val="single"/>
        </w:rPr>
        <w:t>provided</w:t>
      </w:r>
      <w:r>
        <w:rPr>
          <w:sz w:val="24"/>
          <w:szCs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szCs w:val="24"/>
          <w:u w:val="single"/>
        </w:rPr>
        <w:t>provided</w:t>
      </w:r>
      <w:r>
        <w:rPr>
          <w:sz w:val="24"/>
          <w:szCs w:val="24"/>
        </w:rPr>
        <w:t xml:space="preserve"> that such prospective assignee agrees to be bound by the confidentiality provisions set forth in this Section 22.1. </w:t>
      </w:r>
    </w:p>
    <w:p>
      <w:pPr>
        <w:pStyle w:val="Normal"/>
        <w:keepNext w:val="true"/>
        <w:widowControl/>
        <w:jc w:val="both"/>
        <w:rPr>
          <w:sz w:val="24"/>
          <w:szCs w:val="24"/>
        </w:rPr>
      </w:pPr>
      <w:r>
        <w:rPr>
          <w:sz w:val="24"/>
          <w:szCs w:val="24"/>
        </w:rPr>
      </w:r>
    </w:p>
    <w:p>
      <w:pPr>
        <w:pStyle w:val="Normal"/>
        <w:keepLines/>
        <w:widowControl/>
        <w:numPr>
          <w:ilvl w:val="1"/>
          <w:numId w:val="89"/>
        </w:numPr>
        <w:tabs>
          <w:tab w:val="clear" w:pos="720"/>
          <w:tab w:val="left" w:pos="0" w:leader="none"/>
        </w:tabs>
        <w:ind w:hanging="0" w:start="0"/>
        <w:jc w:val="both"/>
        <w:rPr/>
      </w:pPr>
      <w:r>
        <w:rPr>
          <w:rStyle w:val="SectionHead"/>
          <w:sz w:val="24"/>
          <w:szCs w:val="24"/>
        </w:rPr>
        <w:tab/>
        <w:t xml:space="preserve">Section     Public Announcements </w:t>
      </w:r>
      <w:ins w:id="217" w:author="foobar" w:date="2000-11-09T12:47:00Z">
        <w:r>
          <w:fldChar w:fldCharType="begin"/>
        </w:r>
        <w:r>
          <w:rPr/>
          <w:instrText xml:space="preserve"> TC "Section     Public Announcements " \l 2 </w:instrText>
        </w:r>
      </w:ins>
      <w:r>
        <w:rPr/>
        <w:fldChar w:fldCharType="separate"/>
      </w:r>
      <w:ins w:id="218" w:author="foobar" w:date="2000-11-09T12:47:00Z">
        <w:r>
          <w:rPr/>
        </w:r>
      </w:ins>
      <w:r>
        <w:rPr/>
        <w:fldChar w:fldCharType="end"/>
      </w:r>
      <w:r>
        <w:rPr>
          <w:sz w:val="24"/>
          <w:szCs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widowControl/>
        <w:jc w:val="both"/>
        <w:rPr>
          <w:sz w:val="24"/>
          <w:szCs w:val="24"/>
        </w:rPr>
      </w:pPr>
      <w:r>
        <w:rPr>
          <w:sz w:val="24"/>
          <w:szCs w:val="24"/>
        </w:rPr>
      </w:r>
    </w:p>
    <w:p>
      <w:pPr>
        <w:pStyle w:val="ARTICLE"/>
        <w:keepNext w:val="true"/>
        <w:keepLines/>
        <w:widowControl/>
        <w:numPr>
          <w:ilvl w:val="0"/>
          <w:numId w:val="90"/>
        </w:numPr>
        <w:tabs>
          <w:tab w:val="clear" w:pos="720"/>
          <w:tab w:val="left" w:pos="0" w:leader="none"/>
        </w:tabs>
        <w:ind w:hanging="0" w:start="1440"/>
        <w:rPr/>
      </w:pPr>
      <w:r>
        <w:rPr>
          <w:b/>
          <w:bCs/>
        </w:rPr>
        <w:t>ARTICLE CHANGES TO PARTIES</w:t>
      </w:r>
      <w:ins w:id="219" w:author="foobar" w:date="2000-11-09T12:47:00Z">
        <w:r>
          <w:fldChar w:fldCharType="begin"/>
        </w:r>
        <w:r>
          <w:rPr/>
          <w:instrText xml:space="preserve"> TC "ARTICLE CHANGES TO PARTIES" \l 1 </w:instrText>
        </w:r>
      </w:ins>
      <w:r>
        <w:rPr/>
        <w:fldChar w:fldCharType="separate"/>
      </w:r>
      <w:ins w:id="220" w:author="foobar" w:date="2000-11-09T12:47:00Z">
        <w:r>
          <w:rPr/>
        </w:r>
      </w:ins>
      <w:r>
        <w:rPr/>
        <w:fldChar w:fldCharType="end"/>
      </w:r>
    </w:p>
    <w:p>
      <w:pPr>
        <w:pStyle w:val="ARTICLE"/>
        <w:keepNext w:val="true"/>
        <w:keepLines/>
        <w:widowControl/>
        <w:ind w:start="0" w:end="0"/>
        <w:jc w:val="both"/>
        <w:rPr>
          <w:b/>
          <w:bCs/>
        </w:rPr>
      </w:pPr>
      <w:r>
        <w:rPr>
          <w:b/>
          <w:bCs/>
        </w:rPr>
      </w:r>
    </w:p>
    <w:p>
      <w:pPr>
        <w:pStyle w:val="Normal"/>
        <w:keepNext w:val="true"/>
        <w:keepLines/>
        <w:widowControl/>
        <w:numPr>
          <w:ilvl w:val="1"/>
          <w:numId w:val="91"/>
        </w:numPr>
        <w:tabs>
          <w:tab w:val="clear" w:pos="720"/>
          <w:tab w:val="left" w:pos="0" w:leader="none"/>
        </w:tabs>
        <w:ind w:hanging="0" w:start="0"/>
        <w:jc w:val="both"/>
        <w:rPr/>
      </w:pPr>
      <w:r>
        <w:rPr>
          <w:rStyle w:val="SectionHead"/>
          <w:sz w:val="24"/>
          <w:szCs w:val="24"/>
        </w:rPr>
        <w:tab/>
        <w:t xml:space="preserve">Section     Assignment by the Trust </w:t>
      </w:r>
      <w:ins w:id="221" w:author="foobar" w:date="2000-11-09T12:47:00Z">
        <w:r>
          <w:fldChar w:fldCharType="begin"/>
        </w:r>
        <w:r>
          <w:rPr/>
          <w:instrText xml:space="preserve"> TC "Section     Assignment by the Trust " \l 2 </w:instrText>
        </w:r>
      </w:ins>
      <w:r>
        <w:rPr/>
        <w:fldChar w:fldCharType="separate"/>
      </w:r>
      <w:ins w:id="222" w:author="foobar" w:date="2000-11-09T12:47:00Z">
        <w:r>
          <w:rPr/>
        </w:r>
      </w:ins>
      <w:r>
        <w:rPr/>
        <w:fldChar w:fldCharType="end"/>
      </w:r>
      <w:r>
        <w:rPr>
          <w:sz w:val="24"/>
          <w:szCs w:val="24"/>
        </w:rPr>
        <w:t>.  The Trust may not assign or transfer all or any part of its rights or obligations under this Agreement or any of the other Finance Documents without the prior written consent of all of the Lenders.</w:t>
      </w:r>
    </w:p>
    <w:p>
      <w:pPr>
        <w:pStyle w:val="Normal"/>
        <w:keepNext w:val="true"/>
        <w:keepLines/>
        <w:widowControl/>
        <w:jc w:val="both"/>
        <w:rPr>
          <w:b/>
          <w:bCs/>
          <w:sz w:val="24"/>
          <w:szCs w:val="24"/>
        </w:rPr>
      </w:pPr>
      <w:r>
        <w:rPr>
          <w:b/>
          <w:bCs/>
          <w:sz w:val="24"/>
          <w:szCs w:val="24"/>
        </w:rPr>
      </w:r>
    </w:p>
    <w:p>
      <w:pPr>
        <w:pStyle w:val="Normal"/>
        <w:keepNext w:val="true"/>
        <w:keepLines/>
        <w:widowControl/>
        <w:numPr>
          <w:ilvl w:val="1"/>
          <w:numId w:val="92"/>
        </w:numPr>
        <w:tabs>
          <w:tab w:val="clear" w:pos="720"/>
          <w:tab w:val="left" w:pos="0" w:leader="none"/>
        </w:tabs>
        <w:ind w:hanging="0" w:start="0"/>
        <w:jc w:val="both"/>
        <w:rPr/>
      </w:pPr>
      <w:r>
        <w:rPr>
          <w:rStyle w:val="SectionHead"/>
          <w:sz w:val="24"/>
          <w:szCs w:val="24"/>
        </w:rPr>
        <w:tab/>
        <w:t xml:space="preserve">Section     Transfers and Assignment of Notes </w:t>
      </w:r>
      <w:ins w:id="223" w:author="foobar" w:date="2000-11-09T12:47:00Z">
        <w:r>
          <w:fldChar w:fldCharType="begin"/>
        </w:r>
        <w:r>
          <w:rPr/>
          <w:instrText xml:space="preserve"> TC "Section     Transfers and Assignment of Notes " \l 2 </w:instrText>
        </w:r>
      </w:ins>
      <w:r>
        <w:rPr/>
        <w:fldChar w:fldCharType="separate"/>
      </w:r>
      <w:ins w:id="224" w:author="foobar" w:date="2000-11-09T12:47:00Z">
        <w:r>
          <w:rPr/>
        </w:r>
      </w:ins>
      <w:r>
        <w:rPr/>
        <w:fldChar w:fldCharType="end"/>
      </w:r>
      <w:r>
        <w:rPr>
          <w:sz w:val="24"/>
          <w:szCs w:val="24"/>
        </w:rPr>
        <w:t xml:space="preserve">.  </w:t>
      </w:r>
    </w:p>
    <w:p>
      <w:pPr>
        <w:pStyle w:val="Normal"/>
        <w:keepNext w:val="true"/>
        <w:keepLines/>
        <w:widowControl/>
        <w:numPr>
          <w:ilvl w:val="1"/>
          <w:numId w:val="92"/>
        </w:numPr>
        <w:tabs>
          <w:tab w:val="clear" w:pos="720"/>
          <w:tab w:val="left" w:pos="0" w:leader="none"/>
        </w:tabs>
        <w:ind w:hanging="0" w:start="0"/>
        <w:jc w:val="both"/>
        <w:rPr>
          <w:b/>
          <w:bCs/>
          <w:sz w:val="24"/>
          <w:szCs w:val="24"/>
        </w:rPr>
      </w:pPr>
      <w:r>
        <w:rPr>
          <w:b/>
          <w:bCs/>
          <w:sz w:val="24"/>
          <w:szCs w:val="24"/>
        </w:rPr>
      </w:r>
    </w:p>
    <w:p>
      <w:pPr>
        <w:pStyle w:val="a"/>
        <w:keepLines/>
        <w:widowControl/>
        <w:numPr>
          <w:ilvl w:val="2"/>
          <w:numId w:val="92"/>
        </w:numPr>
        <w:tabs>
          <w:tab w:val="clear" w:pos="720"/>
          <w:tab w:val="left" w:pos="0" w:leader="none"/>
        </w:tabs>
        <w:ind w:hanging="0" w:start="0"/>
        <w:jc w:val="both"/>
        <w:rPr/>
      </w:pPr>
      <w:r>
        <w:rPr/>
        <w:tab/>
        <w:t xml:space="preserve">Each Lender may assign to one or more Eligible Assignees all or a portion of the Note held by it and its rights and obligations under such Note and under the other Finance Documents:  </w:t>
      </w:r>
      <w:r>
        <w:rPr>
          <w:u w:val="single"/>
        </w:rPr>
        <w:t>provided</w:t>
      </w:r>
      <w:r>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 Facility Agreement to the same assignee.  The required amounts for portions of any Notes being assigned under this Section 23.2(a) shall not be construed to prevent an assignment of the entire principal amount of the Note then held by a Lender.</w:t>
      </w:r>
    </w:p>
    <w:p>
      <w:pPr>
        <w:pStyle w:val="a"/>
        <w:widowControl/>
        <w:numPr>
          <w:ilvl w:val="2"/>
          <w:numId w:val="92"/>
        </w:numPr>
        <w:tabs>
          <w:tab w:val="clear" w:pos="720"/>
          <w:tab w:val="left" w:pos="0" w:leader="none"/>
        </w:tabs>
        <w:ind w:hanging="0" w:start="0"/>
        <w:jc w:val="both"/>
        <w:rPr/>
      </w:pPr>
      <w:r>
        <w:rPr/>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bCs/>
        </w:rPr>
        <w:t>“</w:t>
      </w:r>
      <w:r>
        <w:rPr>
          <w:b/>
          <w:bCs/>
          <w:u w:val="single"/>
        </w:rPr>
        <w:t>Assignee</w:t>
      </w:r>
      <w:r>
        <w:rPr>
          <w:b/>
          <w:bCs/>
        </w:rPr>
        <w:t>”</w:t>
      </w:r>
      <w:r>
        <w:rPr/>
        <w:t xml:space="preserve">) shall be a party to this Agreement and (ii) to the extent that rights and obligations hereunder have been assigned by the assignor thereunder (the </w:t>
      </w:r>
      <w:r>
        <w:rPr>
          <w:b/>
          <w:bCs/>
        </w:rPr>
        <w:t>“</w:t>
      </w:r>
      <w:r>
        <w:rPr>
          <w:b/>
          <w:bCs/>
          <w:u w:val="single"/>
        </w:rPr>
        <w:t>Assignor</w:t>
      </w:r>
      <w:r>
        <w:rPr>
          <w:b/>
          <w:bCs/>
        </w:rPr>
        <w:t>”</w:t>
      </w:r>
      <w:r>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a"/>
        <w:widowControl/>
        <w:numPr>
          <w:ilvl w:val="2"/>
          <w:numId w:val="92"/>
        </w:numPr>
        <w:tabs>
          <w:tab w:val="clear" w:pos="720"/>
          <w:tab w:val="left" w:pos="0" w:leader="none"/>
        </w:tabs>
        <w:ind w:hanging="0" w:start="0"/>
        <w:jc w:val="both"/>
        <w:rPr/>
      </w:pPr>
      <w:r>
        <w:rPr/>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a"/>
        <w:widowControl/>
        <w:numPr>
          <w:ilvl w:val="2"/>
          <w:numId w:val="92"/>
        </w:numPr>
        <w:tabs>
          <w:tab w:val="clear" w:pos="720"/>
          <w:tab w:val="left" w:pos="0" w:leader="none"/>
        </w:tabs>
        <w:ind w:hanging="0" w:start="0"/>
        <w:jc w:val="both"/>
        <w:rPr/>
      </w:pPr>
      <w:r>
        <w:rPr/>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bCs/>
          <w:u w:val="single"/>
        </w:rPr>
        <w:t>Record</w:t>
      </w:r>
      <w:r>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a"/>
        <w:widowControl/>
        <w:numPr>
          <w:ilvl w:val="2"/>
          <w:numId w:val="92"/>
        </w:numPr>
        <w:tabs>
          <w:tab w:val="clear" w:pos="720"/>
          <w:tab w:val="left" w:pos="0" w:leader="none"/>
        </w:tabs>
        <w:ind w:hanging="0" w:start="0"/>
        <w:jc w:val="both"/>
        <w:rPr/>
      </w:pPr>
      <w:r>
        <w:rPr/>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a"/>
        <w:widowControl/>
        <w:numPr>
          <w:ilvl w:val="2"/>
          <w:numId w:val="92"/>
        </w:numPr>
        <w:tabs>
          <w:tab w:val="clear" w:pos="720"/>
          <w:tab w:val="left" w:pos="0" w:leader="none"/>
        </w:tabs>
        <w:ind w:hanging="0" w:start="0"/>
        <w:jc w:val="both"/>
        <w:rPr/>
      </w:pPr>
      <w:r>
        <w:rPr/>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a"/>
        <w:widowControl/>
        <w:numPr>
          <w:ilvl w:val="2"/>
          <w:numId w:val="92"/>
        </w:numPr>
        <w:tabs>
          <w:tab w:val="clear" w:pos="720"/>
          <w:tab w:val="left" w:pos="0" w:leader="none"/>
        </w:tabs>
        <w:ind w:hanging="0" w:start="0"/>
        <w:jc w:val="both"/>
        <w:rPr/>
      </w:pPr>
      <w:r>
        <w:rPr/>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u w:val="single"/>
        </w:rPr>
        <w:t>provided</w:t>
      </w:r>
      <w:r>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a"/>
        <w:widowControl/>
        <w:numPr>
          <w:ilvl w:val="2"/>
          <w:numId w:val="92"/>
        </w:numPr>
        <w:tabs>
          <w:tab w:val="clear" w:pos="720"/>
          <w:tab w:val="left" w:pos="0" w:leader="none"/>
        </w:tabs>
        <w:ind w:hanging="0" w:start="0"/>
        <w:jc w:val="both"/>
        <w:rPr/>
      </w:pPr>
      <w:r>
        <w:rPr/>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a"/>
        <w:keepNext w:val="true"/>
        <w:widowControl/>
        <w:numPr>
          <w:ilvl w:val="2"/>
          <w:numId w:val="92"/>
        </w:numPr>
        <w:tabs>
          <w:tab w:val="clear" w:pos="720"/>
          <w:tab w:val="left" w:pos="0" w:leader="none"/>
        </w:tabs>
        <w:ind w:hanging="0" w:start="0"/>
        <w:jc w:val="both"/>
        <w:rPr/>
      </w:pPr>
      <w:r>
        <w:rPr/>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u w:val="single"/>
        </w:rPr>
        <w:t>provided</w:t>
      </w:r>
      <w:r>
        <w:rPr/>
        <w:t xml:space="preserve">, </w:t>
      </w:r>
      <w:r>
        <w:rPr>
          <w:u w:val="single"/>
        </w:rPr>
        <w:t>however</w:t>
      </w:r>
      <w:r>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ARTICLE"/>
        <w:keepNext w:val="true"/>
        <w:keepLines/>
        <w:widowControl/>
        <w:numPr>
          <w:ilvl w:val="0"/>
          <w:numId w:val="92"/>
        </w:numPr>
        <w:tabs>
          <w:tab w:val="clear" w:pos="720"/>
          <w:tab w:val="left" w:pos="0" w:leader="none"/>
        </w:tabs>
        <w:ind w:hanging="0" w:start="1440"/>
        <w:rPr/>
      </w:pPr>
      <w:r>
        <w:rPr>
          <w:b/>
          <w:bCs/>
        </w:rPr>
        <w:t>ARTICLE LENDER DECISIONS</w:t>
      </w:r>
      <w:ins w:id="225" w:author="foobar" w:date="2000-11-09T12:47:00Z">
        <w:r>
          <w:fldChar w:fldCharType="begin"/>
        </w:r>
        <w:r>
          <w:rPr/>
          <w:instrText xml:space="preserve"> TC "ARTICLE LENDER DECISIONS" \l 1 </w:instrText>
        </w:r>
      </w:ins>
      <w:r>
        <w:rPr/>
        <w:fldChar w:fldCharType="separate"/>
      </w:r>
      <w:ins w:id="226" w:author="foobar" w:date="2000-11-09T12:47:00Z">
        <w:r>
          <w:rPr/>
        </w:r>
      </w:ins>
      <w:r>
        <w:rPr/>
        <w:fldChar w:fldCharType="end"/>
      </w:r>
    </w:p>
    <w:p>
      <w:pPr>
        <w:pStyle w:val="ARTICLE"/>
        <w:keepNext w:val="true"/>
        <w:keepLines/>
        <w:widowControl/>
        <w:ind w:start="0" w:end="0"/>
        <w:jc w:val="both"/>
        <w:rPr/>
      </w:pPr>
      <w:r>
        <w:rPr/>
      </w:r>
    </w:p>
    <w:p>
      <w:pPr>
        <w:pStyle w:val="Normal"/>
        <w:keepLines/>
        <w:widowControl/>
        <w:numPr>
          <w:ilvl w:val="1"/>
          <w:numId w:val="93"/>
        </w:numPr>
        <w:tabs>
          <w:tab w:val="clear" w:pos="720"/>
          <w:tab w:val="left" w:pos="0" w:leader="none"/>
        </w:tabs>
        <w:ind w:hanging="0" w:start="0"/>
        <w:jc w:val="both"/>
        <w:rPr/>
      </w:pPr>
      <w:r>
        <w:rPr>
          <w:rStyle w:val="SectionHead"/>
          <w:sz w:val="24"/>
          <w:szCs w:val="24"/>
        </w:rPr>
        <w:tab/>
        <w:t xml:space="preserve">Section     Lender Decisions </w:t>
      </w:r>
      <w:ins w:id="227" w:author="foobar" w:date="2000-11-09T12:47:00Z">
        <w:r>
          <w:fldChar w:fldCharType="begin"/>
        </w:r>
        <w:r>
          <w:rPr/>
          <w:instrText xml:space="preserve"> TC "Section     Lender Decisions " \l 2 </w:instrText>
        </w:r>
      </w:ins>
      <w:r>
        <w:rPr/>
        <w:fldChar w:fldCharType="separate"/>
      </w:r>
      <w:ins w:id="228" w:author="foobar" w:date="2000-11-09T12:47:00Z">
        <w:r>
          <w:rPr/>
        </w:r>
      </w:ins>
      <w:r>
        <w:rPr/>
        <w:fldChar w:fldCharType="end"/>
      </w:r>
      <w:r>
        <w:rPr>
          <w:sz w:val="24"/>
          <w:szCs w:val="24"/>
        </w:rPr>
        <w:t xml:space="preserve">.  Any provision of this Agreement or any of the other Operative Documents may be amended, waived, varied or modified with the agreement of the Majority Lenders; </w:t>
      </w:r>
      <w:r>
        <w:rPr>
          <w:sz w:val="24"/>
          <w:szCs w:val="24"/>
          <w:u w:val="single"/>
        </w:rPr>
        <w:t>provided</w:t>
      </w:r>
      <w:r>
        <w:rPr>
          <w:sz w:val="24"/>
          <w:szCs w:val="24"/>
        </w:rPr>
        <w:t>, that the following matters shall require the unanimous agreement of all of the Lenders:</w:t>
      </w:r>
    </w:p>
    <w:p>
      <w:pPr>
        <w:pStyle w:val="Normal"/>
        <w:widowControl/>
        <w:jc w:val="both"/>
        <w:rPr>
          <w:sz w:val="24"/>
          <w:szCs w:val="24"/>
        </w:rPr>
      </w:pPr>
      <w:r>
        <w:rPr>
          <w:sz w:val="24"/>
          <w:szCs w:val="24"/>
        </w:rPr>
      </w:r>
    </w:p>
    <w:p>
      <w:pPr>
        <w:pStyle w:val="a"/>
        <w:widowControl/>
        <w:numPr>
          <w:ilvl w:val="2"/>
          <w:numId w:val="94"/>
        </w:numPr>
        <w:tabs>
          <w:tab w:val="clear" w:pos="720"/>
          <w:tab w:val="left" w:pos="0" w:leader="none"/>
        </w:tabs>
        <w:ind w:hanging="0" w:start="0"/>
        <w:jc w:val="both"/>
        <w:rPr/>
      </w:pPr>
      <w:r>
        <w:rPr/>
        <w:tab/>
        <w:t>except as provided in Section 3.3, any increase in any Commitment of any Lender;</w:t>
      </w:r>
    </w:p>
    <w:p>
      <w:pPr>
        <w:pStyle w:val="a"/>
        <w:widowControl/>
        <w:numPr>
          <w:ilvl w:val="2"/>
          <w:numId w:val="94"/>
        </w:numPr>
        <w:tabs>
          <w:tab w:val="clear" w:pos="720"/>
          <w:tab w:val="left" w:pos="0" w:leader="none"/>
        </w:tabs>
        <w:ind w:hanging="0" w:start="0"/>
        <w:jc w:val="both"/>
        <w:rPr/>
      </w:pPr>
      <w:r>
        <w:rPr/>
        <w:tab/>
        <w:t>any extension of any scheduled date for payment of any sum due, owing or payable to the Lenders;</w:t>
      </w:r>
    </w:p>
    <w:p>
      <w:pPr>
        <w:pStyle w:val="a"/>
        <w:widowControl/>
        <w:numPr>
          <w:ilvl w:val="2"/>
          <w:numId w:val="94"/>
        </w:numPr>
        <w:tabs>
          <w:tab w:val="clear" w:pos="720"/>
          <w:tab w:val="left" w:pos="0" w:leader="none"/>
        </w:tabs>
        <w:ind w:hanging="0" w:start="0"/>
        <w:jc w:val="both"/>
        <w:rPr/>
      </w:pPr>
      <w:r>
        <w:rPr/>
        <w:tab/>
        <w:t>any reduction in the amount of any payment of principal, interest, fees for the account of the Lenders, or commissions or other amounts payable hereunder by any party, including without limitation mandatory prepayments;</w:t>
      </w:r>
    </w:p>
    <w:p>
      <w:pPr>
        <w:pStyle w:val="a"/>
        <w:widowControl/>
        <w:numPr>
          <w:ilvl w:val="2"/>
          <w:numId w:val="94"/>
        </w:numPr>
        <w:tabs>
          <w:tab w:val="clear" w:pos="720"/>
          <w:tab w:val="left" w:pos="0" w:leader="none"/>
        </w:tabs>
        <w:ind w:hanging="0" w:start="0"/>
        <w:jc w:val="both"/>
        <w:rPr/>
      </w:pPr>
      <w:r>
        <w:rPr/>
        <w:tab/>
        <w:t>any amendment, waiver, variation or modification of this Article XXIV, Article XVII, Article XVIII, Section 23.1, Section 12.2(g), Section 12.2(h) or to the definition of Majority Lenders;</w:t>
      </w:r>
    </w:p>
    <w:p>
      <w:pPr>
        <w:pStyle w:val="a"/>
        <w:widowControl/>
        <w:numPr>
          <w:ilvl w:val="2"/>
          <w:numId w:val="94"/>
        </w:numPr>
        <w:tabs>
          <w:tab w:val="clear" w:pos="720"/>
          <w:tab w:val="left" w:pos="0" w:leader="none"/>
        </w:tabs>
        <w:ind w:hanging="0" w:start="0"/>
        <w:jc w:val="both"/>
        <w:rPr/>
      </w:pPr>
      <w:r>
        <w:rPr/>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a"/>
        <w:keepNext w:val="true"/>
        <w:widowControl/>
        <w:numPr>
          <w:ilvl w:val="2"/>
          <w:numId w:val="94"/>
        </w:numPr>
        <w:tabs>
          <w:tab w:val="clear" w:pos="720"/>
          <w:tab w:val="left" w:pos="0" w:leader="none"/>
        </w:tabs>
        <w:ind w:hanging="0" w:start="0"/>
        <w:jc w:val="both"/>
        <w:rPr/>
      </w:pPr>
      <w:r>
        <w:rPr/>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widowControl/>
        <w:numPr>
          <w:ilvl w:val="1"/>
          <w:numId w:val="94"/>
        </w:numPr>
        <w:tabs>
          <w:tab w:val="clear" w:pos="720"/>
          <w:tab w:val="left" w:pos="0" w:leader="none"/>
        </w:tabs>
        <w:ind w:hanging="0" w:start="0"/>
        <w:jc w:val="both"/>
        <w:rPr/>
      </w:pPr>
      <w:r>
        <w:rPr>
          <w:rStyle w:val="SectionHead"/>
          <w:sz w:val="24"/>
          <w:szCs w:val="24"/>
        </w:rPr>
        <w:tab/>
        <w:t xml:space="preserve">Section     Other Unanimous Actions </w:t>
      </w:r>
      <w:ins w:id="229" w:author="foobar" w:date="2000-11-09T12:47:00Z">
        <w:r>
          <w:fldChar w:fldCharType="begin"/>
        </w:r>
        <w:r>
          <w:rPr/>
          <w:instrText xml:space="preserve"> TC "Section     Other Unanimous Actions " \l 2 </w:instrText>
        </w:r>
      </w:ins>
      <w:r>
        <w:rPr/>
        <w:fldChar w:fldCharType="separate"/>
      </w:r>
      <w:ins w:id="230" w:author="foobar" w:date="2000-11-09T12:47:00Z">
        <w:r>
          <w:rPr/>
        </w:r>
      </w:ins>
      <w:r>
        <w:rPr/>
        <w:fldChar w:fldCharType="end"/>
      </w:r>
      <w:r>
        <w:rPr>
          <w:sz w:val="24"/>
          <w:szCs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widowControl/>
        <w:jc w:val="both"/>
        <w:rPr>
          <w:sz w:val="24"/>
          <w:szCs w:val="24"/>
        </w:rPr>
      </w:pPr>
      <w:r>
        <w:rPr>
          <w:sz w:val="24"/>
          <w:szCs w:val="24"/>
        </w:rPr>
      </w:r>
    </w:p>
    <w:p>
      <w:pPr>
        <w:pStyle w:val="Normal"/>
        <w:keepNext w:val="true"/>
        <w:widowControl/>
        <w:jc w:val="both"/>
        <w:rPr>
          <w:sz w:val="24"/>
          <w:szCs w:val="24"/>
        </w:rPr>
      </w:pPr>
      <w:r>
        <w:rPr>
          <w:sz w:val="24"/>
          <w:szCs w:val="24"/>
        </w:rPr>
      </w:r>
    </w:p>
    <w:p>
      <w:pPr>
        <w:pStyle w:val="ARTICLE"/>
        <w:keepNext w:val="true"/>
        <w:keepLines/>
        <w:widowControl/>
        <w:numPr>
          <w:ilvl w:val="0"/>
          <w:numId w:val="95"/>
        </w:numPr>
        <w:tabs>
          <w:tab w:val="clear" w:pos="720"/>
          <w:tab w:val="left" w:pos="0" w:leader="none"/>
        </w:tabs>
        <w:ind w:hanging="0" w:start="1440"/>
        <w:rPr/>
      </w:pPr>
      <w:r>
        <w:rPr>
          <w:b/>
          <w:bCs/>
        </w:rPr>
        <w:t>ARTICLE INDEMNITIES</w:t>
      </w:r>
      <w:ins w:id="231" w:author="foobar" w:date="2000-11-09T12:47:00Z">
        <w:r>
          <w:fldChar w:fldCharType="begin"/>
        </w:r>
        <w:r>
          <w:rPr/>
          <w:instrText xml:space="preserve"> TC "ARTICLE INDEMNITIES" \l 1 </w:instrText>
        </w:r>
      </w:ins>
      <w:r>
        <w:rPr/>
        <w:fldChar w:fldCharType="separate"/>
      </w:r>
      <w:ins w:id="232" w:author="foobar" w:date="2000-11-09T12:47:00Z">
        <w:r>
          <w:rPr/>
        </w:r>
      </w:ins>
      <w:r>
        <w:rPr/>
        <w:fldChar w:fldCharType="end"/>
      </w:r>
    </w:p>
    <w:p>
      <w:pPr>
        <w:pStyle w:val="ARTICLE"/>
        <w:keepNext w:val="true"/>
        <w:keepLines/>
        <w:widowControl/>
        <w:ind w:start="0" w:end="0"/>
        <w:jc w:val="both"/>
        <w:rPr/>
      </w:pPr>
      <w:r>
        <w:rPr/>
      </w:r>
    </w:p>
    <w:p>
      <w:pPr>
        <w:pStyle w:val="Normal"/>
        <w:keepLines/>
        <w:widowControl/>
        <w:numPr>
          <w:ilvl w:val="1"/>
          <w:numId w:val="96"/>
        </w:numPr>
        <w:tabs>
          <w:tab w:val="clear" w:pos="720"/>
          <w:tab w:val="left" w:pos="0" w:leader="none"/>
        </w:tabs>
        <w:ind w:hanging="0" w:start="0"/>
        <w:jc w:val="both"/>
        <w:rPr/>
      </w:pPr>
      <w:r>
        <w:rPr>
          <w:rStyle w:val="SectionHead"/>
          <w:sz w:val="24"/>
          <w:szCs w:val="24"/>
        </w:rPr>
        <w:tab/>
        <w:t xml:space="preserve">Section     General Indemnity and Breakage Costs </w:t>
      </w:r>
      <w:ins w:id="233" w:author="foobar" w:date="2000-11-09T12:47:00Z">
        <w:r>
          <w:fldChar w:fldCharType="begin"/>
        </w:r>
        <w:r>
          <w:rPr/>
          <w:instrText xml:space="preserve"> TC "Section     General Indemnity and Breakage Costs " \l 2 </w:instrText>
        </w:r>
      </w:ins>
      <w:r>
        <w:rPr/>
        <w:fldChar w:fldCharType="separate"/>
      </w:r>
      <w:ins w:id="234" w:author="foobar" w:date="2000-11-09T12:47:00Z">
        <w:r>
          <w:rPr/>
        </w:r>
      </w:ins>
      <w:r>
        <w:rPr/>
        <w:fldChar w:fldCharType="end"/>
      </w:r>
      <w:r>
        <w:rPr>
          <w:sz w:val="24"/>
          <w:szCs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bCs/>
          <w:sz w:val="24"/>
          <w:szCs w:val="24"/>
        </w:rPr>
        <w:t>“</w:t>
      </w:r>
      <w:r>
        <w:rPr>
          <w:b/>
          <w:bCs/>
          <w:sz w:val="24"/>
          <w:szCs w:val="24"/>
          <w:u w:val="single"/>
        </w:rPr>
        <w:t>Finance Indemnitees</w:t>
      </w:r>
      <w:r>
        <w:rPr>
          <w:b/>
          <w:bCs/>
          <w:sz w:val="24"/>
          <w:szCs w:val="24"/>
        </w:rPr>
        <w:t>”</w:t>
      </w:r>
      <w:r>
        <w:rPr>
          <w:sz w:val="24"/>
          <w:szCs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widowControl/>
        <w:jc w:val="both"/>
        <w:rPr>
          <w:sz w:val="24"/>
          <w:szCs w:val="24"/>
        </w:rPr>
      </w:pPr>
      <w:r>
        <w:rPr>
          <w:sz w:val="24"/>
          <w:szCs w:val="24"/>
        </w:rPr>
      </w:r>
    </w:p>
    <w:p>
      <w:pPr>
        <w:pStyle w:val="ARTICLE"/>
        <w:keepNext w:val="true"/>
        <w:keepLines/>
        <w:widowControl/>
        <w:numPr>
          <w:ilvl w:val="0"/>
          <w:numId w:val="97"/>
        </w:numPr>
        <w:tabs>
          <w:tab w:val="clear" w:pos="720"/>
          <w:tab w:val="left" w:pos="0" w:leader="none"/>
        </w:tabs>
        <w:ind w:hanging="0" w:start="1440"/>
        <w:rPr/>
      </w:pPr>
      <w:r>
        <w:rPr>
          <w:b/>
          <w:bCs/>
        </w:rPr>
        <w:t>ARTICLE GOVERNING LAW</w:t>
      </w:r>
      <w:ins w:id="235" w:author="foobar" w:date="2000-11-09T12:47:00Z">
        <w:r>
          <w:fldChar w:fldCharType="begin"/>
        </w:r>
        <w:r>
          <w:rPr/>
          <w:instrText xml:space="preserve"> TC "ARTICLE GOVERNING LAW" \l 1 </w:instrText>
        </w:r>
      </w:ins>
      <w:r>
        <w:rPr/>
        <w:fldChar w:fldCharType="separate"/>
      </w:r>
      <w:ins w:id="236" w:author="foobar" w:date="2000-11-09T12:47:00Z">
        <w:r>
          <w:rPr/>
        </w:r>
      </w:ins>
      <w:r>
        <w:rPr/>
        <w:fldChar w:fldCharType="end"/>
      </w:r>
    </w:p>
    <w:p>
      <w:pPr>
        <w:pStyle w:val="ARTICLE"/>
        <w:keepNext w:val="true"/>
        <w:keepLines/>
        <w:widowControl/>
        <w:ind w:start="0" w:end="0"/>
        <w:jc w:val="both"/>
        <w:rPr/>
      </w:pPr>
      <w:r>
        <w:rPr/>
      </w:r>
    </w:p>
    <w:p>
      <w:pPr>
        <w:pStyle w:val="ARTICLE"/>
        <w:keepNext w:val="true"/>
        <w:keepLines/>
        <w:widowControl/>
        <w:ind w:start="0" w:end="0"/>
        <w:jc w:val="both"/>
        <w:rPr/>
      </w:pPr>
      <w:r>
        <w:rPr/>
        <w:tab/>
        <w:t>THIS AGREEMENT SHALL BE GOVERNED BY AND CONSTRUED IN ACCORDANCE WITH THE LAWS OF THE STATE OF NEW YORK.</w:t>
      </w:r>
    </w:p>
    <w:p>
      <w:pPr>
        <w:pStyle w:val="Normal"/>
        <w:keepNext w:val="true"/>
        <w:keepLines/>
        <w:widowControl/>
        <w:jc w:val="both"/>
        <w:rPr>
          <w:sz w:val="24"/>
          <w:szCs w:val="24"/>
        </w:rPr>
      </w:pPr>
      <w:r>
        <w:rPr>
          <w:sz w:val="24"/>
          <w:szCs w:val="24"/>
        </w:rPr>
      </w:r>
    </w:p>
    <w:p>
      <w:pPr>
        <w:pStyle w:val="ARTICLE"/>
        <w:keepNext w:val="true"/>
        <w:keepLines/>
        <w:widowControl/>
        <w:numPr>
          <w:ilvl w:val="0"/>
          <w:numId w:val="98"/>
        </w:numPr>
        <w:tabs>
          <w:tab w:val="clear" w:pos="720"/>
          <w:tab w:val="left" w:pos="0" w:leader="none"/>
        </w:tabs>
        <w:ind w:hanging="0" w:start="1440"/>
        <w:rPr/>
      </w:pPr>
      <w:r>
        <w:rPr>
          <w:b/>
          <w:bCs/>
        </w:rPr>
        <w:t>ARTICLE COUNTERPARTS</w:t>
      </w:r>
      <w:ins w:id="237" w:author="foobar" w:date="2000-11-09T12:47:00Z">
        <w:r>
          <w:fldChar w:fldCharType="begin"/>
        </w:r>
        <w:r>
          <w:rPr/>
          <w:instrText xml:space="preserve"> TC "ARTICLE COUNTERPARTS" \l 1 </w:instrText>
        </w:r>
      </w:ins>
      <w:r>
        <w:rPr/>
        <w:fldChar w:fldCharType="separate"/>
      </w:r>
      <w:ins w:id="238" w:author="foobar" w:date="2000-11-09T12:47:00Z">
        <w:r>
          <w:rPr/>
        </w:r>
      </w:ins>
      <w:r>
        <w:rPr/>
        <w:fldChar w:fldCharType="end"/>
      </w:r>
    </w:p>
    <w:p>
      <w:pPr>
        <w:pStyle w:val="ARTICLE"/>
        <w:keepNext w:val="true"/>
        <w:keepLines/>
        <w:widowControl/>
        <w:ind w:start="0" w:end="0"/>
        <w:jc w:val="both"/>
        <w:rPr/>
      </w:pPr>
      <w:r>
        <w:rPr/>
      </w:r>
    </w:p>
    <w:p>
      <w:pPr>
        <w:pStyle w:val="ARTICLE"/>
        <w:keepNext w:val="true"/>
        <w:keepLines/>
        <w:widowControl/>
        <w:ind w:start="0" w:end="0"/>
        <w:jc w:val="both"/>
        <w:rPr/>
      </w:pPr>
      <w:r>
        <w:rPr/>
        <w:tab/>
        <w:t>This Agreement may be executed in any number of counterparts and all of such counterparts taken together shall be deemed to constitute one and the same instrument.</w:t>
      </w:r>
    </w:p>
    <w:p>
      <w:pPr>
        <w:pStyle w:val="Normal"/>
        <w:keepNext w:val="true"/>
        <w:keepLines/>
        <w:widowControl/>
        <w:jc w:val="both"/>
        <w:rPr>
          <w:sz w:val="24"/>
          <w:szCs w:val="24"/>
        </w:rPr>
      </w:pPr>
      <w:r>
        <w:rPr>
          <w:sz w:val="24"/>
          <w:szCs w:val="24"/>
        </w:rPr>
      </w:r>
    </w:p>
    <w:p>
      <w:pPr>
        <w:pStyle w:val="ARTICLE"/>
        <w:keepNext w:val="true"/>
        <w:keepLines/>
        <w:widowControl/>
        <w:numPr>
          <w:ilvl w:val="0"/>
          <w:numId w:val="99"/>
        </w:numPr>
        <w:tabs>
          <w:tab w:val="clear" w:pos="720"/>
          <w:tab w:val="left" w:pos="0" w:leader="none"/>
        </w:tabs>
        <w:ind w:hanging="0" w:start="1440"/>
        <w:rPr/>
      </w:pPr>
      <w:r>
        <w:rPr>
          <w:b/>
          <w:bCs/>
        </w:rPr>
        <w:t>ARTICLE THE TRUST INSTITUTION</w:t>
      </w:r>
      <w:ins w:id="239" w:author="foobar" w:date="2000-11-09T12:47:00Z">
        <w:r>
          <w:fldChar w:fldCharType="begin"/>
        </w:r>
        <w:r>
          <w:rPr/>
          <w:instrText xml:space="preserve"> TC "ARTICLE THE TRUST INSTITUTION" \l 1 </w:instrText>
        </w:r>
      </w:ins>
      <w:r>
        <w:rPr/>
        <w:fldChar w:fldCharType="separate"/>
      </w:r>
      <w:ins w:id="240" w:author="foobar" w:date="2000-11-09T12:47:00Z">
        <w:r>
          <w:rPr/>
        </w:r>
      </w:ins>
      <w:r>
        <w:rPr/>
        <w:fldChar w:fldCharType="end"/>
      </w:r>
    </w:p>
    <w:p>
      <w:pPr>
        <w:pStyle w:val="ARTICLE"/>
        <w:keepNext w:val="true"/>
        <w:keepLines/>
        <w:widowControl/>
        <w:ind w:start="0" w:end="0"/>
        <w:jc w:val="both"/>
        <w:rPr/>
      </w:pPr>
      <w:r>
        <w:rPr/>
      </w:r>
    </w:p>
    <w:p>
      <w:pPr>
        <w:pStyle w:val="Normal"/>
        <w:keepLines/>
        <w:widowControl/>
        <w:jc w:val="both"/>
        <w:rPr/>
      </w:pPr>
      <w:r>
        <w:rPr>
          <w:sz w:val="24"/>
          <w:szCs w:val="24"/>
        </w:rPr>
        <w:tab/>
        <w:t>It is expressly understood and agreed by the parties hereto that (a) this Agreement is executed and delivered by Wilmington Trust Company (</w:t>
      </w:r>
      <w:r>
        <w:rPr>
          <w:b/>
          <w:bCs/>
          <w:sz w:val="24"/>
          <w:szCs w:val="24"/>
        </w:rPr>
        <w:t>“</w:t>
      </w:r>
      <w:r>
        <w:rPr>
          <w:b/>
          <w:bCs/>
          <w:sz w:val="24"/>
          <w:szCs w:val="24"/>
          <w:u w:val="single"/>
        </w:rPr>
        <w:t>Wilmington</w:t>
      </w:r>
      <w:r>
        <w:rPr>
          <w:b/>
          <w:bCs/>
          <w:sz w:val="24"/>
          <w:szCs w:val="24"/>
        </w:rPr>
        <w:t>”</w:t>
      </w:r>
      <w:r>
        <w:rPr>
          <w:sz w:val="24"/>
          <w:szCs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sectPr>
          <w:type w:val="continuous"/>
          <w:pgSz w:w="12240" w:h="15840"/>
          <w:pgMar w:left="1440" w:right="1440" w:gutter="0" w:header="0" w:top="1440" w:footer="1344" w:bottom="1400"/>
          <w:formProt w:val="false"/>
          <w:textDirection w:val="lrTb"/>
        </w:sectPr>
        <w:pStyle w:val="Normal"/>
        <w:widowControl/>
        <w:jc w:val="both"/>
        <w:rPr>
          <w:sz w:val="24"/>
          <w:szCs w:val="24"/>
        </w:rPr>
      </w:pPr>
      <w:r>
        <w:rPr>
          <w:sz w:val="24"/>
          <w:szCs w:val="24"/>
        </w:rPr>
      </w:r>
      <w:r>
        <w:br w:type="page"/>
      </w:r>
    </w:p>
    <w:p>
      <w:pPr>
        <w:pStyle w:val="Normal"/>
        <w:widowControl/>
        <w:numPr>
          <w:ilvl w:val="0"/>
          <w:numId w:val="0"/>
        </w:numPr>
        <w:rPr>
          <w:sz w:val="24"/>
          <w:szCs w:val="24"/>
        </w:rPr>
      </w:pPr>
      <w:r>
        <w:rPr>
          <w:sz w:val="24"/>
          <w:szCs w:val="24"/>
        </w:rPr>
      </w:r>
    </w:p>
    <w:p>
      <w:pPr>
        <w:sectPr>
          <w:footerReference w:type="default" r:id="rId7"/>
          <w:type w:val="nextPage"/>
          <w:pgSz w:w="12240" w:h="15840"/>
          <w:pgMar w:left="1440" w:right="1440" w:gutter="0" w:header="0" w:top="1440" w:footer="1344" w:bottom="1400"/>
          <w:pgNumType w:start="1" w:fmt="decimal"/>
          <w:formProt w:val="false"/>
          <w:textDirection w:val="lrTb"/>
        </w:sectPr>
      </w:pPr>
    </w:p>
    <w:p>
      <w:pPr>
        <w:pStyle w:val="Normal"/>
        <w:widowControl/>
        <w:rPr>
          <w:sz w:val="24"/>
          <w:szCs w:val="24"/>
        </w:rPr>
      </w:pPr>
      <w:r>
        <w:rPr>
          <w:sz w:val="24"/>
          <w:szCs w:val="24"/>
        </w:rPr>
      </w:r>
    </w:p>
    <w:p>
      <w:pPr>
        <w:pStyle w:val="Normal"/>
        <w:widowControl/>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sz w:val="24"/>
          <w:szCs w:val="24"/>
        </w:rPr>
        <w:tab/>
        <w:tab/>
        <w:tab/>
        <w:tab/>
        <w:tab/>
        <w:tab/>
      </w:r>
      <w:r>
        <w:rPr>
          <w:b/>
          <w:bCs/>
          <w:sz w:val="24"/>
          <w:szCs w:val="24"/>
          <w:u w:val="single"/>
        </w:rPr>
        <w:t>THE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r>
      <w:r>
        <w:rPr>
          <w:b/>
          <w:bCs/>
          <w:sz w:val="24"/>
          <w:szCs w:val="24"/>
        </w:rPr>
        <w:t>Hawaii II 125-0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320" w:start="4320" w:end="0"/>
        <w:rPr>
          <w:sz w:val="24"/>
          <w:szCs w:val="24"/>
        </w:rPr>
      </w:pPr>
      <w:r>
        <w:rPr>
          <w:sz w:val="24"/>
          <w:szCs w:val="24"/>
        </w:rPr>
        <w:tab/>
        <w:tab/>
        <w:tab/>
        <w:tab/>
        <w:tab/>
        <w:tab/>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sectPr>
          <w:type w:val="continuous"/>
          <w:pgSz w:w="12240" w:h="15840"/>
          <w:pgMar w:left="1440" w:right="1440" w:gutter="0" w:header="0" w:top="1440" w:footer="1344" w:bottom="1400"/>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numPr>
          <w:ilvl w:val="0"/>
          <w:numId w:val="0"/>
        </w:numPr>
        <w:rPr>
          <w:sz w:val="24"/>
          <w:szCs w:val="24"/>
        </w:rPr>
      </w:pPr>
      <w:r>
        <w:rPr>
          <w:sz w:val="24"/>
          <w:szCs w:val="24"/>
        </w:rPr>
      </w:r>
    </w:p>
    <w:p>
      <w:pPr>
        <w:sectPr>
          <w:footerReference w:type="default" r:id="rId8"/>
          <w:type w:val="nextPage"/>
          <w:pgSz w:w="12240" w:h="15840"/>
          <w:pgMar w:left="1440" w:right="1440" w:gutter="0" w:header="0" w:top="1440" w:footer="1344" w:bottom="1400"/>
          <w:pgNumType w:fmt="decimal"/>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r>
      <w:r>
        <w:rPr>
          <w:b/>
          <w:bCs/>
          <w:sz w:val="24"/>
          <w:szCs w:val="24"/>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b/>
          <w:bCs/>
          <w:sz w:val="24"/>
          <w:szCs w:val="24"/>
        </w:rPr>
        <w:tab/>
        <w:tab/>
        <w:tab/>
        <w:tab/>
        <w:tab/>
        <w:tab/>
        <w:t>in its capacity as a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sectPr>
          <w:type w:val="continuous"/>
          <w:pgSz w:w="12240" w:h="15840"/>
          <w:pgMar w:left="1440" w:right="1440" w:gutter="0" w:header="0" w:top="1440" w:footer="1344" w:bottom="1400"/>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numPr>
          <w:ilvl w:val="0"/>
          <w:numId w:val="0"/>
        </w:numPr>
        <w:rPr>
          <w:sz w:val="24"/>
          <w:szCs w:val="24"/>
        </w:rPr>
      </w:pPr>
      <w:r>
        <w:rPr>
          <w:sz w:val="24"/>
          <w:szCs w:val="24"/>
        </w:rPr>
      </w:r>
    </w:p>
    <w:p>
      <w:pPr>
        <w:sectPr>
          <w:footerReference w:type="default" r:id="rId9"/>
          <w:type w:val="nextPage"/>
          <w:pgSz w:w="12240" w:h="15840"/>
          <w:pgMar w:left="1440" w:right="1440" w:gutter="0" w:header="0" w:top="1440" w:footer="1344" w:bottom="1400"/>
          <w:pgNumType w:fmt="decimal"/>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r>
      <w:r>
        <w:rPr>
          <w:b/>
          <w:bCs/>
          <w:sz w:val="24"/>
          <w:szCs w:val="24"/>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b/>
          <w:bCs/>
          <w:sz w:val="24"/>
          <w:szCs w:val="24"/>
        </w:rPr>
        <w:tab/>
        <w:tab/>
        <w:tab/>
        <w:tab/>
        <w:tab/>
        <w:tab/>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sectPr>
          <w:type w:val="continuous"/>
          <w:pgSz w:w="12240" w:h="15840"/>
          <w:pgMar w:left="1440" w:right="1440" w:gutter="0" w:header="0" w:top="1440" w:footer="1344" w:bottom="1400"/>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numPr>
          <w:ilvl w:val="0"/>
          <w:numId w:val="0"/>
        </w:numPr>
        <w:rPr>
          <w:sz w:val="24"/>
          <w:szCs w:val="24"/>
        </w:rPr>
      </w:pPr>
      <w:r>
        <w:rPr>
          <w:sz w:val="24"/>
          <w:szCs w:val="24"/>
        </w:rPr>
      </w:r>
    </w:p>
    <w:p>
      <w:pPr>
        <w:sectPr>
          <w:footerReference w:type="default" r:id="rId10"/>
          <w:type w:val="nextPage"/>
          <w:pgSz w:w="12240" w:h="15840"/>
          <w:pgMar w:left="1440" w:right="1440" w:gutter="0" w:header="0" w:top="1440" w:footer="1344" w:bottom="1400"/>
          <w:pgNumType w:fmt="decimal"/>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r>
      <w:r>
        <w:rPr>
          <w:b/>
          <w:bCs/>
          <w:sz w:val="24"/>
          <w:szCs w:val="24"/>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b/>
          <w:bCs/>
          <w:sz w:val="24"/>
          <w:szCs w:val="24"/>
        </w:rPr>
        <w:tab/>
        <w:tab/>
        <w:tab/>
        <w:tab/>
        <w:tab/>
        <w:tab/>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sectPr>
          <w:type w:val="continuous"/>
          <w:pgSz w:w="12240" w:h="15840"/>
          <w:pgMar w:left="1440" w:right="1440" w:gutter="0" w:header="0" w:top="1440" w:footer="1344" w:bottom="1400"/>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numPr>
          <w:ilvl w:val="0"/>
          <w:numId w:val="0"/>
        </w:numPr>
        <w:rPr>
          <w:sz w:val="24"/>
          <w:szCs w:val="24"/>
        </w:rPr>
      </w:pPr>
      <w:r>
        <w:rPr>
          <w:sz w:val="24"/>
          <w:szCs w:val="24"/>
        </w:rPr>
      </w:r>
    </w:p>
    <w:p>
      <w:pPr>
        <w:sectPr>
          <w:footerReference w:type="default" r:id="rId11"/>
          <w:type w:val="nextPage"/>
          <w:pgSz w:w="12240" w:h="15840"/>
          <w:pgMar w:left="1440" w:right="1440" w:gutter="0" w:header="0" w:top="1440" w:footer="1344" w:bottom="1400"/>
          <w:pgNumType w:fmt="decimal"/>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r>
      <w:r>
        <w:rPr>
          <w:b/>
          <w:bCs/>
          <w:sz w:val="24"/>
          <w:szCs w:val="24"/>
        </w:rPr>
        <w:t>____________________________________________,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b/>
          <w:bCs/>
          <w:sz w:val="24"/>
          <w:szCs w:val="24"/>
        </w:rPr>
        <w:tab/>
        <w:tab/>
        <w:tab/>
        <w:tab/>
        <w:tab/>
        <w:tab/>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sectPr>
          <w:type w:val="continuous"/>
          <w:pgSz w:w="12240" w:h="15840"/>
          <w:pgMar w:left="1440" w:right="1440" w:gutter="0" w:header="0" w:top="1440" w:footer="1344" w:bottom="1400"/>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numPr>
          <w:ilvl w:val="0"/>
          <w:numId w:val="0"/>
        </w:numPr>
        <w:rPr>
          <w:sz w:val="24"/>
          <w:szCs w:val="24"/>
        </w:rPr>
      </w:pPr>
      <w:r>
        <w:rPr>
          <w:sz w:val="24"/>
          <w:szCs w:val="24"/>
        </w:rPr>
      </w:r>
    </w:p>
    <w:p>
      <w:pPr>
        <w:sectPr>
          <w:footerReference w:type="default" r:id="rId12"/>
          <w:type w:val="nextPage"/>
          <w:pgSz w:w="12240" w:h="15840"/>
          <w:pgMar w:left="1440" w:right="1440" w:gutter="0" w:header="0" w:top="1440" w:footer="1344" w:bottom="1400"/>
          <w:pgNumType w:fmt="decimal"/>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____________________________________________</w:t>
      </w:r>
      <w:r>
        <w:rPr>
          <w:b/>
          <w:bCs/>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b/>
          <w:bCs/>
          <w:sz w:val="24"/>
          <w:szCs w:val="24"/>
        </w:rPr>
        <w:tab/>
        <w:tab/>
        <w:tab/>
        <w:tab/>
        <w:tab/>
        <w:tab/>
        <w:t>in its capacity as 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sectPr>
          <w:type w:val="continuous"/>
          <w:pgSz w:w="12240" w:h="15840"/>
          <w:pgMar w:left="1440" w:right="1440" w:gutter="0" w:header="0" w:top="1440" w:footer="1344" w:bottom="1400"/>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numPr>
          <w:ilvl w:val="0"/>
          <w:numId w:val="0"/>
        </w:numPr>
        <w:rPr>
          <w:sz w:val="24"/>
          <w:szCs w:val="24"/>
        </w:rPr>
      </w:pPr>
      <w:r>
        <w:rPr>
          <w:sz w:val="24"/>
          <w:szCs w:val="24"/>
        </w:rPr>
      </w:r>
    </w:p>
    <w:p>
      <w:pPr>
        <w:sectPr>
          <w:footerReference w:type="default" r:id="rId13"/>
          <w:type w:val="nextPage"/>
          <w:pgSz w:w="12240" w:h="15840"/>
          <w:pgMar w:left="1440" w:right="1440" w:gutter="0" w:header="0" w:top="1440" w:footer="1344" w:bottom="1400"/>
          <w:pgNumType w:fmt="decimal"/>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b/>
          <w:bCs/>
          <w:sz w:val="24"/>
          <w:szCs w:val="24"/>
        </w:rPr>
      </w:pPr>
      <w:r>
        <w:rPr>
          <w:sz w:val="24"/>
          <w:szCs w:val="24"/>
        </w:rPr>
        <w:tab/>
        <w:tab/>
        <w:tab/>
        <w:tab/>
        <w:tab/>
        <w:tab/>
      </w:r>
      <w:r>
        <w:rPr>
          <w:b/>
          <w:bCs/>
          <w:sz w:val="24"/>
          <w:szCs w:val="24"/>
          <w:u w:val="single"/>
        </w:rPr>
        <w:t>THE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 w:val="24"/>
          <w:szCs w:val="24"/>
        </w:rPr>
        <w:tab/>
        <w:tab/>
        <w:tab/>
        <w:tab/>
        <w:tab/>
        <w:tab/>
      </w:r>
      <w:r>
        <w:rPr>
          <w:b/>
          <w:bCs/>
          <w:sz w:val="24"/>
          <w:szCs w:val="24"/>
        </w:rPr>
        <w:t xml:space="preserve">CANADIAN IMPERIAL BANK OF COMMERCE,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b/>
          <w:bCs/>
          <w:sz w:val="24"/>
          <w:szCs w:val="24"/>
        </w:rPr>
        <w:tab/>
        <w:tab/>
        <w:tab/>
        <w:tab/>
        <w:tab/>
        <w:tab/>
        <w:t>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sectPr>
          <w:type w:val="continuous"/>
          <w:pgSz w:w="12240" w:h="15840"/>
          <w:pgMar w:left="1440" w:right="1440" w:gutter="0" w:header="0" w:top="1440" w:footer="1344" w:bottom="1400"/>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r>
        <w:br w:type="page"/>
      </w:r>
    </w:p>
    <w:p>
      <w:pPr>
        <w:pStyle w:val="Normal"/>
        <w:widowControl/>
        <w:numPr>
          <w:ilvl w:val="0"/>
          <w:numId w:val="0"/>
        </w:numPr>
        <w:rPr>
          <w:sz w:val="24"/>
          <w:szCs w:val="24"/>
        </w:rPr>
      </w:pPr>
      <w:r>
        <w:rPr>
          <w:sz w:val="24"/>
          <w:szCs w:val="24"/>
        </w:rPr>
      </w:r>
    </w:p>
    <w:p>
      <w:pPr>
        <w:sectPr>
          <w:footerReference w:type="default" r:id="rId14"/>
          <w:type w:val="nextPage"/>
          <w:pgSz w:w="12240" w:h="15840"/>
          <w:pgMar w:left="1440" w:right="1440" w:gutter="0" w:header="0" w:top="1440" w:footer="1104" w:bottom="1160"/>
          <w:pgNumType w:fmt="decimal"/>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4"/>
          <w:szCs w:val="24"/>
        </w:rPr>
      </w:pPr>
      <w:r>
        <w:rPr>
          <w:b/>
          <w:bCs/>
          <w:sz w:val="24"/>
          <w:szCs w:val="24"/>
          <w:u w:val="single"/>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b/>
          <w:bCs/>
          <w:sz w:val="24"/>
          <w:szCs w:val="24"/>
          <w:u w:val="single"/>
        </w:rPr>
        <w:t>Commitments and Funding Offices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tbl>
      <w:tblPr>
        <w:tblW w:w="9360" w:type="dxa"/>
        <w:jc w:val="start"/>
        <w:tblInd w:w="120" w:type="dxa"/>
        <w:tblLayout w:type="fixed"/>
        <w:tblCellMar>
          <w:top w:w="0" w:type="dxa"/>
          <w:start w:w="120" w:type="dxa"/>
          <w:bottom w:w="0" w:type="dxa"/>
          <w:end w:w="120" w:type="dxa"/>
        </w:tblCellMar>
      </w:tblPr>
      <w:tblGrid>
        <w:gridCol w:w="7020"/>
        <w:gridCol w:w="2340"/>
      </w:tblGrid>
      <w:tr>
        <w:trPr>
          <w:trHeight w:val="403" w:hRule="atLeast"/>
        </w:trPr>
        <w:tc>
          <w:tcPr>
            <w:tcW w:w="7020" w:type="dxa"/>
            <w:tcBorders/>
          </w:tcPr>
          <w:p>
            <w:pPr>
              <w:pStyle w:val="Normal"/>
              <w:widowControl/>
              <w:rPr>
                <w:sz w:val="24"/>
                <w:szCs w:val="24"/>
              </w:rPr>
            </w:pPr>
            <w:r>
              <w:rPr>
                <w:b/>
                <w:bCs/>
                <w:sz w:val="24"/>
                <w:szCs w:val="24"/>
              </w:rPr>
              <w:t>Names and Addresses (Funding Offices) of initial Lenders</w:t>
            </w:r>
          </w:p>
        </w:tc>
        <w:tc>
          <w:tcPr>
            <w:tcW w:w="2340" w:type="dxa"/>
            <w:tcBorders/>
          </w:tcPr>
          <w:p>
            <w:pPr>
              <w:pStyle w:val="Normal"/>
              <w:widowControl/>
              <w:jc w:val="center"/>
              <w:rPr>
                <w:sz w:val="24"/>
                <w:szCs w:val="24"/>
              </w:rPr>
            </w:pPr>
            <w:r>
              <w:rPr>
                <w:b/>
                <w:bCs/>
                <w:sz w:val="24"/>
                <w:szCs w:val="24"/>
              </w:rPr>
              <w:t>Commitment</w:t>
            </w:r>
          </w:p>
        </w:tc>
      </w:tr>
      <w:tr>
        <w:trPr>
          <w:trHeight w:val="403" w:hRule="atLeast"/>
        </w:trPr>
        <w:tc>
          <w:tcPr>
            <w:tcW w:w="7020" w:type="dxa"/>
            <w:tcBorders/>
          </w:tcPr>
          <w:p>
            <w:pPr>
              <w:pStyle w:val="Normal"/>
              <w:widowControl/>
              <w:rPr>
                <w:sz w:val="24"/>
                <w:szCs w:val="24"/>
              </w:rPr>
            </w:pPr>
            <w:r>
              <w:rPr>
                <w:sz w:val="24"/>
                <w:szCs w:val="24"/>
                <w:u w:val="single"/>
              </w:rPr>
              <w:t>Canadian Imperial Bank of Commerce</w:t>
            </w:r>
          </w:p>
          <w:p>
            <w:pPr>
              <w:pStyle w:val="Normal"/>
              <w:widowControl/>
              <w:rPr>
                <w:sz w:val="24"/>
                <w:szCs w:val="24"/>
              </w:rPr>
            </w:pPr>
            <w:r>
              <w:rPr>
                <w:sz w:val="24"/>
                <w:szCs w:val="24"/>
              </w:rPr>
              <w:t>425 Lexington Avenue</w:t>
            </w:r>
          </w:p>
          <w:p>
            <w:pPr>
              <w:pStyle w:val="Normal"/>
              <w:widowControl/>
              <w:rPr>
                <w:sz w:val="24"/>
                <w:szCs w:val="24"/>
              </w:rPr>
            </w:pPr>
            <w:r>
              <w:rPr>
                <w:sz w:val="24"/>
                <w:szCs w:val="24"/>
              </w:rPr>
              <w:t>New York, New York 10017</w:t>
            </w:r>
          </w:p>
          <w:p>
            <w:pPr>
              <w:pStyle w:val="Normal"/>
              <w:widowControl/>
              <w:rPr>
                <w:sz w:val="24"/>
                <w:szCs w:val="24"/>
              </w:rPr>
            </w:pPr>
            <w:r>
              <w:rPr>
                <w:sz w:val="24"/>
                <w:szCs w:val="24"/>
              </w:rPr>
              <w:t>Attn:  Christine Aharonian</w:t>
            </w:r>
          </w:p>
          <w:p>
            <w:pPr>
              <w:pStyle w:val="Normal"/>
              <w:widowControl/>
              <w:rPr>
                <w:sz w:val="24"/>
                <w:szCs w:val="24"/>
              </w:rPr>
            </w:pPr>
            <w:r>
              <w:rPr>
                <w:sz w:val="24"/>
                <w:szCs w:val="24"/>
              </w:rPr>
            </w:r>
          </w:p>
        </w:tc>
        <w:tc>
          <w:tcPr>
            <w:tcW w:w="2340" w:type="dxa"/>
            <w:tcBorders/>
          </w:tcPr>
          <w:p>
            <w:pPr>
              <w:pStyle w:val="Normal"/>
              <w:widowControl/>
              <w:jc w:val="end"/>
              <w:rPr>
                <w:sz w:val="24"/>
                <w:szCs w:val="24"/>
              </w:rPr>
            </w:pPr>
            <w:r>
              <w:rPr>
                <w:sz w:val="24"/>
                <w:szCs w:val="24"/>
              </w:rPr>
              <w:t>$__________</w:t>
            </w:r>
          </w:p>
        </w:tc>
      </w:tr>
      <w:tr>
        <w:trPr>
          <w:trHeight w:val="403" w:hRule="atLeast"/>
        </w:trPr>
        <w:tc>
          <w:tcPr>
            <w:tcW w:w="7020" w:type="dxa"/>
            <w:tcBorders/>
          </w:tcPr>
          <w:p>
            <w:pPr>
              <w:pStyle w:val="Normal"/>
              <w:widowControl/>
              <w:snapToGrid w:val="false"/>
              <w:rPr>
                <w:sz w:val="24"/>
                <w:szCs w:val="24"/>
              </w:rPr>
            </w:pPr>
            <w:r>
              <w:rPr>
                <w:sz w:val="24"/>
                <w:szCs w:val="24"/>
              </w:rPr>
            </w:r>
          </w:p>
          <w:p>
            <w:pPr>
              <w:pStyle w:val="Normal"/>
              <w:widowControl/>
              <w:rPr>
                <w:sz w:val="24"/>
                <w:szCs w:val="24"/>
              </w:rPr>
            </w:pPr>
            <w:r>
              <w:rPr>
                <w:sz w:val="24"/>
                <w:szCs w:val="24"/>
              </w:rPr>
            </w:r>
          </w:p>
        </w:tc>
        <w:tc>
          <w:tcPr>
            <w:tcW w:w="2340" w:type="dxa"/>
            <w:tcBorders/>
          </w:tcPr>
          <w:p>
            <w:pPr>
              <w:pStyle w:val="Normal"/>
              <w:widowControl/>
              <w:jc w:val="end"/>
              <w:rPr>
                <w:sz w:val="24"/>
                <w:szCs w:val="24"/>
              </w:rPr>
            </w:pPr>
            <w:r>
              <w:rPr>
                <w:sz w:val="24"/>
                <w:szCs w:val="24"/>
              </w:rPr>
              <w:t>$__________</w:t>
            </w:r>
          </w:p>
        </w:tc>
      </w:tr>
      <w:tr>
        <w:trPr>
          <w:trHeight w:val="403" w:hRule="atLeast"/>
        </w:trPr>
        <w:tc>
          <w:tcPr>
            <w:tcW w:w="7020" w:type="dxa"/>
            <w:tcBorders/>
          </w:tcPr>
          <w:p>
            <w:pPr>
              <w:pStyle w:val="Normal"/>
              <w:widowControl/>
              <w:snapToGrid w:val="false"/>
              <w:rPr>
                <w:sz w:val="24"/>
                <w:szCs w:val="24"/>
              </w:rPr>
            </w:pPr>
            <w:r>
              <w:rPr>
                <w:sz w:val="24"/>
                <w:szCs w:val="24"/>
              </w:rPr>
            </w:r>
          </w:p>
        </w:tc>
        <w:tc>
          <w:tcPr>
            <w:tcW w:w="2340" w:type="dxa"/>
            <w:tcBorders/>
          </w:tcPr>
          <w:p>
            <w:pPr>
              <w:pStyle w:val="Normal"/>
              <w:widowControl/>
              <w:jc w:val="end"/>
              <w:rPr>
                <w:sz w:val="24"/>
                <w:szCs w:val="24"/>
              </w:rPr>
            </w:pPr>
            <w:r>
              <w:rPr>
                <w:sz w:val="24"/>
                <w:szCs w:val="24"/>
              </w:rPr>
              <w:t>$__________</w:t>
            </w:r>
          </w:p>
        </w:tc>
      </w:tr>
      <w:tr>
        <w:trPr>
          <w:trHeight w:val="403" w:hRule="atLeast"/>
        </w:trPr>
        <w:tc>
          <w:tcPr>
            <w:tcW w:w="7020" w:type="dxa"/>
            <w:tcBorders/>
          </w:tcPr>
          <w:p>
            <w:pPr>
              <w:pStyle w:val="Normal"/>
              <w:widowControl/>
              <w:snapToGrid w:val="false"/>
              <w:rPr>
                <w:sz w:val="24"/>
                <w:szCs w:val="24"/>
              </w:rPr>
            </w:pPr>
            <w:r>
              <w:rPr>
                <w:sz w:val="24"/>
                <w:szCs w:val="24"/>
              </w:rPr>
            </w:r>
          </w:p>
        </w:tc>
        <w:tc>
          <w:tcPr>
            <w:tcW w:w="2340" w:type="dxa"/>
            <w:tcBorders/>
          </w:tcPr>
          <w:p>
            <w:pPr>
              <w:pStyle w:val="Normal"/>
              <w:widowControl/>
              <w:jc w:val="end"/>
              <w:rPr>
                <w:sz w:val="24"/>
                <w:szCs w:val="24"/>
              </w:rPr>
            </w:pPr>
            <w:r>
              <w:rPr>
                <w:sz w:val="24"/>
                <w:szCs w:val="24"/>
              </w:rPr>
              <w:t>$__________</w:t>
            </w:r>
          </w:p>
        </w:tc>
      </w:tr>
      <w:tr>
        <w:trPr>
          <w:trHeight w:val="403" w:hRule="atLeast"/>
        </w:trPr>
        <w:tc>
          <w:tcPr>
            <w:tcW w:w="7020" w:type="dxa"/>
            <w:tcBorders/>
          </w:tcPr>
          <w:p>
            <w:pPr>
              <w:pStyle w:val="Normal"/>
              <w:widowControl/>
              <w:snapToGrid w:val="false"/>
              <w:rPr>
                <w:sz w:val="24"/>
                <w:szCs w:val="24"/>
              </w:rPr>
            </w:pPr>
            <w:r>
              <w:rPr>
                <w:sz w:val="24"/>
                <w:szCs w:val="24"/>
              </w:rPr>
            </w:r>
          </w:p>
        </w:tc>
        <w:tc>
          <w:tcPr>
            <w:tcW w:w="2340" w:type="dxa"/>
            <w:tcBorders/>
          </w:tcPr>
          <w:p>
            <w:pPr>
              <w:pStyle w:val="Normal"/>
              <w:widowControl/>
              <w:jc w:val="end"/>
              <w:rPr>
                <w:sz w:val="24"/>
                <w:szCs w:val="24"/>
              </w:rPr>
            </w:pPr>
            <w:r>
              <w:rPr>
                <w:sz w:val="24"/>
                <w:szCs w:val="24"/>
              </w:rPr>
              <w:t>$__________</w:t>
            </w:r>
          </w:p>
        </w:tc>
      </w:tr>
    </w:tbl>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sectPr>
          <w:type w:val="continuous"/>
          <w:pgSz w:w="12240" w:h="15840"/>
          <w:pgMar w:left="1440" w:right="1440" w:gutter="0" w:header="0" w:top="1440" w:footer="1104" w:bottom="1160"/>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b/>
          <w:bCs/>
          <w:sz w:val="24"/>
          <w:szCs w:val="24"/>
        </w:rPr>
        <w:tab/>
      </w:r>
      <w:r>
        <w:rPr>
          <w:b/>
          <w:bCs/>
          <w:sz w:val="24"/>
          <w:szCs w:val="24"/>
          <w:u w:val="single"/>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4"/>
          <w:szCs w:val="24"/>
        </w:rPr>
      </w:pPr>
      <w:r>
        <w:rPr>
          <w:sz w:val="24"/>
          <w:szCs w:val="24"/>
        </w:rPr>
        <w:t> </w:t>
      </w:r>
      <w:r>
        <w:rPr>
          <w:b/>
          <w:bCs/>
          <w:sz w:val="24"/>
          <w:szCs w:val="24"/>
          <w:u w:val="single"/>
        </w:rPr>
        <w:t>Form of Drawdown Request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4"/>
          <w:szCs w:val="24"/>
        </w:rPr>
      </w:pPr>
      <w:r>
        <w:rPr>
          <w:b/>
          <w:bCs/>
          <w:sz w:val="24"/>
          <w:szCs w:val="24"/>
        </w:rPr>
        <w:t>Hawaii II 125-0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To:</w:t>
        <w:tab/>
        <w:t>CANADIAN IMPERIAL BANK OF COMMERCE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 w:val="24"/>
          <w:szCs w:val="24"/>
          <w:u w:val="single"/>
        </w:rPr>
        <w:t xml:space="preserve">Facility Agreement, dated as of November </w:t>
      </w:r>
      <w:r>
        <w:rPr>
          <w:b/>
          <w:bCs/>
          <w:sz w:val="24"/>
          <w:szCs w:val="24"/>
          <w:u w:val="single"/>
        </w:rPr>
        <w:t>[</w:t>
      </w:r>
      <w:r>
        <w:rPr>
          <w:sz w:val="24"/>
          <w:szCs w:val="24"/>
          <w:u w:val="single"/>
        </w:rPr>
        <w:t>17</w:t>
      </w:r>
      <w:r>
        <w:rPr>
          <w:b/>
          <w:bCs/>
          <w:sz w:val="24"/>
          <w:szCs w:val="24"/>
          <w:u w:val="single"/>
        </w:rPr>
        <w:t>]</w:t>
      </w:r>
      <w:r>
        <w:rPr>
          <w:sz w:val="24"/>
          <w:szCs w:val="24"/>
          <w:u w:val="single"/>
        </w:rPr>
        <w:t>,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u w:val="single"/>
        </w:rPr>
      </w:pPr>
      <w:r>
        <w:rPr>
          <w:sz w:val="24"/>
          <w:szCs w:val="24"/>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 w:val="24"/>
          <w:szCs w:val="24"/>
        </w:rPr>
        <w:tab/>
        <w:t xml:space="preserve">We refer to the above agreement between, </w:t>
      </w:r>
      <w:r>
        <w:rPr>
          <w:i/>
          <w:iCs/>
          <w:sz w:val="24"/>
          <w:szCs w:val="24"/>
        </w:rPr>
        <w:t>inter alia</w:t>
      </w:r>
      <w:r>
        <w:rPr>
          <w:sz w:val="24"/>
          <w:szCs w:val="24"/>
        </w:rPr>
        <w:t>, ourselves, yourselves, as Agent, and the other financial institutions party thereto and CIBC World Markets Corp. as Arranger (the “</w:t>
      </w:r>
      <w:r>
        <w:rPr>
          <w:b/>
          <w:bCs/>
          <w:sz w:val="24"/>
          <w:szCs w:val="24"/>
          <w:u w:val="single"/>
        </w:rPr>
        <w:t>Facility Agreement</w:t>
      </w:r>
      <w:r>
        <w:rPr>
          <w:sz w:val="24"/>
          <w:szCs w:val="24"/>
        </w:rPr>
        <w:t>,” which expression includes any amendments or supplements thereto or restatements thereof).  Terms defined in the Facility Agreement have the same meaning in this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360"/>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Pursuant to Section 5.3 of the Facility Agreement, we hereby give you notice of the following proposed drawing of a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440" w:start="1440" w:end="0"/>
        <w:rPr>
          <w:sz w:val="24"/>
          <w:szCs w:val="24"/>
        </w:rPr>
      </w:pPr>
      <w:r>
        <w:rPr>
          <w:sz w:val="24"/>
          <w:szCs w:val="24"/>
        </w:rPr>
        <w:tab/>
        <w:t>(a)</w:t>
        <w:tab/>
        <w:t>Name of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(b)</w:t>
        <w:tab/>
        <w:t>Name of Asset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(c)</w:t>
        <w:tab/>
        <w:t>Name of Sponsor: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(d)</w:t>
        <w:tab/>
        <w:t>Initial Certificate Balance of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(e)</w:t>
        <w:tab/>
        <w:t>Name of Transferor and Type of Entity: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(f)</w:t>
        <w:tab/>
        <w:t>Type of Underlying Asset (specify Danno, McGarret or Governor):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(g)</w:t>
        <w:tab/>
        <w:t>Proposed Drawdown Date (a Business Day):</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(h)</w:t>
        <w:tab/>
        <w:t>Amount of Tranche: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(i)</w:t>
        <w:tab/>
        <w:t>Type of Advances: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(j)</w:t>
        <w:tab/>
        <w:t>Interest Period (if LIBOR advance):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440" w:start="1440" w:end="0"/>
        <w:rPr/>
      </w:pPr>
      <w:r>
        <w:rPr>
          <w:sz w:val="24"/>
          <w:szCs w:val="24"/>
        </w:rPr>
        <w:tab/>
        <w:t>(k)</w:t>
        <w:tab/>
        <w:t xml:space="preserve">Repayment Date </w:t>
      </w:r>
      <w:r>
        <w:rPr>
          <w:b/>
          <w:bCs/>
          <w:sz w:val="24"/>
          <w:szCs w:val="24"/>
        </w:rPr>
        <w:t>[</w:t>
      </w:r>
      <w:r>
        <w:rPr>
          <w:b/>
          <w:bCs/>
          <w:i/>
          <w:iCs/>
          <w:sz w:val="24"/>
          <w:szCs w:val="24"/>
        </w:rPr>
        <w:t xml:space="preserve">Note: This may be two alternative dates if structure includes a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b/>
          <w:bCs/>
          <w:i/>
          <w:iCs/>
          <w:sz w:val="24"/>
          <w:szCs w:val="24"/>
        </w:rPr>
        <w:tab/>
        <w:tab/>
        <w:t>fixed price put</w:t>
      </w:r>
      <w:r>
        <w:rPr>
          <w:b/>
          <w:bCs/>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(l)</w:t>
        <w:tab/>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440" w:start="1440" w:end="0"/>
        <w:rPr>
          <w:sz w:val="24"/>
          <w:szCs w:val="24"/>
        </w:rPr>
      </w:pPr>
      <w:r>
        <w:rPr>
          <w:sz w:val="24"/>
          <w:szCs w:val="24"/>
        </w:rPr>
        <w:tab/>
        <w:t>(m)</w:t>
        <w:tab/>
        <w:t>Swap Provider (specify Enron or specific Permitted Swap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360"/>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360"/>
        <w:rPr>
          <w:sz w:val="24"/>
          <w:szCs w:val="24"/>
        </w:rPr>
      </w:pPr>
      <w:r>
        <w:rPr>
          <w:sz w:val="24"/>
          <w:szCs w:val="24"/>
        </w:rPr>
        <w:t>Dated: _________________</w:t>
      </w:r>
      <w:r>
        <w:br w:type="page"/>
      </w:r>
    </w:p>
    <w:p>
      <w:pPr>
        <w:pStyle w:val="Normal"/>
        <w:widowControl/>
        <w:numPr>
          <w:ilvl w:val="0"/>
          <w:numId w:val="0"/>
        </w:numPr>
        <w:rPr>
          <w:sz w:val="24"/>
          <w:szCs w:val="24"/>
        </w:rPr>
      </w:pPr>
      <w:r>
        <w:rPr>
          <w:sz w:val="24"/>
          <w:szCs w:val="24"/>
        </w:rPr>
      </w:r>
    </w:p>
    <w:p>
      <w:pPr>
        <w:sectPr>
          <w:footerReference w:type="default" r:id="rId15"/>
          <w:type w:val="nextPage"/>
          <w:pgSz w:w="12240" w:h="15840"/>
          <w:pgMar w:left="1440" w:right="1440" w:gutter="0" w:header="0" w:top="1440" w:footer="1104" w:bottom="1160"/>
          <w:pgNumType w:start="1" w:fmt="decimal"/>
          <w:formProt w:val="false"/>
          <w:textDirection w:val="lrTb"/>
        </w:sectPr>
      </w:pP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360"/>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360"/>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lineRule="atLeast" w:line="360"/>
        <w:rPr>
          <w:sz w:val="24"/>
          <w:szCs w:val="24"/>
        </w:rPr>
      </w:pPr>
      <w:r>
        <w:rPr>
          <w:sz w:val="24"/>
          <w:szCs w:val="24"/>
        </w:rPr>
        <w:t>Hawaii II 125-0 Trust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By:</w:t>
        <w:tab/>
        <w:t xml:space="preserve">Wilmington Trust Company,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rPr>
          <w:sz w:val="24"/>
          <w:szCs w:val="24"/>
        </w:rPr>
      </w:pPr>
      <w:r>
        <w:rPr>
          <w:sz w:val="24"/>
          <w:szCs w:val="24"/>
        </w:rPr>
        <w:t xml:space="preserve">not in its individual capacity,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0"/>
        <w:rPr>
          <w:sz w:val="24"/>
          <w:szCs w:val="24"/>
        </w:rPr>
      </w:pPr>
      <w:r>
        <w:rPr>
          <w:sz w:val="24"/>
          <w:szCs w:val="24"/>
        </w:rPr>
        <w:t>but solely as Owner Trustee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By:</w:t>
      </w:r>
      <w:r>
        <w:rPr>
          <w:sz w:val="24"/>
          <w:szCs w:val="24"/>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Name:</w:t>
      </w:r>
      <w:r>
        <w:rPr>
          <w:sz w:val="24"/>
          <w:szCs w:val="24"/>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Title:</w:t>
      </w:r>
      <w:r>
        <w:rPr>
          <w:sz w:val="24"/>
          <w:szCs w:val="24"/>
          <w:u w:val="single"/>
        </w:rPr>
        <w:tab/>
        <w:tab/>
        <w:tab/>
        <w:tab/>
        <w:tab/>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sectPr>
          <w:type w:val="continuous"/>
          <w:pgSz w:w="12240" w:h="15840"/>
          <w:pgMar w:left="1440" w:right="1440" w:gutter="0" w:header="0" w:top="1440" w:footer="1104" w:bottom="1160"/>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b/>
          <w:bCs/>
          <w:sz w:val="24"/>
          <w:szCs w:val="24"/>
        </w:rPr>
      </w:pPr>
      <w:r>
        <w:rPr>
          <w:b/>
          <w:bCs/>
          <w:sz w:val="24"/>
          <w:szCs w:val="24"/>
        </w:rPr>
        <w:tab/>
      </w:r>
      <w:r>
        <w:rPr>
          <w:b/>
          <w:bCs/>
          <w:sz w:val="24"/>
          <w:szCs w:val="24"/>
          <w:u w:val="single"/>
        </w:rPr>
        <w:t>EXHIBIT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4"/>
          <w:szCs w:val="24"/>
        </w:rPr>
      </w:pPr>
      <w:r>
        <w:rPr>
          <w:b/>
          <w:bCs/>
          <w:sz w:val="24"/>
          <w:szCs w:val="24"/>
          <w:u w:val="single"/>
        </w:rPr>
        <w:t>Form of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b/>
          <w:bCs/>
          <w:sz w:val="24"/>
          <w:szCs w:val="24"/>
        </w:rPr>
        <w:t>PROMISSORY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$_____________________</w:t>
        <w:tab/>
        <w:t>New York, New York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end"/>
        <w:rPr/>
      </w:pPr>
      <w:r>
        <w:rPr>
          <w:sz w:val="24"/>
          <w:szCs w:val="24"/>
        </w:rPr>
        <w:t xml:space="preserve">November </w:t>
      </w:r>
      <w:r>
        <w:rPr>
          <w:b/>
          <w:bCs/>
          <w:sz w:val="24"/>
          <w:szCs w:val="24"/>
        </w:rPr>
        <w:t>[</w:t>
      </w:r>
      <w:r>
        <w:rPr>
          <w:sz w:val="24"/>
          <w:szCs w:val="24"/>
        </w:rPr>
        <w:t>17</w:t>
      </w:r>
      <w:r>
        <w:rPr>
          <w:b/>
          <w:bCs/>
          <w:sz w:val="24"/>
          <w:szCs w:val="24"/>
        </w:rPr>
        <w:t>]</w:t>
      </w:r>
      <w:r>
        <w:rPr>
          <w:sz w:val="24"/>
          <w:szCs w:val="24"/>
        </w:rPr>
        <w:t>, 2000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 w:val="24"/>
          <w:szCs w:val="24"/>
        </w:rPr>
        <w:tab/>
        <w:t xml:space="preserve">FOR VALUE RECEIVED, Hawaii II 125-0 Trust, a business trust formed under the laws of the State of Delaware whose principal place of business is at Rodney Square North, 1100 North Market Street, Wilmington, Delaware (the </w:t>
      </w:r>
      <w:r>
        <w:rPr>
          <w:b/>
          <w:bCs/>
          <w:sz w:val="24"/>
          <w:szCs w:val="24"/>
        </w:rPr>
        <w:t>“</w:t>
      </w:r>
      <w:r>
        <w:rPr>
          <w:b/>
          <w:bCs/>
          <w:sz w:val="24"/>
          <w:szCs w:val="24"/>
          <w:u w:val="single"/>
        </w:rPr>
        <w:t>Trust</w:t>
      </w:r>
      <w:r>
        <w:rPr>
          <w:b/>
          <w:bCs/>
          <w:sz w:val="24"/>
          <w:szCs w:val="24"/>
        </w:rPr>
        <w:t>”</w:t>
      </w:r>
      <w:r>
        <w:rPr>
          <w:sz w:val="24"/>
          <w:szCs w:val="24"/>
        </w:rPr>
        <w:t xml:space="preserve">) promises to pay to the order of </w:t>
      </w:r>
      <w:r>
        <w:rPr>
          <w:b/>
          <w:bCs/>
          <w:sz w:val="24"/>
          <w:szCs w:val="24"/>
        </w:rPr>
        <w:t>[</w:t>
      </w:r>
      <w:r>
        <w:rPr>
          <w:b/>
          <w:bCs/>
          <w:i/>
          <w:iCs/>
          <w:sz w:val="24"/>
          <w:szCs w:val="24"/>
        </w:rPr>
        <w:t>insert name of Lender in capital letters</w:t>
      </w:r>
      <w:r>
        <w:rPr>
          <w:b/>
          <w:bCs/>
          <w:sz w:val="24"/>
          <w:szCs w:val="24"/>
        </w:rPr>
        <w:t>]</w:t>
      </w:r>
      <w:r>
        <w:rPr>
          <w:sz w:val="24"/>
          <w:szCs w:val="24"/>
        </w:rPr>
        <w:t xml:space="preserve"> ( the </w:t>
      </w:r>
      <w:r>
        <w:rPr>
          <w:b/>
          <w:bCs/>
          <w:sz w:val="24"/>
          <w:szCs w:val="24"/>
        </w:rPr>
        <w:t>“</w:t>
      </w:r>
      <w:r>
        <w:rPr>
          <w:b/>
          <w:bCs/>
          <w:sz w:val="24"/>
          <w:szCs w:val="24"/>
          <w:u w:val="single"/>
        </w:rPr>
        <w:t>Payee</w:t>
      </w:r>
      <w:r>
        <w:rPr>
          <w:b/>
          <w:bCs/>
          <w:sz w:val="24"/>
          <w:szCs w:val="24"/>
        </w:rPr>
        <w:t>”</w:t>
      </w:r>
      <w:r>
        <w:rPr>
          <w:sz w:val="24"/>
          <w:szCs w:val="24"/>
        </w:rPr>
        <w:t xml:space="preserve">) on November </w:t>
      </w:r>
      <w:r>
        <w:rPr>
          <w:b/>
          <w:bCs/>
          <w:sz w:val="24"/>
          <w:szCs w:val="24"/>
        </w:rPr>
        <w:t>[</w:t>
      </w:r>
      <w:r>
        <w:rPr>
          <w:sz w:val="24"/>
          <w:szCs w:val="24"/>
        </w:rPr>
        <w:t>16</w:t>
      </w:r>
      <w:r>
        <w:rPr>
          <w:b/>
          <w:bCs/>
          <w:sz w:val="24"/>
          <w:szCs w:val="24"/>
        </w:rPr>
        <w:t>]</w:t>
      </w:r>
      <w:r>
        <w:rPr>
          <w:sz w:val="24"/>
          <w:szCs w:val="24"/>
        </w:rPr>
        <w:t>,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 w:val="24"/>
          <w:szCs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w:t>
      </w:r>
      <w:r>
        <w:rPr>
          <w:b/>
          <w:bCs/>
          <w:sz w:val="24"/>
          <w:szCs w:val="24"/>
        </w:rPr>
        <w:t>[</w:t>
      </w:r>
      <w:r>
        <w:rPr>
          <w:sz w:val="24"/>
          <w:szCs w:val="24"/>
        </w:rPr>
        <w:t>17</w:t>
      </w:r>
      <w:r>
        <w:rPr>
          <w:b/>
          <w:bCs/>
          <w:sz w:val="24"/>
          <w:szCs w:val="24"/>
        </w:rPr>
        <w:t>]</w:t>
      </w:r>
      <w:r>
        <w:rPr>
          <w:sz w:val="24"/>
          <w:szCs w:val="24"/>
        </w:rPr>
        <w:t xml:space="preserve">, 2000 (as such Facility Agreement may be amended from time to time, the </w:t>
      </w:r>
      <w:r>
        <w:rPr>
          <w:b/>
          <w:bCs/>
          <w:sz w:val="24"/>
          <w:szCs w:val="24"/>
        </w:rPr>
        <w:t>“</w:t>
      </w:r>
      <w:r>
        <w:rPr>
          <w:b/>
          <w:bCs/>
          <w:sz w:val="24"/>
          <w:szCs w:val="24"/>
          <w:u w:val="single"/>
        </w:rPr>
        <w:t>Facility Agreement</w:t>
      </w:r>
      <w:r>
        <w:rPr>
          <w:b/>
          <w:bCs/>
          <w:sz w:val="24"/>
          <w:szCs w:val="24"/>
        </w:rPr>
        <w:t>”</w:t>
      </w:r>
      <w:r>
        <w:rPr>
          <w:sz w:val="24"/>
          <w:szCs w:val="24"/>
        </w:rPr>
        <w:t>), among the Trust, Canadian Imperial Bank of Commerce, as Agent, and the financial institutions party thereto.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 w:val="24"/>
          <w:szCs w:val="24"/>
        </w:rPr>
        <w:tab/>
        <w:t xml:space="preserve">This Note is one of the </w:t>
      </w:r>
      <w:r>
        <w:rPr>
          <w:b/>
          <w:bCs/>
          <w:sz w:val="24"/>
          <w:szCs w:val="24"/>
        </w:rPr>
        <w:t>“</w:t>
      </w:r>
      <w:r>
        <w:rPr>
          <w:b/>
          <w:bCs/>
          <w:sz w:val="24"/>
          <w:szCs w:val="24"/>
          <w:u w:val="single"/>
        </w:rPr>
        <w:t>Notes</w:t>
      </w:r>
      <w:r>
        <w:rPr>
          <w:b/>
          <w:bCs/>
          <w:sz w:val="24"/>
          <w:szCs w:val="24"/>
        </w:rPr>
        <w:t>”</w:t>
      </w:r>
      <w:r>
        <w:rPr>
          <w:sz w:val="24"/>
          <w:szCs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pPr>
      <w:r>
        <w:rPr>
          <w:sz w:val="24"/>
          <w:szCs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szCs w:val="24"/>
          <w:u w:val="single"/>
        </w:rPr>
        <w:t>provided</w:t>
      </w:r>
      <w:r>
        <w:rPr>
          <w:sz w:val="24"/>
          <w:szCs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This Note is subject to mandatory prepayment as provided in Article VII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THIS NOTE SHALL BE GOVERNED BY, AND SHALL BE CONSTRUED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widowControl/>
        <w:rPr>
          <w:sz w:val="24"/>
          <w:szCs w:val="24"/>
        </w:rPr>
      </w:pPr>
      <w:r>
        <w:rPr>
          <w:sz w:val="24"/>
          <w:szCs w:val="24"/>
        </w:rPr>
        <w:tab/>
        <w:t>IN WITNESS WHEREOF, the Trust has caused this Note to be executed and delivered by its duly authorized officer, as of the day and year and at the place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r>
      <w:r>
        <w:rPr>
          <w:b/>
          <w:bCs/>
          <w:sz w:val="24"/>
          <w:szCs w:val="24"/>
        </w:rPr>
        <w:t>HAWAII II 125-0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860" w:start="4860" w:end="0"/>
        <w:rPr>
          <w:sz w:val="24"/>
          <w:szCs w:val="24"/>
        </w:rPr>
      </w:pPr>
      <w:r>
        <w:rPr>
          <w:sz w:val="24"/>
          <w:szCs w:val="24"/>
        </w:rPr>
        <w:tab/>
        <w:tab/>
        <w:tab/>
        <w:tab/>
        <w:tab/>
        <w:tab/>
        <w:t>By:</w:t>
        <w:tab/>
        <w:t>Wilmington Trust Company, not in its individual capacity, 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 xml:space="preserve">By: </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rPr>
        <w:t>TRANSACTIONS ON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60"/>
        <w:gridCol w:w="1560"/>
      </w:tblGrid>
      <w:tr>
        <w:trPr>
          <w:trHeight w:val="403" w:hRule="atLeast"/>
        </w:trPr>
        <w:tc>
          <w:tcPr>
            <w:tcW w:w="1560" w:type="dxa"/>
            <w:tcBorders>
              <w:bottom w:val="single" w:sz="6" w:space="0" w:color="000000"/>
            </w:tcBorders>
          </w:tcPr>
          <w:p>
            <w:pPr>
              <w:pStyle w:val="Normal"/>
              <w:widowControl/>
              <w:jc w:val="center"/>
              <w:rPr>
                <w:sz w:val="24"/>
                <w:szCs w:val="24"/>
              </w:rPr>
            </w:pPr>
            <w:r>
              <w:rPr>
                <w:b/>
                <w:bCs/>
                <w:sz w:val="24"/>
                <w:szCs w:val="24"/>
              </w:rPr>
              <w:t>Date</w:t>
            </w:r>
          </w:p>
        </w:tc>
        <w:tc>
          <w:tcPr>
            <w:tcW w:w="1560" w:type="dxa"/>
            <w:tcBorders>
              <w:bottom w:val="single" w:sz="6" w:space="0" w:color="000000"/>
            </w:tcBorders>
          </w:tcPr>
          <w:p>
            <w:pPr>
              <w:pStyle w:val="Normal"/>
              <w:widowControl/>
              <w:jc w:val="center"/>
              <w:rPr>
                <w:b/>
                <w:bCs/>
                <w:sz w:val="24"/>
                <w:szCs w:val="24"/>
              </w:rPr>
            </w:pPr>
            <w:r>
              <w:rPr>
                <w:b/>
                <w:bCs/>
                <w:sz w:val="24"/>
                <w:szCs w:val="24"/>
              </w:rPr>
              <w:t>Amount of</w:t>
            </w:r>
          </w:p>
          <w:p>
            <w:pPr>
              <w:pStyle w:val="Normal"/>
              <w:widowControl/>
              <w:jc w:val="center"/>
              <w:rPr>
                <w:b/>
                <w:bCs/>
                <w:sz w:val="24"/>
                <w:szCs w:val="24"/>
              </w:rPr>
            </w:pPr>
            <w:r>
              <w:rPr>
                <w:b/>
                <w:bCs/>
                <w:sz w:val="24"/>
                <w:szCs w:val="24"/>
              </w:rPr>
              <w:t>Advance Made</w:t>
            </w:r>
          </w:p>
          <w:p>
            <w:pPr>
              <w:pStyle w:val="Normal"/>
              <w:widowControl/>
              <w:jc w:val="center"/>
              <w:rPr>
                <w:sz w:val="24"/>
                <w:szCs w:val="24"/>
              </w:rPr>
            </w:pPr>
            <w:r>
              <w:rPr>
                <w:b/>
                <w:bCs/>
                <w:sz w:val="24"/>
                <w:szCs w:val="24"/>
              </w:rPr>
              <w:t>This Date</w:t>
            </w:r>
          </w:p>
        </w:tc>
        <w:tc>
          <w:tcPr>
            <w:tcW w:w="1492" w:type="dxa"/>
            <w:tcBorders>
              <w:bottom w:val="single" w:sz="6" w:space="0" w:color="000000"/>
            </w:tcBorders>
          </w:tcPr>
          <w:p>
            <w:pPr>
              <w:pStyle w:val="Normal"/>
              <w:widowControl/>
              <w:jc w:val="center"/>
              <w:rPr>
                <w:b/>
                <w:bCs/>
                <w:sz w:val="24"/>
                <w:szCs w:val="24"/>
              </w:rPr>
            </w:pPr>
            <w:r>
              <w:rPr>
                <w:b/>
                <w:bCs/>
                <w:sz w:val="24"/>
                <w:szCs w:val="24"/>
              </w:rPr>
              <w:t>Maturity</w:t>
            </w:r>
          </w:p>
          <w:p>
            <w:pPr>
              <w:pStyle w:val="Normal"/>
              <w:widowControl/>
              <w:jc w:val="center"/>
              <w:rPr>
                <w:sz w:val="24"/>
                <w:szCs w:val="24"/>
              </w:rPr>
            </w:pPr>
            <w:r>
              <w:rPr>
                <w:b/>
                <w:bCs/>
                <w:sz w:val="24"/>
                <w:szCs w:val="24"/>
              </w:rPr>
              <w:t>of Advance</w:t>
            </w:r>
          </w:p>
        </w:tc>
        <w:tc>
          <w:tcPr>
            <w:tcW w:w="1627" w:type="dxa"/>
            <w:tcBorders>
              <w:bottom w:val="single" w:sz="6" w:space="0" w:color="000000"/>
            </w:tcBorders>
          </w:tcPr>
          <w:p>
            <w:pPr>
              <w:pStyle w:val="Normal"/>
              <w:widowControl/>
              <w:jc w:val="center"/>
              <w:rPr>
                <w:b/>
                <w:bCs/>
                <w:sz w:val="24"/>
                <w:szCs w:val="24"/>
              </w:rPr>
            </w:pPr>
            <w:r>
              <w:rPr>
                <w:b/>
                <w:bCs/>
                <w:sz w:val="24"/>
                <w:szCs w:val="24"/>
              </w:rPr>
              <w:t>Amount of</w:t>
            </w:r>
          </w:p>
          <w:p>
            <w:pPr>
              <w:pStyle w:val="Normal"/>
              <w:widowControl/>
              <w:jc w:val="center"/>
              <w:rPr>
                <w:b/>
                <w:bCs/>
                <w:sz w:val="24"/>
                <w:szCs w:val="24"/>
              </w:rPr>
            </w:pPr>
            <w:r>
              <w:rPr>
                <w:b/>
                <w:bCs/>
                <w:sz w:val="24"/>
                <w:szCs w:val="24"/>
              </w:rPr>
              <w:t>Principal Paid</w:t>
            </w:r>
          </w:p>
          <w:p>
            <w:pPr>
              <w:pStyle w:val="Normal"/>
              <w:widowControl/>
              <w:jc w:val="center"/>
              <w:rPr>
                <w:sz w:val="24"/>
                <w:szCs w:val="24"/>
              </w:rPr>
            </w:pPr>
            <w:r>
              <w:rPr>
                <w:b/>
                <w:bCs/>
                <w:sz w:val="24"/>
                <w:szCs w:val="24"/>
              </w:rPr>
              <w:t>This Date</w:t>
            </w:r>
          </w:p>
        </w:tc>
        <w:tc>
          <w:tcPr>
            <w:tcW w:w="1560" w:type="dxa"/>
            <w:tcBorders>
              <w:bottom w:val="single" w:sz="6" w:space="0" w:color="000000"/>
            </w:tcBorders>
          </w:tcPr>
          <w:p>
            <w:pPr>
              <w:pStyle w:val="Normal"/>
              <w:widowControl/>
              <w:jc w:val="center"/>
              <w:rPr>
                <w:b/>
                <w:bCs/>
                <w:sz w:val="24"/>
                <w:szCs w:val="24"/>
              </w:rPr>
            </w:pPr>
            <w:r>
              <w:rPr>
                <w:b/>
                <w:bCs/>
                <w:sz w:val="24"/>
                <w:szCs w:val="24"/>
              </w:rPr>
              <w:t>Outstanding</w:t>
            </w:r>
          </w:p>
          <w:p>
            <w:pPr>
              <w:pStyle w:val="Normal"/>
              <w:widowControl/>
              <w:jc w:val="center"/>
              <w:rPr>
                <w:b/>
                <w:bCs/>
                <w:sz w:val="24"/>
                <w:szCs w:val="24"/>
              </w:rPr>
            </w:pPr>
            <w:r>
              <w:rPr>
                <w:b/>
                <w:bCs/>
                <w:sz w:val="24"/>
                <w:szCs w:val="24"/>
              </w:rPr>
              <w:t>Principal</w:t>
            </w:r>
          </w:p>
          <w:p>
            <w:pPr>
              <w:pStyle w:val="Normal"/>
              <w:widowControl/>
              <w:jc w:val="center"/>
              <w:rPr>
                <w:b/>
                <w:bCs/>
                <w:sz w:val="24"/>
                <w:szCs w:val="24"/>
              </w:rPr>
            </w:pPr>
            <w:r>
              <w:rPr>
                <w:b/>
                <w:bCs/>
                <w:sz w:val="24"/>
                <w:szCs w:val="24"/>
              </w:rPr>
              <w:t>Balance</w:t>
            </w:r>
          </w:p>
          <w:p>
            <w:pPr>
              <w:pStyle w:val="Normal"/>
              <w:widowControl/>
              <w:jc w:val="center"/>
              <w:rPr>
                <w:sz w:val="24"/>
                <w:szCs w:val="24"/>
              </w:rPr>
            </w:pPr>
            <w:r>
              <w:rPr>
                <w:b/>
                <w:bCs/>
                <w:sz w:val="24"/>
                <w:szCs w:val="24"/>
              </w:rPr>
              <w:t>This Date</w:t>
            </w:r>
          </w:p>
        </w:tc>
        <w:tc>
          <w:tcPr>
            <w:tcW w:w="1560" w:type="dxa"/>
            <w:tcBorders>
              <w:bottom w:val="single" w:sz="6" w:space="0" w:color="000000"/>
            </w:tcBorders>
          </w:tcPr>
          <w:p>
            <w:pPr>
              <w:pStyle w:val="Normal"/>
              <w:widowControl/>
              <w:jc w:val="center"/>
              <w:rPr>
                <w:b/>
                <w:bCs/>
                <w:sz w:val="24"/>
                <w:szCs w:val="24"/>
              </w:rPr>
            </w:pPr>
            <w:r>
              <w:rPr>
                <w:b/>
                <w:bCs/>
                <w:sz w:val="24"/>
                <w:szCs w:val="24"/>
              </w:rPr>
              <w:t>Notation</w:t>
            </w:r>
          </w:p>
          <w:p>
            <w:pPr>
              <w:pStyle w:val="Normal"/>
              <w:widowControl/>
              <w:jc w:val="center"/>
              <w:rPr>
                <w:sz w:val="24"/>
                <w:szCs w:val="24"/>
              </w:rPr>
            </w:pPr>
            <w:r>
              <w:rPr>
                <w:b/>
                <w:bCs/>
                <w:sz w:val="24"/>
                <w:szCs w:val="24"/>
              </w:rPr>
              <w:t>Made By</w:t>
            </w:r>
          </w:p>
        </w:tc>
      </w:tr>
      <w:tr>
        <w:trPr>
          <w:trHeight w:val="403" w:hRule="atLeast"/>
        </w:trPr>
        <w:tc>
          <w:tcPr>
            <w:tcW w:w="1560"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c>
          <w:tcPr>
            <w:tcW w:w="1492" w:type="dxa"/>
            <w:tcBorders/>
          </w:tcPr>
          <w:p>
            <w:pPr>
              <w:pStyle w:val="Normal"/>
              <w:widowControl/>
              <w:snapToGrid w:val="false"/>
              <w:rPr>
                <w:sz w:val="24"/>
                <w:szCs w:val="24"/>
              </w:rPr>
            </w:pPr>
            <w:r>
              <w:rPr>
                <w:sz w:val="24"/>
                <w:szCs w:val="24"/>
              </w:rPr>
            </w:r>
          </w:p>
        </w:tc>
        <w:tc>
          <w:tcPr>
            <w:tcW w:w="1627"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r>
      <w:tr>
        <w:trPr>
          <w:trHeight w:val="403" w:hRule="atLeast"/>
        </w:trPr>
        <w:tc>
          <w:tcPr>
            <w:tcW w:w="1560"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c>
          <w:tcPr>
            <w:tcW w:w="1492" w:type="dxa"/>
            <w:tcBorders/>
          </w:tcPr>
          <w:p>
            <w:pPr>
              <w:pStyle w:val="Normal"/>
              <w:widowControl/>
              <w:snapToGrid w:val="false"/>
              <w:rPr>
                <w:sz w:val="24"/>
                <w:szCs w:val="24"/>
              </w:rPr>
            </w:pPr>
            <w:r>
              <w:rPr>
                <w:sz w:val="24"/>
                <w:szCs w:val="24"/>
              </w:rPr>
            </w:r>
          </w:p>
        </w:tc>
        <w:tc>
          <w:tcPr>
            <w:tcW w:w="1627"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r>
      <w:tr>
        <w:trPr>
          <w:trHeight w:val="403" w:hRule="atLeast"/>
        </w:trPr>
        <w:tc>
          <w:tcPr>
            <w:tcW w:w="1560"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c>
          <w:tcPr>
            <w:tcW w:w="1492" w:type="dxa"/>
            <w:tcBorders/>
          </w:tcPr>
          <w:p>
            <w:pPr>
              <w:pStyle w:val="Normal"/>
              <w:widowControl/>
              <w:snapToGrid w:val="false"/>
              <w:rPr>
                <w:sz w:val="24"/>
                <w:szCs w:val="24"/>
              </w:rPr>
            </w:pPr>
            <w:r>
              <w:rPr>
                <w:sz w:val="24"/>
                <w:szCs w:val="24"/>
              </w:rPr>
            </w:r>
          </w:p>
        </w:tc>
        <w:tc>
          <w:tcPr>
            <w:tcW w:w="1627"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r>
      <w:tr>
        <w:trPr>
          <w:trHeight w:val="403" w:hRule="atLeast"/>
        </w:trPr>
        <w:tc>
          <w:tcPr>
            <w:tcW w:w="1560"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c>
          <w:tcPr>
            <w:tcW w:w="1492" w:type="dxa"/>
            <w:tcBorders/>
          </w:tcPr>
          <w:p>
            <w:pPr>
              <w:pStyle w:val="Normal"/>
              <w:widowControl/>
              <w:snapToGrid w:val="false"/>
              <w:rPr>
                <w:sz w:val="24"/>
                <w:szCs w:val="24"/>
              </w:rPr>
            </w:pPr>
            <w:r>
              <w:rPr>
                <w:sz w:val="24"/>
                <w:szCs w:val="24"/>
              </w:rPr>
            </w:r>
          </w:p>
        </w:tc>
        <w:tc>
          <w:tcPr>
            <w:tcW w:w="1627"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c>
          <w:tcPr>
            <w:tcW w:w="1560" w:type="dxa"/>
            <w:tcBorders/>
          </w:tcPr>
          <w:p>
            <w:pPr>
              <w:pStyle w:val="Normal"/>
              <w:widowControl/>
              <w:snapToGrid w:val="false"/>
              <w:rPr>
                <w:sz w:val="24"/>
                <w:szCs w:val="24"/>
              </w:rPr>
            </w:pPr>
            <w:r>
              <w:rPr>
                <w:sz w:val="24"/>
                <w:szCs w:val="24"/>
              </w:rPr>
            </w:r>
          </w:p>
        </w:tc>
      </w:tr>
    </w:tbl>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sectPr>
          <w:footerReference w:type="default" r:id="rId16"/>
          <w:type w:val="nextPage"/>
          <w:pgSz w:w="12240" w:h="15840"/>
          <w:pgMar w:left="1440" w:right="1440" w:gutter="0" w:header="0" w:top="1440" w:footer="1104" w:bottom="1160"/>
          <w:pgNumType w:start="1" w:fmt="decimal"/>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EXHIBIT 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Form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INSTRUMENT OF ASSIGNMENT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Dated as of 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 xml:space="preserve">Reference is made to the Facility Agreement, dated as of November </w:t>
      </w:r>
      <w:r>
        <w:rPr>
          <w:b/>
          <w:bCs/>
          <w:sz w:val="24"/>
          <w:szCs w:val="24"/>
        </w:rPr>
        <w:t>[</w:t>
      </w:r>
      <w:r>
        <w:rPr>
          <w:sz w:val="24"/>
          <w:szCs w:val="24"/>
        </w:rPr>
        <w:t>17</w:t>
      </w:r>
      <w:r>
        <w:rPr>
          <w:b/>
          <w:bCs/>
          <w:sz w:val="24"/>
          <w:szCs w:val="24"/>
        </w:rPr>
        <w:t>]</w:t>
      </w:r>
      <w:r>
        <w:rPr>
          <w:sz w:val="24"/>
          <w:szCs w:val="24"/>
        </w:rPr>
        <w:t xml:space="preserve">, 2000 (as the same may hereafter be amended or otherwise modified from time to time, the </w:t>
      </w:r>
      <w:r>
        <w:rPr>
          <w:b/>
          <w:bCs/>
          <w:sz w:val="24"/>
          <w:szCs w:val="24"/>
        </w:rPr>
        <w:t>“</w:t>
      </w:r>
      <w:r>
        <w:rPr>
          <w:b/>
          <w:bCs/>
          <w:sz w:val="24"/>
          <w:szCs w:val="24"/>
          <w:u w:val="single"/>
        </w:rPr>
        <w:t>Facility Agreement</w:t>
      </w:r>
      <w:r>
        <w:rPr>
          <w:b/>
          <w:bCs/>
          <w:sz w:val="24"/>
          <w:szCs w:val="24"/>
        </w:rPr>
        <w:t>”</w:t>
      </w:r>
      <w:r>
        <w:rPr>
          <w:sz w:val="24"/>
          <w:szCs w:val="24"/>
        </w:rPr>
        <w:t>), among (</w:t>
      </w:r>
      <w:r>
        <w:rPr>
          <w:i/>
          <w:iCs/>
          <w:sz w:val="24"/>
          <w:szCs w:val="24"/>
        </w:rPr>
        <w:t>inter alia</w:t>
      </w:r>
      <w:r>
        <w:rPr>
          <w:sz w:val="24"/>
          <w:szCs w:val="24"/>
        </w:rPr>
        <w:t xml:space="preserve">) Hawaii II 125-0 Trust, as issuer of the Notes and Canadian Imperial Bank of Commerce, as Agent, the Lenders named therein and CIBC World Markets Corp., as Arranger.  Pursuant to the Facility Agreement _________________ (the </w:t>
      </w:r>
      <w:r>
        <w:rPr>
          <w:b/>
          <w:bCs/>
          <w:sz w:val="24"/>
          <w:szCs w:val="24"/>
        </w:rPr>
        <w:t>“</w:t>
      </w:r>
      <w:r>
        <w:rPr>
          <w:b/>
          <w:bCs/>
          <w:sz w:val="24"/>
          <w:szCs w:val="24"/>
          <w:u w:val="single"/>
        </w:rPr>
        <w:t>Assignor</w:t>
      </w:r>
      <w:r>
        <w:rPr>
          <w:b/>
          <w:bCs/>
          <w:sz w:val="24"/>
          <w:szCs w:val="24"/>
        </w:rPr>
        <w:t>”</w:t>
      </w:r>
      <w:r>
        <w:rPr>
          <w:sz w:val="24"/>
          <w:szCs w:val="24"/>
        </w:rPr>
        <w:t>) has purchased the Note issued by the Trust to the Assignor.  Each capitalized term used herein and not otherwise defined herein shall have the meanings set forth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 xml:space="preserve">The Assignor and _______________________ (the </w:t>
      </w:r>
      <w:r>
        <w:rPr>
          <w:b/>
          <w:bCs/>
          <w:sz w:val="24"/>
          <w:szCs w:val="24"/>
        </w:rPr>
        <w:t>“</w:t>
      </w:r>
      <w:r>
        <w:rPr>
          <w:b/>
          <w:bCs/>
          <w:sz w:val="24"/>
          <w:szCs w:val="24"/>
          <w:u w:val="single"/>
        </w:rPr>
        <w:t>Assignee</w:t>
      </w:r>
      <w:r>
        <w:rPr>
          <w:b/>
          <w:bCs/>
          <w:sz w:val="24"/>
          <w:szCs w:val="24"/>
        </w:rPr>
        <w:t>”</w:t>
      </w:r>
      <w:r>
        <w:rPr>
          <w:sz w:val="24"/>
          <w:szCs w:val="24"/>
        </w:rPr>
        <w:t>) agree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bCs/>
          <w:sz w:val="24"/>
          <w:szCs w:val="24"/>
        </w:rPr>
        <w:t>“</w:t>
      </w:r>
      <w:r>
        <w:rPr>
          <w:b/>
          <w:bCs/>
          <w:sz w:val="24"/>
          <w:szCs w:val="24"/>
          <w:u w:val="single"/>
        </w:rPr>
        <w:t>Assigned Interest</w:t>
      </w:r>
      <w:r>
        <w:rPr>
          <w:b/>
          <w:bCs/>
          <w:sz w:val="24"/>
          <w:szCs w:val="24"/>
        </w:rPr>
        <w:t>”</w:t>
      </w:r>
      <w:r>
        <w:rPr>
          <w:sz w:val="24"/>
          <w:szCs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bCs/>
          <w:sz w:val="24"/>
          <w:szCs w:val="24"/>
        </w:rPr>
        <w:t>“</w:t>
      </w:r>
      <w:r>
        <w:rPr>
          <w:b/>
          <w:bCs/>
          <w:sz w:val="24"/>
          <w:szCs w:val="24"/>
          <w:u w:val="single"/>
        </w:rPr>
        <w:t>Effective Date</w:t>
      </w:r>
      <w:r>
        <w:rPr>
          <w:b/>
          <w:bCs/>
          <w:sz w:val="24"/>
          <w:szCs w:val="24"/>
        </w:rPr>
        <w:t>”</w:t>
      </w:r>
      <w:r>
        <w:rPr>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5.</w:t>
        <w:tab/>
        <w:t>The Assignor and the Assignee hereby agree that the [Assignor] [Assignee] will pay to the Agent the processing fee referred to in Section 22.2(c)(ix) of the Facility Agreement upon the delivery hereof.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8.</w:t>
        <w:tab/>
        <w:t>The Trust and each Finance Party shall be entitled to rely upon and enforce this Instrument of Assignment against the Assignor and the Assignee in all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9.</w:t>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numPr>
          <w:ilvl w:val="0"/>
          <w:numId w:val="0"/>
        </w:numPr>
        <w:rPr>
          <w:sz w:val="24"/>
          <w:szCs w:val="24"/>
        </w:rPr>
      </w:pPr>
      <w:r>
        <w:rPr>
          <w:sz w:val="24"/>
          <w:szCs w:val="24"/>
        </w:rPr>
      </w:r>
    </w:p>
    <w:p>
      <w:pPr>
        <w:sectPr>
          <w:footerReference w:type="default" r:id="rId17"/>
          <w:footerReference w:type="first" r:id="rId18"/>
          <w:type w:val="nextPage"/>
          <w:pgSz w:w="12240" w:h="15840"/>
          <w:pgMar w:left="1440" w:right="1440" w:gutter="0" w:header="0" w:top="1440" w:footer="1104" w:bottom="1160"/>
          <w:pgNumType w:start="1" w:fmt="decimal"/>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IN WITNESS WHEREOF, the parties hereto have caused this Instrument of Assignment to be executed by their respective officers thereunto duly authorized,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ab/>
        <w:t>NAME OF ASSIGNOR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ab/>
        <w:t>By:</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ab/>
        <w:t>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ab/>
        <w:t>By:</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ab/>
        <w:t>LENDING OFFICE (and address for notices):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Accepted this _____ day of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u w:val="single"/>
        </w:rPr>
        <w:t xml:space="preserve">                                           </w:t>
      </w:r>
      <w:r>
        <w:rPr>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COMMERCE,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By:</w:t>
      </w:r>
      <w:r>
        <w:rPr>
          <w:sz w:val="24"/>
          <w:szCs w:val="24"/>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Name:</w:t>
      </w:r>
      <w:r>
        <w:rPr>
          <w:sz w:val="24"/>
          <w:szCs w:val="24"/>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Title:</w:t>
      </w:r>
      <w:r>
        <w:rPr>
          <w:sz w:val="24"/>
          <w:szCs w:val="24"/>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sectPr>
          <w:type w:val="continuous"/>
          <w:pgSz w:w="12240" w:h="15840"/>
          <w:pgMar w:left="1440" w:right="1440" w:gutter="0" w:header="0" w:top="1440" w:footer="1104" w:bottom="1160"/>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rPr>
          <w:b/>
          <w:bCs/>
          <w:sz w:val="24"/>
          <w:szCs w:val="24"/>
        </w:rPr>
      </w:pPr>
      <w:r>
        <w:rPr>
          <w:b/>
          <w:bCs/>
          <w:sz w:val="24"/>
          <w:szCs w:val="24"/>
        </w:rPr>
        <w:tab/>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Instrument of Assignment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pPr>
      <w:r>
        <w:rPr>
          <w:b/>
          <w:bCs/>
          <w:sz w:val="24"/>
          <w:szCs w:val="24"/>
        </w:rPr>
        <w:t>Dated as of [</w:t>
      </w:r>
      <w:r>
        <w:rPr>
          <w:b/>
          <w:bCs/>
          <w:sz w:val="24"/>
          <w:szCs w:val="24"/>
          <w:u w:val="single"/>
        </w:rPr>
        <w:t xml:space="preserve">                         </w:t>
      </w:r>
      <w:r>
        <w:rPr>
          <w:b/>
          <w:bCs/>
          <w:sz w:val="24"/>
          <w:szCs w:val="24"/>
        </w:rPr>
        <w:t xml:space="preserve"> ___, 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Section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w:t>
        <w:tab/>
        <w:t>Total Principal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Amount of Assignor’s Outstanding Note</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(b)</w:t>
        <w:tab/>
        <w:t>Percentage Interest of Note Assigned*</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(c)</w:t>
        <w:tab/>
        <w:t>Amount of Assigned Interest with respect to Notes</w:t>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(d)</w:t>
        <w:tab/>
        <w:t>Percentage Interest of Notes Retained after giving effect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to all Notes Assigned</w:t>
        <w:tab/>
        <w:tab/>
        <w:tab/>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Section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w:t>
        <w:tab/>
        <w:t>Assignor’s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(b)</w:t>
        <w:tab/>
        <w:t>Assignee’s Note Amount (after Assignment)</w:t>
        <w:tab/>
        <w:tab/>
        <w:tab/>
        <w:tab/>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Section 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Effective Date**</w:t>
        <w:tab/>
        <w:tab/>
        <w:tab/>
        <w:tab/>
        <w:tab/>
        <w:tab/>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 </w:t>
      </w:r>
      <w:r>
        <w:rPr>
          <w:sz w:val="24"/>
          <w:szCs w:val="24"/>
        </w:rPr>
        <w:t>*</w:t>
        <w:tab/>
        <w:t>Specify percentage to no more than 8 decimal points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rPr>
          <w:sz w:val="24"/>
          <w:szCs w:val="24"/>
        </w:rPr>
      </w:pPr>
      <w:r>
        <w:rPr>
          <w:sz w:val="24"/>
          <w:szCs w:val="24"/>
        </w:rPr>
        <w:t>**</w:t>
        <w:tab/>
        <w:t xml:space="preserve">See Section 23.2(b) of the Facility Agreement.  Such date shall be at least five Business </w:t>
        <w:tab/>
        <w:t>Days after the execution of this Instrument of Assignment.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rPr>
          <w:b/>
          <w:bCs/>
          <w:sz w:val="24"/>
          <w:szCs w:val="24"/>
        </w:rPr>
      </w:pPr>
      <w:r>
        <w:rPr>
          <w:b/>
          <w:bCs/>
          <w:sz w:val="24"/>
          <w:szCs w:val="24"/>
        </w:rPr>
        <w:tab/>
        <w:t>Schedule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Instrument of Assignment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Dated as of [_____________ ___, 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r>
      <w:r>
        <w:rPr>
          <w:sz w:val="24"/>
          <w:szCs w:val="24"/>
          <w:u w:val="single"/>
        </w:rPr>
        <w:t>CREDIT CONTACT</w:t>
      </w:r>
      <w:r>
        <w:rPr>
          <w:sz w:val="24"/>
          <w:szCs w:val="24"/>
        </w:rPr>
        <w:tab/>
        <w:tab/>
      </w:r>
      <w:r>
        <w:rPr>
          <w:sz w:val="24"/>
          <w:szCs w:val="24"/>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Name:</w:t>
        <w:tab/>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Title:</w:t>
        <w:tab/>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Address: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(street):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(city, state):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(zip code):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Phone Number: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Fax Number: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 </w:t>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EXHIBIT 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rPr>
        <w:t>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Method of Payment:</w:t>
        <w:tab/>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Chips:</w:t>
        <w:tab/>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Pay to (Name of Bank):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City, State: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ABA Number: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Account Number: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Account Name: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 </w:t>
      </w:r>
      <w:r>
        <w:rPr>
          <w:sz w:val="24"/>
          <w:szCs w:val="24"/>
        </w:rPr>
        <w:t xml:space="preserve">Reference: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Attention: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Operative Documents Sent: Yes _____ No 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 xml:space="preserve">Initial:  </w:t>
      </w:r>
      <w:r>
        <w:rPr>
          <w:sz w:val="24"/>
          <w:szCs w:val="24"/>
          <w:u w:val="single"/>
        </w:rPr>
        <w:t xml:space="preserve">                 </w:t>
      </w:r>
      <w:r>
        <w:rPr>
          <w:sz w:val="24"/>
          <w:szCs w:val="24"/>
        </w:rPr>
        <w:t xml:space="preserve">   Date:  </w:t>
      </w:r>
      <w:r>
        <w:rPr>
          <w:sz w:val="24"/>
          <w:szCs w:val="24"/>
          <w:u w:val="single"/>
        </w:rPr>
        <w:t xml:space="preserve">                   </w:t>
      </w:r>
    </w:p>
    <w:p>
      <w:pPr>
        <w:sectPr>
          <w:footerReference w:type="default" r:id="rId19"/>
          <w:type w:val="nextPage"/>
          <w:pgSz w:w="12240" w:h="15840"/>
          <w:pgMar w:left="1440" w:right="1440" w:gutter="0" w:header="0" w:top="1440" w:footer="1104" w:bottom="1160"/>
          <w:pgNumType w:fmt="decimal"/>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sectPr>
          <w:type w:val="continuous"/>
          <w:pgSz w:w="12240" w:h="15840"/>
          <w:pgMar w:left="1440" w:right="1440" w:gutter="0" w:header="0" w:top="1440" w:footer="1104" w:bottom="1160"/>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u w:val="single"/>
        </w:rPr>
      </w:pPr>
      <w:r>
        <w:rPr>
          <w:b/>
          <w:bCs/>
          <w:sz w:val="24"/>
          <w:szCs w:val="24"/>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u w:val="single"/>
        </w:rPr>
      </w:pPr>
      <w:r>
        <w:rPr>
          <w:sz w:val="24"/>
          <w:szCs w:val="24"/>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u w:val="single"/>
        </w:rPr>
      </w:pPr>
      <w:r>
        <w:rPr>
          <w:sz w:val="24"/>
          <w:szCs w:val="24"/>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u w:val="single"/>
        </w:rPr>
      </w:pPr>
      <w:r>
        <w:rPr>
          <w:sz w:val="24"/>
          <w:szCs w:val="24"/>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Methodology for Asset Valuation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Three types of assets will be eligible to be included as Underlying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szCs w:val="24"/>
          <w:u w:val="single"/>
        </w:rPr>
        <w:t>Danno Assets</w:t>
      </w:r>
      <w:r>
        <w:rPr>
          <w:sz w:val="24"/>
          <w:szCs w:val="24"/>
        </w:rPr>
        <w:t xml:space="preserve"> - cash flows from contractual obligations of third parties owed to Enron or one of its subsidiaries or majority owned affiliates; projected cash flows at levels calculated using Enron policies and procedures for similar assets.  The long-term unsecured senior debt of the applicable third parties must either be rated “BBB” by S&amp;P or “Baa” by Moody’s or the applicable asset must have such additional credit support as may be approved by the Agent in writing.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szCs w:val="24"/>
          <w:u w:val="single"/>
        </w:rPr>
        <w:t>Governor Assets</w:t>
      </w:r>
      <w:r>
        <w:rPr>
          <w:sz w:val="24"/>
          <w:szCs w:val="24"/>
        </w:rPr>
        <w:t xml:space="preserve"> - Enron’s or one of its subsidiary’s or majority owned affiliate’s interest in cash flows from operating assets owned by an entity controlled by Enron.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szCs w:val="24"/>
          <w:u w:val="single"/>
        </w:rPr>
        <w:t>McGarret Assets</w:t>
      </w:r>
      <w:r>
        <w:rPr>
          <w:sz w:val="24"/>
          <w:szCs w:val="24"/>
        </w:rPr>
        <w:t xml:space="preserve"> - equity interests in Enron subsidiaries, affiliates and third parties; provided that if any such interest is not a minority interest, the prior approval of the Agent is required.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Each asset must be free and clear of all Liens other than those disclosed to and approved by the Agent and the Subscriber.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Valuations of proposed Underlying Assets will be carried out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sectPr>
          <w:footerReference w:type="default" r:id="rId20"/>
          <w:type w:val="nextPage"/>
          <w:pgSz w:w="12240" w:h="15840"/>
          <w:pgMar w:left="1440" w:right="1440" w:gutter="0" w:header="0" w:top="1440" w:footer="1104" w:bottom="1160"/>
          <w:pgNumType w:start="1" w:fmt="decimal"/>
          <w:formProt w:val="false"/>
          <w:textDirection w:val="lrTb"/>
        </w:sectPr>
      </w:pPr>
    </w:p>
    <w:p>
      <w:pPr>
        <w:pStyle w:val="1BulletList"/>
        <w:widowControl/>
        <w:numPr>
          <w:ilvl w:val="0"/>
          <w:numId w:val="100"/>
        </w:numPr>
        <w:tabs>
          <w:tab w:val="left" w:pos="0" w:leader="none"/>
          <w:tab w:val="left" w:pos="720" w:leader="none"/>
          <w:tab w:val="left" w:pos="144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rPr/>
      </w:pPr>
      <w:r>
        <w:rPr/>
        <w:t>where publicly traded, asset must be valued within trading range during most recent 90 day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1BulletList"/>
        <w:widowControl/>
        <w:numPr>
          <w:ilvl w:val="0"/>
          <w:numId w:val="101"/>
        </w:numPr>
        <w:tabs>
          <w:tab w:val="left" w:pos="0" w:leader="none"/>
          <w:tab w:val="left" w:pos="720" w:leader="none"/>
          <w:tab w:val="left" w:pos="144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rPr/>
      </w:pPr>
      <w:r>
        <w:rPr/>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1BulletList"/>
        <w:widowControl/>
        <w:numPr>
          <w:ilvl w:val="0"/>
          <w:numId w:val="102"/>
        </w:numPr>
        <w:tabs>
          <w:tab w:val="left" w:pos="0" w:leader="none"/>
          <w:tab w:val="left" w:pos="720" w:leader="none"/>
          <w:tab w:val="left" w:pos="144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rPr/>
      </w:pPr>
      <w:r>
        <w:rPr/>
        <w:t>valuation to be consistent with Enron’s internal procedures for valuation of similar assets and with the particular procedures of the Enron business unit responsible for similar assets.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1BulletList"/>
        <w:widowControl/>
        <w:numPr>
          <w:ilvl w:val="0"/>
          <w:numId w:val="103"/>
        </w:numPr>
        <w:tabs>
          <w:tab w:val="left" w:pos="0" w:leader="none"/>
          <w:tab w:val="left" w:pos="720" w:leader="none"/>
          <w:tab w:val="left" w:pos="1440" w:leader="none"/>
          <w:tab w:val="left" w:pos="2160" w:leader="none"/>
          <w:tab w:val="left" w:pos="2880" w:leader="none"/>
          <w:tab w:val="left" w:pos="3600" w:leader="none"/>
          <w:tab w:val="left" w:pos="414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1440" w:start="1440"/>
        <w:rPr/>
      </w:pPr>
      <w:r>
        <w:rPr/>
        <w:t>where value based upon third party derivative transaction, counterparty must have investment grade rating (unless deemed to be approved by the Lenders pursuant to Section 5.2).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sectPr>
          <w:type w:val="continuous"/>
          <w:pgSz w:w="12240" w:h="15840"/>
          <w:pgMar w:left="1440" w:right="1440" w:gutter="0" w:header="0" w:top="1440" w:footer="1104" w:bottom="1160"/>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u w:val="single"/>
        </w:rPr>
      </w:pPr>
      <w:r>
        <w:rPr>
          <w:b/>
          <w:bCs/>
          <w:sz w:val="24"/>
          <w:szCs w:val="24"/>
          <w:u w:val="single"/>
        </w:rPr>
        <w:t>EXHIBIT 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u w:val="single"/>
        </w:rPr>
      </w:pPr>
      <w:r>
        <w:rPr>
          <w:sz w:val="24"/>
          <w:szCs w:val="24"/>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u w:val="single"/>
        </w:rPr>
        <w:t xml:space="preserve">Part </w:t>
      </w:r>
      <w:ins w:id="251" w:author="foobar" w:date="2000-11-09T12:47:00Z">
        <w:r>
          <w:fldChar w:fldCharType="begin"/>
        </w:r>
        <w:r>
          <w:rPr/>
          <w:instrText xml:space="preserve"> TC "Part " \l 2 </w:instrText>
        </w:r>
      </w:ins>
      <w:r>
        <w:rPr/>
        <w:fldChar w:fldCharType="separate"/>
      </w:r>
      <w:ins w:id="252" w:author="foobar" w:date="2000-11-09T12:47:00Z">
        <w:r>
          <w:rPr/>
        </w:r>
      </w:ins>
      <w:r>
        <w:rPr/>
        <w:fldChar w:fldCharType="end"/>
      </w:r>
      <w:r>
        <w:rPr>
          <w:sz w:val="24"/>
          <w:szCs w:val="24"/>
          <w:u w:val="single"/>
        </w:rPr>
        <w:t xml:space="preserve"> 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Model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The Model Structure may be summarized as follows (the events specified below are deemed to occur simultaneously):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szCs w:val="24"/>
        </w:rPr>
        <w:tab/>
        <w:t>1.</w:t>
        <w:tab/>
        <w:t xml:space="preserve">In respect of each Underlying Asset, a new Series is established pursuant to a Series Supplement (the </w:t>
      </w:r>
      <w:r>
        <w:rPr>
          <w:b/>
          <w:bCs/>
          <w:sz w:val="24"/>
          <w:szCs w:val="24"/>
        </w:rPr>
        <w:t>“</w:t>
      </w:r>
      <w:r>
        <w:rPr>
          <w:b/>
          <w:bCs/>
          <w:sz w:val="24"/>
          <w:szCs w:val="24"/>
          <w:u w:val="single"/>
        </w:rPr>
        <w:t>Applicable Series</w:t>
      </w:r>
      <w:r>
        <w:rPr>
          <w:b/>
          <w:bCs/>
          <w:sz w:val="24"/>
          <w:szCs w:val="24"/>
        </w:rPr>
        <w:t>”</w:t>
      </w:r>
      <w:r>
        <w:rPr>
          <w:sz w:val="24"/>
          <w:szCs w:val="24"/>
        </w:rPr>
        <w:t>), and a new Asset LLC and a new Transferor may be established as Delaware limited liability companies on the terms of an Asset LLC Agreement and a Transferor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(b)</w:t>
        <w:tab/>
        <w:t>If there is a pre-existing Asset LLC and a pre-existing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3.</w:t>
        <w:tab/>
        <w:t>If there is a new Asset LLC and a new Transferor with respect to the Applicable Series, Transferor issues a member interest to the Sponsor representing 100% economic interest and 100% voting control.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4.</w:t>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5.</w:t>
        <w:tab/>
        <w:t>If there is a new Asset LLC and a new Transferor with respect to the Applicable Series, Asset LLC makes a special distribution to the Sponsor in an amount equal to the Advanced Amount.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6.</w:t>
        <w:tab/>
        <w:t>The Trust issues a Series Certificate in consideration of an equity contribution from the Series Certificate holder in an amount equal to the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7.</w:t>
        <w:tab/>
        <w:t>The Trust draws down a Tranche pursuant to the Facility Agreement in an amount equal to the valuation of the Underlying Asset specified in the Asset Notice, less Certificate Base Amount of the Series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szCs w:val="24"/>
        </w:rPr>
        <w:tab/>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iCs/>
          <w:sz w:val="24"/>
          <w:szCs w:val="24"/>
        </w:rPr>
        <w:t>or</w:t>
      </w:r>
      <w:r>
        <w:rPr>
          <w:sz w:val="24"/>
          <w:szCs w:val="24"/>
        </w:rPr>
        <w:t xml:space="preserve"> (b) the Sponsor capitalizing Asset LLC by issuing a demand note in favor of Asset LLC; </w:t>
      </w:r>
      <w:r>
        <w:rPr>
          <w:i/>
          <w:iCs/>
          <w:sz w:val="24"/>
          <w:szCs w:val="24"/>
        </w:rPr>
        <w:t xml:space="preserve">or </w:t>
      </w:r>
      <w:r>
        <w:rPr>
          <w:sz w:val="24"/>
          <w:szCs w:val="24"/>
        </w:rPr>
        <w:t>(c) a combination of (a) and (b), above,</w:t>
      </w:r>
      <w:r>
        <w:rPr>
          <w:i/>
          <w:iCs/>
          <w:sz w:val="24"/>
          <w:szCs w:val="24"/>
        </w:rPr>
        <w:t xml:space="preserve"> </w:t>
      </w:r>
      <w:r>
        <w:rPr>
          <w:sz w:val="24"/>
          <w:szCs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9.</w:t>
        <w:tab/>
        <w:t>An Underlying Asset will not conform with the Model Structure if (a) following Drawdown of the Tranche requested in the related Asset Notice, more than $145,500,000 in aggregate (including all Hawaii I Tranches) would have been drawn down under the Facility Agreement and the Hawaii I Facility Agreement in the aggregate with respect to Underlying Assets consisting of the obligations of or ownership interests in a single Person; or (b) the Tranche requested in the related Asset Notice is greater than $145,500,000 or less than $9,700,000.  The foregoing is not a limitation on any other reason why an Underlying Asset might not conform with the Model Structure.</w:t>
      </w:r>
    </w:p>
    <w:p>
      <w:pPr>
        <w:sectPr>
          <w:footerReference w:type="default" r:id="rId21"/>
          <w:type w:val="nextPage"/>
          <w:pgSz w:w="12240" w:h="15840"/>
          <w:pgMar w:left="1440" w:right="1440" w:gutter="0" w:header="0" w:top="1440" w:footer="1104" w:bottom="1160"/>
          <w:pgNumType w:fmt="decimal"/>
          <w:formProt w:val="false"/>
          <w:textDirection w:val="lrTb"/>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EXHIBIT 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Form of Independent Auctioneer Letter</w:t>
      </w:r>
    </w:p>
    <w:p>
      <w:pPr>
        <w:sectPr>
          <w:footerReference w:type="default" r:id="rId22"/>
          <w:footerReference w:type="first" r:id="rId23"/>
          <w:type w:val="nextPage"/>
          <w:pgSz w:w="12240" w:h="15840"/>
          <w:pgMar w:left="1440" w:right="1440" w:gutter="0" w:header="0" w:top="1440" w:footer="1104" w:bottom="1160"/>
          <w:pgNumType w:start="1" w:fmt="decimal"/>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EXHIBIT 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Form of Swap Confirmation</w:t>
      </w:r>
    </w:p>
    <w:p>
      <w:pPr>
        <w:sectPr>
          <w:footerReference w:type="default" r:id="rId24"/>
          <w:footerReference w:type="first" r:id="rId25"/>
          <w:type w:val="nextPage"/>
          <w:pgSz w:w="12240" w:h="15840"/>
          <w:pgMar w:left="1440" w:right="1440" w:gutter="0" w:header="0" w:top="1440" w:footer="1104" w:bottom="1160"/>
          <w:pgNumType w:start="1" w:fmt="decimal"/>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EXHIBIT 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Form of Transfer and Auction Agreement</w:t>
      </w:r>
    </w:p>
    <w:p>
      <w:pPr>
        <w:sectPr>
          <w:footerReference w:type="default" r:id="rId26"/>
          <w:footerReference w:type="first" r:id="rId27"/>
          <w:type w:val="nextPage"/>
          <w:pgSz w:w="12240" w:h="15840"/>
          <w:pgMar w:left="1440" w:right="1440" w:gutter="0" w:header="0" w:top="1440" w:footer="1104" w:bottom="1160"/>
          <w:pgNumType w:start="1" w:fmt="decimal"/>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EXHIBIT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u w:val="single"/>
        </w:rPr>
        <w:t>Part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Form of Asset LLC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r>
        <w:br w:type="page"/>
      </w:r>
    </w:p>
    <w:p>
      <w:pPr>
        <w:pStyle w:val="Normal"/>
        <w:widowControl/>
        <w:rPr>
          <w:sz w:val="24"/>
          <w:szCs w:val="24"/>
        </w:rPr>
      </w:pPr>
      <w:r>
        <w:rPr>
          <w:b/>
          <w:bCs/>
          <w:sz w:val="24"/>
          <w:szCs w:val="24"/>
          <w:u w:val="single"/>
        </w:rPr>
        <w:t>EXHIBIT I</w:t>
      </w:r>
    </w:p>
    <w:p>
      <w:pPr>
        <w:pStyle w:val="Normal"/>
        <w:widowControl/>
        <w:rPr>
          <w:sz w:val="24"/>
          <w:szCs w:val="24"/>
        </w:rPr>
      </w:pPr>
      <w:r>
        <w:rPr>
          <w:sz w:val="24"/>
          <w:szCs w:val="24"/>
        </w:rPr>
      </w:r>
    </w:p>
    <w:p>
      <w:pPr>
        <w:pStyle w:val="Normal"/>
        <w:widowControl/>
        <w:rPr>
          <w:sz w:val="24"/>
          <w:szCs w:val="24"/>
        </w:rPr>
      </w:pPr>
      <w:r>
        <w:rPr>
          <w:sz w:val="24"/>
          <w:szCs w:val="24"/>
          <w:u w:val="single"/>
        </w:rPr>
        <w:t>Part B</w:t>
      </w:r>
    </w:p>
    <w:p>
      <w:pPr>
        <w:pStyle w:val="Normal"/>
        <w:widowControl/>
        <w:rPr>
          <w:sz w:val="24"/>
          <w:szCs w:val="24"/>
        </w:rPr>
      </w:pPr>
      <w:r>
        <w:rPr>
          <w:sz w:val="24"/>
          <w:szCs w:val="24"/>
        </w:rPr>
      </w:r>
    </w:p>
    <w:p>
      <w:pPr>
        <w:pStyle w:val="Normal"/>
        <w:widowControl/>
        <w:rPr>
          <w:sz w:val="24"/>
          <w:szCs w:val="24"/>
        </w:rPr>
      </w:pPr>
      <w:r>
        <w:rPr>
          <w:sz w:val="24"/>
          <w:szCs w:val="24"/>
        </w:rPr>
        <w:t>Form of Transferor LLC Agreement</w:t>
      </w:r>
    </w:p>
    <w:p>
      <w:pPr>
        <w:sectPr>
          <w:footerReference w:type="default" r:id="rId28"/>
          <w:footerReference w:type="first" r:id="rId29"/>
          <w:type w:val="nextPage"/>
          <w:pgSz w:w="12240" w:h="15840"/>
          <w:pgMar w:left="1440" w:right="1440" w:gutter="0" w:header="0" w:top="1440" w:footer="1104" w:bottom="1160"/>
          <w:pgNumType w:start="1" w:fmt="decimal"/>
          <w:formProt w:val="false"/>
          <w:textDirection w:val="lrTb"/>
        </w:sectPr>
        <w:pStyle w:val="Normal"/>
        <w:widowControl/>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EXHIBIT J</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Form of Legal Opinions</w:t>
      </w:r>
    </w:p>
    <w:p>
      <w:pPr>
        <w:sectPr>
          <w:footerReference w:type="default" r:id="rId30"/>
          <w:footerReference w:type="first" r:id="rId31"/>
          <w:type w:val="nextPage"/>
          <w:pgSz w:w="12240" w:h="15840"/>
          <w:pgMar w:left="1440" w:right="1440" w:gutter="0" w:header="0" w:top="1440" w:footer="1104" w:bottom="1160"/>
          <w:pgNumType w:start="1" w:fmt="decimal"/>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EXHIBIT K1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Form of Asset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[Hawaii II]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szCs w:val="24"/>
        </w:rPr>
        <w:tab/>
        <w:t>This is an Asset Notice referred to in Section 5.1 of the Facility Agreement dated November</w:t>
      </w:r>
      <w:r>
        <w:rPr>
          <w:b/>
          <w:bCs/>
          <w:sz w:val="24"/>
          <w:szCs w:val="24"/>
        </w:rPr>
        <w:t> [</w:t>
      </w:r>
      <w:r>
        <w:rPr>
          <w:sz w:val="24"/>
          <w:szCs w:val="24"/>
        </w:rPr>
        <w:t>17</w:t>
      </w:r>
      <w:r>
        <w:rPr>
          <w:b/>
          <w:bCs/>
          <w:sz w:val="24"/>
          <w:szCs w:val="24"/>
        </w:rPr>
        <w:t>]</w:t>
      </w:r>
      <w:r>
        <w:rPr>
          <w:sz w:val="24"/>
          <w:szCs w:val="24"/>
        </w:rPr>
        <w:t xml:space="preserve">, 2000 (the </w:t>
      </w:r>
      <w:r>
        <w:rPr>
          <w:b/>
          <w:bCs/>
          <w:sz w:val="24"/>
          <w:szCs w:val="24"/>
        </w:rPr>
        <w:t>“</w:t>
      </w:r>
      <w:r>
        <w:rPr>
          <w:b/>
          <w:bCs/>
          <w:sz w:val="24"/>
          <w:szCs w:val="24"/>
          <w:u w:val="single"/>
        </w:rPr>
        <w:t>Facility Agreement</w:t>
      </w:r>
      <w:r>
        <w:rPr>
          <w:b/>
          <w:bCs/>
          <w:sz w:val="24"/>
          <w:szCs w:val="24"/>
        </w:rPr>
        <w:t>”</w:t>
      </w:r>
      <w:r>
        <w:rPr>
          <w:sz w:val="24"/>
          <w:szCs w:val="24"/>
        </w:rPr>
        <w:t xml:space="preserve">) made between Hawaii II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bCs/>
          <w:i/>
          <w:iCs/>
          <w:sz w:val="24"/>
          <w:szCs w:val="24"/>
        </w:rPr>
        <w:t>[please confirm]</w:t>
      </w:r>
      <w:r>
        <w:rPr>
          <w:sz w:val="24"/>
          <w:szCs w:val="24"/>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The Tranche and Underlying Asset to which this Asset Notice relates are as follows: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5760" w:start="5760" w:end="0"/>
        <w:jc w:val="both"/>
        <w:rPr>
          <w:sz w:val="24"/>
          <w:szCs w:val="24"/>
        </w:rPr>
      </w:pPr>
      <w:r>
        <w:rPr>
          <w:sz w:val="24"/>
          <w:szCs w:val="24"/>
        </w:rPr>
        <w:tab/>
        <w:t>1.</w:t>
        <w:tab/>
        <w:t>Valuation of Underlying Asset:</w:t>
        <w:tab/>
        <w:tab/>
        <w:t>$</w:t>
      </w:r>
      <w:r>
        <w:rPr>
          <w:b/>
          <w:bCs/>
          <w:sz w:val="24"/>
          <w:szCs w:val="24"/>
        </w:rPr>
        <w:t>[</w:t>
      </w:r>
      <w:r>
        <w:rPr>
          <w:b/>
          <w:bCs/>
          <w:i/>
          <w:iCs/>
          <w:sz w:val="24"/>
          <w:szCs w:val="24"/>
        </w:rPr>
        <w:t>Amount</w:t>
      </w:r>
      <w:r>
        <w:rPr>
          <w:b/>
          <w:bCs/>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5760" w:start="5760" w:end="0"/>
        <w:jc w:val="both"/>
        <w:rPr/>
      </w:pPr>
      <w:r>
        <w:rPr>
          <w:sz w:val="24"/>
          <w:szCs w:val="24"/>
        </w:rPr>
        <w:tab/>
        <w:t>2.</w:t>
        <w:tab/>
        <w:t xml:space="preserve">Amount of Debt Tranche: </w:t>
        <w:tab/>
        <w:tab/>
        <w:tab/>
        <w:t>$</w:t>
      </w:r>
      <w:r>
        <w:rPr>
          <w:b/>
          <w:bCs/>
          <w:sz w:val="24"/>
          <w:szCs w:val="24"/>
        </w:rPr>
        <w:t>[</w:t>
      </w:r>
      <w:r>
        <w:rPr>
          <w:b/>
          <w:bCs/>
          <w:i/>
          <w:iCs/>
          <w:sz w:val="24"/>
          <w:szCs w:val="24"/>
        </w:rPr>
        <w:t>Amount</w:t>
      </w:r>
      <w:r>
        <w:rPr>
          <w:b/>
          <w:bCs/>
          <w:sz w:val="24"/>
          <w:szCs w:val="24"/>
        </w:rPr>
        <w:t>]</w:t>
      </w:r>
      <w:r>
        <w:rPr>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320" w:start="4320" w:end="0"/>
        <w:jc w:val="both"/>
        <w:rPr/>
      </w:pPr>
      <w:r>
        <w:rPr>
          <w:sz w:val="24"/>
          <w:szCs w:val="24"/>
        </w:rPr>
        <w:tab/>
        <w:t>3.</w:t>
        <w:tab/>
        <w:t>Proposed Equity Amount:</w:t>
        <w:tab/>
      </w:r>
      <w:r>
        <w:rPr>
          <w:b/>
          <w:bCs/>
          <w:sz w:val="24"/>
          <w:szCs w:val="24"/>
        </w:rPr>
        <w:tab/>
        <w:tab/>
      </w:r>
      <w:r>
        <w:rPr>
          <w:sz w:val="24"/>
          <w:szCs w:val="24"/>
        </w:rPr>
        <w:t>$</w:t>
      </w:r>
      <w:r>
        <w:rPr>
          <w:b/>
          <w:bCs/>
          <w:sz w:val="24"/>
          <w:szCs w:val="24"/>
        </w:rPr>
        <w:t>[</w:t>
      </w:r>
      <w:r>
        <w:rPr>
          <w:b/>
          <w:bCs/>
          <w:i/>
          <w:iCs/>
          <w:sz w:val="24"/>
          <w:szCs w:val="24"/>
        </w:rPr>
        <w:t>Amount</w:t>
      </w:r>
      <w:r>
        <w:rPr>
          <w:b/>
          <w:bCs/>
          <w:sz w:val="24"/>
          <w:szCs w:val="24"/>
        </w:rPr>
        <w:t>]</w:t>
      </w:r>
      <w:r>
        <w:rPr>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320" w:start="4320" w:end="0"/>
        <w:jc w:val="both"/>
        <w:rPr>
          <w:sz w:val="24"/>
          <w:szCs w:val="24"/>
        </w:rPr>
      </w:pPr>
      <w:r>
        <w:rPr>
          <w:sz w:val="24"/>
          <w:szCs w:val="24"/>
        </w:rPr>
        <w:tab/>
        <w:t>4.</w:t>
        <w:tab/>
        <w:t>Name of Series:</w:t>
        <w:tab/>
        <w:tab/>
      </w:r>
      <w:r>
        <w:rPr>
          <w:b/>
          <w:bCs/>
          <w:sz w:val="24"/>
          <w:szCs w:val="24"/>
        </w:rPr>
        <w:tab/>
        <w:tab/>
        <w:t>[</w:t>
      </w:r>
      <w:r>
        <w:rPr>
          <w:b/>
          <w:bCs/>
          <w:i/>
          <w:iCs/>
          <w:sz w:val="24"/>
          <w:szCs w:val="24"/>
        </w:rPr>
        <w:t>Name</w:t>
      </w:r>
      <w:r>
        <w:rPr>
          <w:b/>
          <w:bCs/>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5760" w:start="5760" w:end="0"/>
        <w:jc w:val="both"/>
        <w:rPr>
          <w:sz w:val="24"/>
          <w:szCs w:val="24"/>
        </w:rPr>
      </w:pPr>
      <w:r>
        <w:rPr>
          <w:sz w:val="24"/>
          <w:szCs w:val="24"/>
        </w:rPr>
        <w:tab/>
        <w:t>5.</w:t>
        <w:tab/>
        <w:t>Brief Description of Underlying Asset:</w:t>
        <w:tab/>
      </w:r>
      <w:r>
        <w:rPr>
          <w:b/>
          <w:bCs/>
          <w:i/>
          <w:iCs/>
          <w:sz w:val="24"/>
          <w:szCs w:val="24"/>
        </w:rPr>
        <w:t>[Describe Asset, e.g. stock (with number of shares, price and type of shares) contractual obligations of (name and tenor) and type (Danno, Governor or McGarret)]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5760" w:start="5760" w:end="0"/>
        <w:jc w:val="both"/>
        <w:rPr>
          <w:sz w:val="24"/>
          <w:szCs w:val="24"/>
        </w:rPr>
      </w:pPr>
      <w:r>
        <w:rPr>
          <w:sz w:val="24"/>
          <w:szCs w:val="24"/>
        </w:rPr>
        <w:tab/>
        <w:t>6.</w:t>
        <w:tab/>
        <w:t>Valuation Methodology Employed:</w:t>
        <w:tab/>
        <w:tab/>
      </w:r>
      <w:r>
        <w:rPr>
          <w:b/>
          <w:bCs/>
          <w:i/>
          <w:iCs/>
          <w:sz w:val="24"/>
          <w:szCs w:val="24"/>
        </w:rPr>
        <w:t>[Describe, e.g., Enron internal procedure, publicly traded value, independent review or third party purchase]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7.</w:t>
        <w:tab/>
        <w:t>Name of Asset LLC:</w:t>
        <w:tab/>
        <w:tab/>
        <w:tab/>
        <w:tab/>
      </w:r>
      <w:r>
        <w:rPr>
          <w:b/>
          <w:bCs/>
          <w:sz w:val="24"/>
          <w:szCs w:val="24"/>
        </w:rPr>
        <w:t>[</w:t>
      </w:r>
      <w:r>
        <w:rPr>
          <w:b/>
          <w:bCs/>
          <w:i/>
          <w:iCs/>
          <w:sz w:val="24"/>
          <w:szCs w:val="24"/>
        </w:rPr>
        <w:t>Name</w:t>
      </w:r>
      <w:r>
        <w:rPr>
          <w:b/>
          <w:bCs/>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8.</w:t>
        <w:tab/>
        <w:t>Name of Transferor and Type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320" w:start="4320" w:end="0"/>
        <w:jc w:val="both"/>
        <w:rPr>
          <w:sz w:val="24"/>
          <w:szCs w:val="24"/>
        </w:rPr>
      </w:pPr>
      <w:r>
        <w:rPr>
          <w:sz w:val="24"/>
          <w:szCs w:val="24"/>
        </w:rPr>
        <w:tab/>
        <w:tab/>
        <w:t>of Entity</w:t>
        <w:tab/>
        <w:t>:</w:t>
        <w:tab/>
        <w:tab/>
        <w:tab/>
        <w:tab/>
      </w:r>
      <w:r>
        <w:rPr>
          <w:b/>
          <w:bCs/>
          <w:sz w:val="24"/>
          <w:szCs w:val="24"/>
        </w:rPr>
        <w:t>[</w:t>
      </w:r>
      <w:r>
        <w:rPr>
          <w:b/>
          <w:bCs/>
          <w:i/>
          <w:iCs/>
          <w:sz w:val="24"/>
          <w:szCs w:val="24"/>
        </w:rPr>
        <w:t>Name</w:t>
      </w:r>
      <w:r>
        <w:rPr>
          <w:b/>
          <w:bCs/>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9.</w:t>
        <w:tab/>
        <w:t>Asset Structure:</w:t>
        <w:tab/>
        <w:tab/>
        <w:tab/>
        <w:tab/>
      </w:r>
      <w:r>
        <w:rPr>
          <w:b/>
          <w:bCs/>
          <w:i/>
          <w:iCs/>
          <w:sz w:val="24"/>
          <w:szCs w:val="24"/>
        </w:rPr>
        <w:t>[Put or Demand Note]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5760" w:start="5760" w:end="0"/>
        <w:jc w:val="both"/>
        <w:rPr>
          <w:sz w:val="24"/>
          <w:szCs w:val="24"/>
        </w:rPr>
      </w:pPr>
      <w:r>
        <w:rPr>
          <w:sz w:val="24"/>
          <w:szCs w:val="24"/>
        </w:rPr>
        <w:tab/>
        <w:t>10.</w:t>
        <w:tab/>
        <w:t>Swap Provider:</w:t>
        <w:tab/>
        <w:tab/>
        <w:tab/>
        <w:tab/>
      </w:r>
      <w:r>
        <w:rPr>
          <w:b/>
          <w:bCs/>
          <w:i/>
          <w:iCs/>
          <w:sz w:val="24"/>
          <w:szCs w:val="24"/>
        </w:rPr>
        <w:t>[Enron or specific Permitted Swap Party]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The representation and warranty in Section 11.9 of the Facility Agreement shall be qualified with respect to the Underlying Asset as follows:  [specify] [delete if not applicable]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t xml:space="preserve">We hereby confirm </w:t>
      </w:r>
      <w:r>
        <w:rPr>
          <w:b/>
          <w:bCs/>
          <w:i/>
          <w:iCs/>
          <w:sz w:val="24"/>
          <w:szCs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bCs/>
          <w:sz w:val="24"/>
          <w:szCs w:val="24"/>
        </w:rPr>
        <w:t xml:space="preserve"> </w:t>
      </w:r>
      <w:r>
        <w:rPr>
          <w:b/>
          <w:bCs/>
          <w:i/>
          <w:iCs/>
          <w:sz w:val="24"/>
          <w:szCs w:val="24"/>
        </w:rPr>
        <w:t>of making the Advances comprising the Tranche requested in the applicable Drawdown Notice.]</w:t>
      </w:r>
      <w:r>
        <w:rPr>
          <w:i/>
          <w:iCs/>
          <w:sz w:val="24"/>
          <w:szCs w:val="24"/>
        </w:rPr>
        <w:t xml:space="preserve"> </w:t>
      </w:r>
      <w:r>
        <w:rPr>
          <w:b/>
          <w:bCs/>
          <w:i/>
          <w:iCs/>
          <w:sz w:val="24"/>
          <w:szCs w:val="24"/>
        </w:rPr>
        <w:t xml:space="preserve">[state reasons why does not conform and why suitable]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Dated:</w:t>
      </w:r>
      <w:r>
        <w:rPr>
          <w:sz w:val="24"/>
          <w:szCs w:val="24"/>
          <w:u w:val="single"/>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320" w:start="4320" w:end="0"/>
        <w:jc w:val="both"/>
        <w:rPr>
          <w:b/>
          <w:bCs/>
          <w:sz w:val="24"/>
          <w:szCs w:val="24"/>
        </w:rPr>
      </w:pPr>
      <w:r>
        <w:rPr>
          <w:b/>
          <w:bCs/>
          <w:sz w:val="24"/>
          <w:szCs w:val="24"/>
        </w:rPr>
        <w:tab/>
        <w:tab/>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b/>
          <w:bCs/>
          <w:sz w:val="24"/>
          <w:szCs w:val="24"/>
        </w:rPr>
        <w:tab/>
        <w:tab/>
        <w:tab/>
        <w:tab/>
        <w:tab/>
        <w:tab/>
      </w:r>
      <w:r>
        <w:rPr>
          <w:sz w:val="24"/>
          <w:szCs w:val="24"/>
        </w:rPr>
        <w:t>an Oregon corporation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r>
        <w:br w:type="page"/>
      </w:r>
    </w:p>
    <w:p>
      <w:pPr>
        <w:pStyle w:val="Normal"/>
        <w:widowControl/>
        <w:rPr>
          <w:sz w:val="24"/>
          <w:szCs w:val="24"/>
        </w:rPr>
      </w:pPr>
      <w:r>
        <w:rPr>
          <w:b/>
          <w:bCs/>
          <w:sz w:val="24"/>
          <w:szCs w:val="24"/>
        </w:rPr>
        <w:t>ACKNOWLEDGMENT:</w:t>
      </w:r>
    </w:p>
    <w:p>
      <w:pPr>
        <w:pStyle w:val="Normal"/>
        <w:widowControl/>
        <w:rPr>
          <w:sz w:val="24"/>
          <w:szCs w:val="24"/>
        </w:rPr>
      </w:pPr>
      <w:r>
        <w:rPr>
          <w:sz w:val="24"/>
          <w:szCs w:val="24"/>
        </w:rPr>
      </w:r>
    </w:p>
    <w:p>
      <w:pPr>
        <w:pStyle w:val="Normal"/>
        <w:widowControl/>
        <w:rPr>
          <w:sz w:val="24"/>
          <w:szCs w:val="24"/>
        </w:rPr>
      </w:pPr>
      <w:r>
        <w:rPr>
          <w:sz w:val="24"/>
          <w:szCs w:val="24"/>
        </w:rPr>
        <w:t>In our capacity as Agent, we hereby confirm pursuant to Section 5.1(a) of the Facility Agreement:</w:t>
      </w:r>
    </w:p>
    <w:p>
      <w:pPr>
        <w:pStyle w:val="Normal"/>
        <w:widowControl/>
        <w:rPr>
          <w:sz w:val="24"/>
          <w:szCs w:val="24"/>
        </w:rPr>
      </w:pPr>
      <w:r>
        <w:rPr>
          <w:sz w:val="24"/>
          <w:szCs w:val="24"/>
        </w:rPr>
      </w:r>
    </w:p>
    <w:p>
      <w:pPr>
        <w:pStyle w:val="Normal"/>
        <w:widowControl/>
        <w:rPr>
          <w:sz w:val="24"/>
          <w:szCs w:val="24"/>
        </w:rPr>
      </w:pPr>
      <w:r>
        <w:rPr>
          <w:sz w:val="24"/>
          <w:szCs w:val="24"/>
        </w:rPr>
        <w:t>(CHECK APPLICABLE BOX)</w:t>
      </w:r>
    </w:p>
    <w:p>
      <w:pPr>
        <w:pStyle w:val="Normal"/>
        <w:widowControl/>
        <w:rPr>
          <w:sz w:val="24"/>
          <w:szCs w:val="24"/>
        </w:rPr>
      </w:pPr>
      <w:r>
        <w:rPr>
          <w:sz w:val="24"/>
          <w:szCs w:val="24"/>
        </w:rPr>
      </w:r>
    </w:p>
    <w:p>
      <w:pPr>
        <w:pStyle w:val="Normal"/>
        <w:widowControl/>
        <w:rPr>
          <w:sz w:val="24"/>
          <w:szCs w:val="24"/>
        </w:rPr>
      </w:pPr>
      <w:r>
        <w:rPr>
          <w:sz w:val="24"/>
          <w:szCs w:val="24"/>
        </w:rPr>
        <w:t>EITHER:</w:t>
      </w:r>
    </w:p>
    <w:p>
      <w:pPr>
        <w:pStyle w:val="Normal"/>
        <w:widowControl/>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OR:</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(C)</w:t>
        <w:tab/>
        <w:t>we object to the drawdown of the proposed Tranche for the reasons specified in the letter attached to this acknowledgment.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320" w:start="4320" w:end="0"/>
        <w:rPr>
          <w:b/>
          <w:bCs/>
          <w:sz w:val="24"/>
          <w:szCs w:val="24"/>
        </w:rPr>
      </w:pPr>
      <w:r>
        <w:rPr>
          <w:b/>
          <w:bCs/>
          <w:sz w:val="24"/>
          <w:szCs w:val="24"/>
        </w:rPr>
        <w:tab/>
        <w:tab/>
        <w:tab/>
        <w:tab/>
        <w:tab/>
        <w:tab/>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b/>
          <w:bCs/>
          <w:sz w:val="24"/>
          <w:szCs w:val="24"/>
        </w:rPr>
        <w:tab/>
        <w:tab/>
        <w:tab/>
        <w:tab/>
        <w:tab/>
        <w:tab/>
        <w:t xml:space="preserve"> COMMERCE, in its capacity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b/>
          <w:bCs/>
          <w:sz w:val="24"/>
          <w:szCs w:val="24"/>
        </w:rPr>
        <w:t>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 xml:space="preserve">In our capacity as Subscriber we hereby confirm pursuant to Section 1(c)(i) of the Subscription Agreement dated November </w:t>
      </w:r>
      <w:r>
        <w:rPr>
          <w:b/>
          <w:bCs/>
          <w:sz w:val="24"/>
          <w:szCs w:val="24"/>
        </w:rPr>
        <w:t>[</w:t>
      </w:r>
      <w:r>
        <w:rPr>
          <w:sz w:val="24"/>
          <w:szCs w:val="24"/>
        </w:rPr>
        <w:t>17</w:t>
      </w:r>
      <w:r>
        <w:rPr>
          <w:b/>
          <w:bCs/>
          <w:sz w:val="24"/>
          <w:szCs w:val="24"/>
        </w:rPr>
        <w:t>]</w:t>
      </w:r>
      <w:r>
        <w:rPr>
          <w:sz w:val="24"/>
          <w:szCs w:val="24"/>
        </w:rPr>
        <w:t>, 2000 between the Subscriber and the Trust as amended or restated after such date: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(CHECK APPLICABLE BOX)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EITHER: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OR: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OR:</w:t>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1440" w:start="1440" w:end="0"/>
        <w:rPr/>
      </w:pPr>
      <w:r>
        <w:rPr>
          <w:rFonts w:eastAsia="WP IconicSymbolsA;Symbol" w:cs="WP IconicSymbolsA;Symbol" w:ascii="WP IconicSymbolsA;Symbol" w:hAnsi="WP IconicSymbolsA;Symbol"/>
          <w:sz w:val="36"/>
          <w:szCs w:val="36"/>
        </w:rPr>
        <w:sym w:font="WP IconicSymbolsA;Symbol" w:char="f039"/>
      </w:r>
      <w:r>
        <w:rPr>
          <w:sz w:val="24"/>
          <w:szCs w:val="24"/>
        </w:rPr>
        <w:tab/>
        <w:t>(C)</w:t>
        <w:tab/>
        <w:t>we object to the drawdown of the proposed Tranche for the reasons specified in the letter attached to this acknowledgment.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320" w:start="4320" w:end="0"/>
        <w:rPr>
          <w:b/>
          <w:bCs/>
          <w:sz w:val="24"/>
          <w:szCs w:val="24"/>
        </w:rPr>
      </w:pPr>
      <w:r>
        <w:rPr>
          <w:b/>
          <w:bCs/>
          <w:sz w:val="24"/>
          <w:szCs w:val="24"/>
        </w:rPr>
        <w:tab/>
        <w:tab/>
        <w:tab/>
        <w:tab/>
        <w:tab/>
        <w:tab/>
        <w:t>CIBC INC.,</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b/>
          <w:bCs/>
          <w:sz w:val="24"/>
          <w:szCs w:val="24"/>
        </w:rPr>
        <w:tab/>
        <w:tab/>
        <w:tab/>
        <w:tab/>
        <w:tab/>
        <w:tab/>
        <w:t>in its capacity as Subscriber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w:t>
      </w:r>
      <w:r>
        <w:rPr>
          <w:sz w:val="24"/>
          <w:szCs w:val="24"/>
          <w:u w:val="single"/>
        </w:rPr>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sectPr>
          <w:footerReference w:type="default" r:id="rId32"/>
          <w:footerReference w:type="first" r:id="rId33"/>
          <w:type w:val="nextPage"/>
          <w:pgSz w:w="12240" w:h="15840"/>
          <w:pgMar w:left="1440" w:right="1440" w:gutter="0" w:header="0" w:top="1440" w:footer="1104" w:bottom="1160"/>
          <w:pgNumType w:start="1" w:fmt="decimal"/>
          <w:formProt w:val="false"/>
          <w:textDirection w:val="lrTb"/>
        </w:sect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EXHIBIT K2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Form of Asset Summary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szCs w:val="24"/>
        </w:rPr>
        <w:tab/>
        <w:t>This is an Asset Summary referred to in Section 5.1 of the Facility Agreement dated November</w:t>
      </w:r>
      <w:r>
        <w:rPr>
          <w:b/>
          <w:bCs/>
          <w:sz w:val="24"/>
          <w:szCs w:val="24"/>
        </w:rPr>
        <w:t> [</w:t>
      </w:r>
      <w:r>
        <w:rPr>
          <w:sz w:val="24"/>
          <w:szCs w:val="24"/>
        </w:rPr>
        <w:t>17</w:t>
      </w:r>
      <w:r>
        <w:rPr>
          <w:b/>
          <w:bCs/>
          <w:sz w:val="24"/>
          <w:szCs w:val="24"/>
        </w:rPr>
        <w:t>]</w:t>
      </w:r>
      <w:r>
        <w:rPr>
          <w:sz w:val="24"/>
          <w:szCs w:val="24"/>
        </w:rPr>
        <w:t xml:space="preserve">, 2000 (the </w:t>
      </w:r>
      <w:r>
        <w:rPr>
          <w:b/>
          <w:bCs/>
          <w:sz w:val="24"/>
          <w:szCs w:val="24"/>
        </w:rPr>
        <w:t>“</w:t>
      </w:r>
      <w:r>
        <w:rPr>
          <w:b/>
          <w:bCs/>
          <w:sz w:val="24"/>
          <w:szCs w:val="24"/>
          <w:u w:val="single"/>
        </w:rPr>
        <w:t>Facility Agreement</w:t>
      </w:r>
      <w:r>
        <w:rPr>
          <w:b/>
          <w:bCs/>
          <w:sz w:val="24"/>
          <w:szCs w:val="24"/>
        </w:rPr>
        <w:t>”</w:t>
      </w:r>
      <w:r>
        <w:rPr>
          <w:sz w:val="24"/>
          <w:szCs w:val="24"/>
        </w:rPr>
        <w:t xml:space="preserve">) made between Hawaii II 125-0 Trust, Canadian Imperial Bank of Commerce, as Agent, and the other financial institutions named therein. This Asset Summary relates to the Asset Notice dated _________ concerning </w:t>
      </w:r>
      <w:r>
        <w:rPr>
          <w:b/>
          <w:bCs/>
          <w:i/>
          <w:iCs/>
          <w:sz w:val="24"/>
          <w:szCs w:val="24"/>
        </w:rPr>
        <w:t>[name of Series]</w:t>
      </w:r>
      <w:r>
        <w:rPr>
          <w:sz w:val="24"/>
          <w:szCs w:val="24"/>
        </w:rPr>
        <w:t>.  Capitalized terms used but not defined herein shall have the respective meanings given to those terms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b/>
          <w:bCs/>
          <w:sz w:val="24"/>
          <w:szCs w:val="24"/>
        </w:rPr>
      </w:pPr>
      <w:r>
        <w:rPr>
          <w:b/>
          <w:bCs/>
          <w:i/>
          <w:iCs/>
          <w:sz w:val="24"/>
          <w:szCs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t>Dated:</w:t>
      </w:r>
      <w:r>
        <w:rPr>
          <w:sz w:val="24"/>
          <w:szCs w:val="24"/>
          <w:u w:val="single"/>
        </w:rPr>
        <w:tab/>
        <w:tab/>
        <w:tab/>
      </w:r>
    </w:p>
    <w:p>
      <w:pPr>
        <w:sectPr>
          <w:footerReference w:type="default" r:id="rId34"/>
          <w:footerReference w:type="first" r:id="rId35"/>
          <w:type w:val="nextPage"/>
          <w:pgSz w:w="12240" w:h="15840"/>
          <w:pgMar w:left="1440" w:right="1440" w:gutter="0" w:header="0" w:top="1440" w:footer="1104" w:bottom="1160"/>
          <w:pgNumType w:start="1" w:fmt="decimal"/>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b/>
          <w:bCs/>
          <w:sz w:val="24"/>
          <w:szCs w:val="24"/>
          <w:u w:val="single"/>
        </w:rPr>
        <w:t>EXHIBIT L1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u w:val="single"/>
        </w:rPr>
        <w:t>FORM OF ADDITIONAL LENDER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To:</w:t>
        <w:tab/>
        <w:t xml:space="preserve">Hawaii II 125-0 Trust (the </w:t>
      </w:r>
      <w:r>
        <w:rPr>
          <w:b/>
          <w:bCs/>
          <w:sz w:val="24"/>
          <w:szCs w:val="24"/>
        </w:rPr>
        <w:t>“</w:t>
      </w:r>
      <w:r>
        <w:rPr>
          <w:b/>
          <w:bCs/>
          <w:sz w:val="24"/>
          <w:szCs w:val="24"/>
          <w:u w:val="single"/>
        </w:rPr>
        <w:t>Trust</w:t>
      </w:r>
      <w:r>
        <w:rPr>
          <w:b/>
          <w:bCs/>
          <w:sz w:val="24"/>
          <w:szCs w:val="24"/>
        </w:rPr>
        <w:t>”</w:t>
      </w:r>
      <w:r>
        <w:rPr>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 xml:space="preserve">Canadian Imperial Bank of Commerce, as Agent (the </w:t>
      </w:r>
      <w:r>
        <w:rPr>
          <w:b/>
          <w:bCs/>
          <w:sz w:val="24"/>
          <w:szCs w:val="24"/>
        </w:rPr>
        <w:t>“</w:t>
      </w:r>
      <w:r>
        <w:rPr>
          <w:b/>
          <w:bCs/>
          <w:sz w:val="24"/>
          <w:szCs w:val="24"/>
          <w:u w:val="single"/>
        </w:rPr>
        <w:t>Agent</w:t>
      </w:r>
      <w:r>
        <w:rPr>
          <w:b/>
          <w:bCs/>
          <w:sz w:val="24"/>
          <w:szCs w:val="24"/>
        </w:rPr>
        <w:t>”</w:t>
      </w:r>
      <w:r>
        <w:rPr>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Date:</w:t>
        <w:tab/>
      </w:r>
      <w:r>
        <w:rPr>
          <w:b/>
          <w:bCs/>
          <w:i/>
          <w:iCs/>
          <w:sz w:val="24"/>
          <w:szCs w:val="24"/>
        </w:rPr>
        <w:t>[date]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Re:</w:t>
        <w:tab/>
        <w:t>Notice of Commitment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 xml:space="preserve">The Trust, the Agent, and certain other financial institutions have entered into that certain Facility Agreement, dated as of November </w:t>
      </w:r>
      <w:r>
        <w:rPr>
          <w:b/>
          <w:bCs/>
          <w:sz w:val="24"/>
          <w:szCs w:val="24"/>
        </w:rPr>
        <w:t>[</w:t>
      </w:r>
      <w:r>
        <w:rPr>
          <w:sz w:val="24"/>
          <w:szCs w:val="24"/>
        </w:rPr>
        <w:t>17</w:t>
      </w:r>
      <w:r>
        <w:rPr>
          <w:b/>
          <w:bCs/>
          <w:sz w:val="24"/>
          <w:szCs w:val="24"/>
        </w:rPr>
        <w:t>]</w:t>
      </w:r>
      <w:r>
        <w:rPr>
          <w:sz w:val="24"/>
          <w:szCs w:val="24"/>
        </w:rPr>
        <w:t xml:space="preserve">, 2000 (the </w:t>
      </w:r>
      <w:r>
        <w:rPr>
          <w:b/>
          <w:bCs/>
          <w:sz w:val="24"/>
          <w:szCs w:val="24"/>
        </w:rPr>
        <w:t>“</w:t>
      </w:r>
      <w:r>
        <w:rPr>
          <w:b/>
          <w:bCs/>
          <w:sz w:val="24"/>
          <w:szCs w:val="24"/>
          <w:u w:val="single"/>
        </w:rPr>
        <w:t>Facility Agreement</w:t>
      </w:r>
      <w:r>
        <w:rPr>
          <w:b/>
          <w:bCs/>
          <w:sz w:val="24"/>
          <w:szCs w:val="24"/>
        </w:rPr>
        <w:t>”</w:t>
      </w:r>
      <w:r>
        <w:rPr>
          <w:sz w:val="24"/>
          <w:szCs w:val="24"/>
        </w:rPr>
        <w:t>).  Capitalized terms defined in the Facility Agreement are used in this Certificate with the same meaning as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Very truly yours,</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 xml:space="preserve">By: </w:t>
      </w:r>
      <w:r>
        <w:rPr>
          <w:sz w:val="24"/>
          <w:szCs w:val="24"/>
          <w:u w:val="single"/>
        </w:rPr>
        <w:tab/>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Name:_____________________________________</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Title:______________________________________</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FUNDING OFFICE:</w:t>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Next w:val="true"/>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 xml:space="preserve">By: </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Name:_____________________________________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sz w:val="24"/>
          <w:szCs w:val="24"/>
        </w:rPr>
        <w:t>AGREED: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r>
      <w:r>
        <w:rPr>
          <w:b/>
          <w:bCs/>
          <w:sz w:val="24"/>
          <w:szCs w:val="24"/>
        </w:rPr>
        <w:t>CANADIAN IMPERIAL BANK OF</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tab/>
        <w:tab/>
        <w:tab/>
        <w:tab/>
        <w:tab/>
        <w:tab/>
        <w:t xml:space="preserve">   COMMERCE, as Agent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u w:val="single"/>
        </w:rPr>
      </w:pPr>
      <w:r>
        <w:rPr>
          <w:sz w:val="24"/>
          <w:szCs w:val="24"/>
        </w:rPr>
        <w:tab/>
        <w:tab/>
        <w:tab/>
        <w:tab/>
        <w:tab/>
        <w:tab/>
        <w:t>By:______________________________________</w:t>
        <w:tab/>
        <w:tab/>
        <w:tab/>
        <w:tab/>
        <w:tab/>
        <w:tab/>
        <w:t>Name:_____________________________________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Title:______________________________________</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ACKNOWLEDGMENT BY 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The foregoing additional Lender is acceptable to 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r>
      <w:r>
        <w:rPr>
          <w:b/>
          <w:bCs/>
          <w:sz w:val="24"/>
          <w:szCs w:val="24"/>
        </w:rPr>
        <w:t xml:space="preserve">ENRON CORP.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tab/>
        <w:tab/>
        <w:t>Title: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sectPr>
          <w:footerReference w:type="default" r:id="rId36"/>
          <w:footerReference w:type="first" r:id="rId37"/>
          <w:type w:val="nextPage"/>
          <w:pgSz w:w="12240" w:h="15840"/>
          <w:pgMar w:left="1440" w:right="1440" w:gutter="0" w:header="0" w:top="1440" w:footer="1104" w:bottom="1160"/>
          <w:pgNumType w:start="1" w:fmt="decimal"/>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tab/>
        <w:t>Schedule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Form of Additional Lender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rPr>
        <w:t>MAILING AND PAYMENT INSTRUCTIONS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1)</w:t>
        <w:tab/>
        <w:t>Name of Entity for Signature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2)</w:t>
        <w:tab/>
        <w:t>Name of Bank on any eventual Tombstone: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ab/>
        <w:tab/>
        <w:tab/>
      </w:r>
      <w:r>
        <w:rPr>
          <w:sz w:val="24"/>
          <w:szCs w:val="24"/>
          <w:u w:val="single"/>
        </w:rPr>
        <w:t>CREDIT CONTACT</w:t>
      </w:r>
      <w:r>
        <w:rPr>
          <w:sz w:val="24"/>
          <w:szCs w:val="24"/>
        </w:rPr>
        <w:tab/>
        <w:tab/>
      </w:r>
      <w:r>
        <w:rPr>
          <w:sz w:val="24"/>
          <w:szCs w:val="24"/>
          <w:u w:val="single"/>
        </w:rPr>
        <w:t>OPERATIONS CONTACT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Name:</w:t>
        <w:tab/>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Title:</w:t>
        <w:tab/>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Address: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(street):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(city, state):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(zip code):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Phone Number:  </w:t>
      </w:r>
      <w:r>
        <w:rPr>
          <w:sz w:val="24"/>
          <w:szCs w:val="24"/>
          <w:u w:val="single"/>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 xml:space="preserve">Fax Number:  </w:t>
      </w:r>
      <w:r>
        <w:rPr>
          <w:sz w:val="24"/>
          <w:szCs w:val="24"/>
          <w:u w:val="single"/>
        </w:rPr>
        <w:t xml:space="preserve">                                                                                                                                      </w:t>
      </w:r>
    </w:p>
    <w:p>
      <w:pPr>
        <w:sectPr>
          <w:footerReference w:type="default" r:id="rId38"/>
          <w:footerReference w:type="first" r:id="rId39"/>
          <w:type w:val="nextPage"/>
          <w:pgSz w:w="12240" w:h="15840"/>
          <w:pgMar w:left="1440" w:right="1440" w:gutter="0" w:header="0" w:top="1440" w:footer="1104" w:bottom="1160"/>
          <w:pgNumType w:start="1" w:fmt="decimal"/>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EXHIBIT L2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rPr>
      </w:pPr>
      <w:r>
        <w:rPr>
          <w:sz w:val="24"/>
          <w:szCs w:val="24"/>
          <w:u w:val="single"/>
        </w:rPr>
        <w:t>FORM OF INCREASED COMMITMENT CERTIFICATE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rPr/>
      </w:pPr>
      <w:r>
        <w:rPr>
          <w:sz w:val="24"/>
          <w:szCs w:val="24"/>
        </w:rPr>
        <w:t>To:</w:t>
        <w:tab/>
        <w:t>Hawaii II 125-0 Trust (the “</w:t>
      </w:r>
      <w:r>
        <w:rPr>
          <w:b/>
          <w:bCs/>
          <w:sz w:val="24"/>
          <w:szCs w:val="24"/>
          <w:u w:val="single"/>
        </w:rPr>
        <w:t>Trust</w:t>
      </w:r>
      <w:r>
        <w:rPr>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Canadian Imperial Bank of Commerce, as Agent (the “</w:t>
      </w:r>
      <w:r>
        <w:rPr>
          <w:b/>
          <w:bCs/>
          <w:sz w:val="24"/>
          <w:szCs w:val="24"/>
          <w:u w:val="single"/>
        </w:rPr>
        <w:t>Agent</w:t>
      </w:r>
      <w:r>
        <w:rPr>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rPr>
          <w:sz w:val="24"/>
          <w:szCs w:val="24"/>
        </w:rPr>
      </w:pPr>
      <w:r>
        <w:rPr>
          <w:sz w:val="24"/>
          <w:szCs w:val="24"/>
        </w:rPr>
        <w:t>Date:</w:t>
        <w:tab/>
      </w:r>
      <w:r>
        <w:rPr>
          <w:b/>
          <w:bCs/>
          <w:sz w:val="24"/>
          <w:szCs w:val="24"/>
        </w:rPr>
        <w:t>[date]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720" w:start="720" w:end="0"/>
        <w:rPr>
          <w:sz w:val="24"/>
          <w:szCs w:val="24"/>
        </w:rPr>
      </w:pPr>
      <w:r>
        <w:rPr>
          <w:sz w:val="24"/>
          <w:szCs w:val="24"/>
        </w:rPr>
        <w:t>Re:</w:t>
        <w:tab/>
        <w:t>Notice of Commitment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The Trust, the Agent and certain other financial institutions have entered into that certain Facility Agreement, dated as of November [17], 2000 (the “</w:t>
      </w:r>
      <w:r>
        <w:rPr>
          <w:b/>
          <w:bCs/>
          <w:sz w:val="24"/>
          <w:szCs w:val="24"/>
          <w:u w:val="single"/>
        </w:rPr>
        <w:t>Facility Agreement</w:t>
      </w:r>
      <w:r>
        <w:rPr>
          <w:sz w:val="24"/>
          <w:szCs w:val="24"/>
        </w:rPr>
        <w:t>”).  Capitalized terms defined in the Facility Agreement are used in this Certificate with the same meaning as in the Facility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pPr>
      <w:r>
        <w:rPr>
          <w:sz w:val="24"/>
          <w:szCs w:val="24"/>
        </w:rPr>
        <w:tab/>
        <w:t>The undersigned is a Lender under the Facility Agreement.  Please be advised that the undersigned Lender has agreed to increase its Commitment for the purposes of the Facility Agreement from $</w:t>
      </w:r>
      <w:r>
        <w:rPr>
          <w:b/>
          <w:bCs/>
          <w:sz w:val="24"/>
          <w:szCs w:val="24"/>
        </w:rPr>
        <w:t>[____________] [insert initial Commitment]</w:t>
      </w:r>
      <w:r>
        <w:rPr>
          <w:sz w:val="24"/>
          <w:szCs w:val="24"/>
        </w:rPr>
        <w:t xml:space="preserve"> to $</w:t>
      </w:r>
      <w:r>
        <w:rPr>
          <w:b/>
          <w:bCs/>
          <w:sz w:val="24"/>
          <w:szCs w:val="24"/>
        </w:rPr>
        <w:t>[___________] [insert increased Commitment]</w:t>
      </w:r>
      <w:r>
        <w:rPr>
          <w:sz w:val="24"/>
          <w:szCs w:val="24"/>
        </w:rPr>
        <w:t>.  Consequently, the amount of such increase for the purposes of Section 3.3(c) of the Facility Agreement is $</w:t>
      </w:r>
      <w:r>
        <w:rPr>
          <w:b/>
          <w:bCs/>
          <w:sz w:val="24"/>
          <w:szCs w:val="24"/>
        </w:rPr>
        <w:t>[_____________]</w:t>
      </w:r>
      <w:r>
        <w:rPr>
          <w:sz w:val="24"/>
          <w:szCs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860" w:start="4860" w:end="0"/>
        <w:rPr>
          <w:sz w:val="24"/>
          <w:szCs w:val="24"/>
        </w:rPr>
      </w:pPr>
      <w:r>
        <w:rPr>
          <w:sz w:val="24"/>
          <w:szCs w:val="24"/>
        </w:rPr>
        <w:tab/>
        <w:tab/>
        <w:tab/>
        <w:tab/>
        <w:tab/>
        <w:tab/>
        <w:tab/>
        <w:t>Very truly yours,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860" w:start="4860" w:end="0"/>
        <w:rPr>
          <w:sz w:val="24"/>
          <w:szCs w:val="24"/>
        </w:rPr>
      </w:pPr>
      <w:r>
        <w:rPr>
          <w:sz w:val="24"/>
          <w:szCs w:val="24"/>
        </w:rPr>
        <w:tab/>
        <w:tab/>
        <w:tab/>
        <w:tab/>
        <w:tab/>
        <w:tab/>
        <w:tab/>
        <w:t>[LENDER]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860" w:start="4860" w:end="0"/>
        <w:rPr>
          <w:sz w:val="24"/>
          <w:szCs w:val="24"/>
        </w:rPr>
      </w:pPr>
      <w:r>
        <w:rPr>
          <w:sz w:val="24"/>
          <w:szCs w:val="24"/>
        </w:rPr>
        <w:tab/>
        <w:tab/>
        <w:tab/>
        <w:tab/>
        <w:tab/>
        <w:tab/>
        <w:tab/>
        <w:t>By:</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860" w:start="4860" w:end="0"/>
        <w:rPr>
          <w:sz w:val="24"/>
          <w:szCs w:val="24"/>
        </w:rPr>
      </w:pPr>
      <w:r>
        <w:rPr>
          <w:sz w:val="24"/>
          <w:szCs w:val="24"/>
        </w:rPr>
        <w:tab/>
        <w:tab/>
        <w:tab/>
        <w:tab/>
        <w:tab/>
        <w:tab/>
        <w:tab/>
        <w:t>Name:</w:t>
      </w:r>
      <w:r>
        <w:rPr>
          <w:sz w:val="24"/>
          <w:szCs w:val="24"/>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4860" w:start="4860" w:end="0"/>
        <w:rPr>
          <w:sz w:val="24"/>
          <w:szCs w:val="24"/>
        </w:rPr>
      </w:pPr>
      <w:r>
        <w:rPr>
          <w:sz w:val="24"/>
          <w:szCs w:val="24"/>
        </w:rPr>
        <w:tab/>
        <w:tab/>
        <w:tab/>
        <w:tab/>
        <w:tab/>
        <w:tab/>
        <w:tab/>
        <w:t>Title:</w:t>
      </w:r>
      <w:r>
        <w:rPr>
          <w:sz w:val="24"/>
          <w:szCs w:val="24"/>
          <w:u w:val="single"/>
        </w:rPr>
        <w:tab/>
      </w:r>
    </w:p>
    <w:p>
      <w:pPr>
        <w:sectPr>
          <w:footerReference w:type="default" r:id="rId40"/>
          <w:footerReference w:type="first" r:id="rId41"/>
          <w:type w:val="nextPage"/>
          <w:pgSz w:w="12240" w:h="15840"/>
          <w:pgMar w:left="1440" w:right="1440" w:gutter="0" w:header="0" w:top="1440" w:footer="1104" w:bottom="1160"/>
          <w:pgNumType w:start="1" w:fmt="decimal"/>
          <w:formProt w:val="false"/>
          <w:textDirection w:val="lrTb"/>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sz w:val="24"/>
          <w:szCs w:val="24"/>
        </w:rPr>
      </w:pPr>
      <w:r>
        <w:rPr>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b/>
          <w:bCs/>
          <w:sz w:val="24"/>
          <w:szCs w:val="24"/>
        </w:rPr>
      </w:pPr>
      <w:r>
        <w:rPr>
          <w:b/>
          <w:bCs/>
          <w:sz w:val="24"/>
          <w:szCs w:val="24"/>
        </w:rPr>
        <w:t>EXHIBIT M</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b/>
          <w:bCs/>
          <w:sz w:val="24"/>
          <w:szCs w:val="24"/>
        </w:rPr>
      </w:pPr>
      <w:r>
        <w:rPr>
          <w:b/>
          <w:bCs/>
          <w:sz w:val="24"/>
          <w:szCs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szCs w:val="24"/>
          <w:u w:val="single"/>
        </w:rPr>
      </w:pPr>
      <w:r>
        <w:rPr>
          <w:sz w:val="24"/>
          <w:szCs w:val="24"/>
          <w:u w:val="single"/>
        </w:rPr>
        <w:t>FORM OF OMNIBUS AMENDMENT</w:t>
      </w:r>
    </w:p>
    <w:sectPr>
      <w:footerReference w:type="default" r:id="rId42"/>
      <w:footerReference w:type="first" r:id="rId43"/>
      <w:type w:val="nextPage"/>
      <w:pgSz w:w="12240" w:h="15840"/>
      <w:pgMar w:left="1440" w:right="1440" w:gutter="0" w:header="0" w:top="1440" w:footer="1104" w:bottom="116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WP IconicSymbolsA">
    <w:altName w:val="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76">
              <wp:simplePos x="0" y="0"/>
              <wp:positionH relativeFrom="page">
                <wp:posOffset>3521075</wp:posOffset>
              </wp:positionH>
              <wp:positionV relativeFrom="page">
                <wp:posOffset>9601835</wp:posOffset>
              </wp:positionV>
              <wp:extent cx="365760"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43"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44"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80">
              <wp:simplePos x="0" y="0"/>
              <wp:positionH relativeFrom="page">
                <wp:posOffset>3521075</wp:posOffset>
              </wp:positionH>
              <wp:positionV relativeFrom="page">
                <wp:posOffset>9601835</wp:posOffset>
              </wp:positionV>
              <wp:extent cx="365760" cy="146685"/>
              <wp:effectExtent l="0" t="0" r="0" b="0"/>
              <wp:wrapSquare wrapText="bothSides"/>
              <wp:docPr id="4" name="Frame5"/>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45"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46"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84">
              <wp:simplePos x="0" y="0"/>
              <wp:positionH relativeFrom="page">
                <wp:posOffset>3521075</wp:posOffset>
              </wp:positionH>
              <wp:positionV relativeFrom="page">
                <wp:posOffset>9601835</wp:posOffset>
              </wp:positionV>
              <wp:extent cx="365760" cy="146685"/>
              <wp:effectExtent l="0" t="0" r="0" b="0"/>
              <wp:wrapSquare wrapText="bothSides"/>
              <wp:docPr id="5" name="Frame6"/>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47"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48"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86">
              <wp:simplePos x="0" y="0"/>
              <wp:positionH relativeFrom="page">
                <wp:posOffset>3521075</wp:posOffset>
              </wp:positionH>
              <wp:positionV relativeFrom="page">
                <wp:posOffset>9601835</wp:posOffset>
              </wp:positionV>
              <wp:extent cx="365760" cy="146685"/>
              <wp:effectExtent l="0" t="0" r="0" b="0"/>
              <wp:wrapSquare wrapText="bothSides"/>
              <wp:docPr id="6" name="Frame8"/>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49"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50"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87">
              <wp:simplePos x="0" y="0"/>
              <wp:positionH relativeFrom="page">
                <wp:posOffset>3521075</wp:posOffset>
              </wp:positionH>
              <wp:positionV relativeFrom="page">
                <wp:posOffset>9601835</wp:posOffset>
              </wp:positionV>
              <wp:extent cx="365760" cy="146685"/>
              <wp:effectExtent l="0" t="0" r="0" b="0"/>
              <wp:wrapSquare wrapText="bothSides"/>
              <wp:docPr id="7" name="Frame9"/>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53"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54"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88">
              <wp:simplePos x="0" y="0"/>
              <wp:positionH relativeFrom="page">
                <wp:posOffset>3521075</wp:posOffset>
              </wp:positionH>
              <wp:positionV relativeFrom="page">
                <wp:posOffset>9601835</wp:posOffset>
              </wp:positionV>
              <wp:extent cx="365760" cy="146685"/>
              <wp:effectExtent l="0" t="0" r="0" b="0"/>
              <wp:wrapSquare wrapText="bothSides"/>
              <wp:docPr id="8" name="Frame10"/>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55"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56"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89">
              <wp:simplePos x="0" y="0"/>
              <wp:positionH relativeFrom="page">
                <wp:posOffset>3521075</wp:posOffset>
              </wp:positionH>
              <wp:positionV relativeFrom="page">
                <wp:posOffset>9601835</wp:posOffset>
              </wp:positionV>
              <wp:extent cx="365760" cy="146685"/>
              <wp:effectExtent l="0" t="0" r="0" b="0"/>
              <wp:wrapSquare wrapText="bothSides"/>
              <wp:docPr id="9" name="Frame1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57"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58"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91">
              <wp:simplePos x="0" y="0"/>
              <wp:positionH relativeFrom="page">
                <wp:posOffset>3521075</wp:posOffset>
              </wp:positionH>
              <wp:positionV relativeFrom="page">
                <wp:posOffset>9601835</wp:posOffset>
              </wp:positionV>
              <wp:extent cx="365760" cy="146685"/>
              <wp:effectExtent l="0" t="0" r="0" b="0"/>
              <wp:wrapSquare wrapText="bothSides"/>
              <wp:docPr id="10" name="Frame1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59"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60"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92">
              <wp:simplePos x="0" y="0"/>
              <wp:positionH relativeFrom="page">
                <wp:posOffset>3521075</wp:posOffset>
              </wp:positionH>
              <wp:positionV relativeFrom="page">
                <wp:posOffset>9601835</wp:posOffset>
              </wp:positionV>
              <wp:extent cx="365760" cy="146685"/>
              <wp:effectExtent l="0" t="0" r="0" b="0"/>
              <wp:wrapSquare wrapText="bothSides"/>
              <wp:docPr id="11" name="Frame1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61"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62"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96">
              <wp:simplePos x="0" y="0"/>
              <wp:positionH relativeFrom="page">
                <wp:posOffset>3521075</wp:posOffset>
              </wp:positionH>
              <wp:positionV relativeFrom="page">
                <wp:posOffset>9601835</wp:posOffset>
              </wp:positionV>
              <wp:extent cx="365760" cy="146685"/>
              <wp:effectExtent l="0" t="0" r="0" b="0"/>
              <wp:wrapSquare wrapText="bothSides"/>
              <wp:docPr id="12" name="Frame14"/>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63"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64"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ins>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72">
              <wp:simplePos x="0" y="0"/>
              <wp:positionH relativeFrom="page">
                <wp:posOffset>3521075</wp:posOffset>
              </wp:positionH>
              <wp:positionV relativeFrom="page">
                <wp:posOffset>9601835</wp:posOffset>
              </wp:positionV>
              <wp:extent cx="365760"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0"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lxxi</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1"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lxxi</w:t>
                      </w:r>
                      <w:r>
                        <w:rPr>
                          <w:rStyle w:val="PageNumber"/>
                        </w:rPr>
                        <w:fldChar w:fldCharType="end"/>
                      </w:r>
                    </w:ins>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97">
              <wp:simplePos x="0" y="0"/>
              <wp:positionH relativeFrom="page">
                <wp:posOffset>3521075</wp:posOffset>
              </wp:positionH>
              <wp:positionV relativeFrom="page">
                <wp:posOffset>9601835</wp:posOffset>
              </wp:positionV>
              <wp:extent cx="365760" cy="146685"/>
              <wp:effectExtent l="0" t="0" r="0" b="0"/>
              <wp:wrapSquare wrapText="bothSides"/>
              <wp:docPr id="13" name="Frame15"/>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65"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66"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99">
              <wp:simplePos x="0" y="0"/>
              <wp:positionH relativeFrom="page">
                <wp:posOffset>3521075</wp:posOffset>
              </wp:positionH>
              <wp:positionV relativeFrom="page">
                <wp:posOffset>9601835</wp:posOffset>
              </wp:positionV>
              <wp:extent cx="365760" cy="146685"/>
              <wp:effectExtent l="0" t="0" r="0" b="0"/>
              <wp:wrapSquare wrapText="bothSides"/>
              <wp:docPr id="14" name="Frame16"/>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67"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68"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100">
              <wp:simplePos x="0" y="0"/>
              <wp:positionH relativeFrom="page">
                <wp:posOffset>3521075</wp:posOffset>
              </wp:positionH>
              <wp:positionV relativeFrom="page">
                <wp:posOffset>9601835</wp:posOffset>
              </wp:positionV>
              <wp:extent cx="365760" cy="146685"/>
              <wp:effectExtent l="0" t="0" r="0" b="0"/>
              <wp:wrapSquare wrapText="bothSides"/>
              <wp:docPr id="15" name="Frame17"/>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69"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70"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101">
              <wp:simplePos x="0" y="0"/>
              <wp:positionH relativeFrom="page">
                <wp:posOffset>3521075</wp:posOffset>
              </wp:positionH>
              <wp:positionV relativeFrom="page">
                <wp:posOffset>9601835</wp:posOffset>
              </wp:positionV>
              <wp:extent cx="365760" cy="146685"/>
              <wp:effectExtent l="0" t="0" r="0" b="0"/>
              <wp:wrapSquare wrapText="bothSides"/>
              <wp:docPr id="16" name="Frame18"/>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71"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72"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102">
              <wp:simplePos x="0" y="0"/>
              <wp:positionH relativeFrom="page">
                <wp:posOffset>3521075</wp:posOffset>
              </wp:positionH>
              <wp:positionV relativeFrom="page">
                <wp:posOffset>9601835</wp:posOffset>
              </wp:positionV>
              <wp:extent cx="365760" cy="146685"/>
              <wp:effectExtent l="0" t="0" r="0" b="0"/>
              <wp:wrapSquare wrapText="bothSides"/>
              <wp:docPr id="17" name="Frame19"/>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73"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74"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r>
      <mc:AlternateContent>
        <mc:Choice Requires="wps">
          <w:drawing>
            <wp:anchor behindDoc="0" distT="0" distB="0" distL="0" distR="0" simplePos="0" locked="0" layoutInCell="0" allowOverlap="1" relativeHeight="73">
              <wp:simplePos x="0" y="0"/>
              <wp:positionH relativeFrom="page">
                <wp:posOffset>3521075</wp:posOffset>
              </wp:positionH>
              <wp:positionV relativeFrom="page">
                <wp:posOffset>9601835</wp:posOffset>
              </wp:positionV>
              <wp:extent cx="365760" cy="146685"/>
              <wp:effectExtent l="0" t="0" r="0" b="0"/>
              <wp:wrapSquare wrapText="bothSides"/>
              <wp:docPr id="2"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ins w:id="241"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ins w:id="242" w:author="foobar" w:date="2000-11-09T12:47: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szCs w:val="14"/>
      </w:rPr>
    </w:pPr>
    <w:r>
      <w:rPr>
        <w:sz w:val="14"/>
        <w:szCs w:val="14"/>
      </w:rPr>
      <w:t>DAL:265273.5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24"/>
        <w:szCs w:val="24"/>
      </w:rPr>
    </w:pPr>
    <w:r>
      <w:rPr>
        <w:sz w:val="24"/>
        <w:szCs w:val="24"/>
      </w:rPr>
    </w:r>
    <w:bookmarkStart w:id="0" w:name="Security_Agreement"/>
    <w:bookmarkStart w:id="1" w:name="Security_Agreement"/>
    <w:bookmarkEnd w:id="1"/>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upperLetter"/>
      <w:suff w:val="nothing"/>
      <w:lvlText w:val="%5"/>
      <w:lvlJc w:val="start"/>
      <w:pPr>
        <w:tabs>
          <w:tab w:val="num" w:pos="0"/>
        </w:tabs>
        <w:ind w:start="0" w:hanging="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upperLetter"/>
      <w:suff w:val="nothing"/>
      <w:lvlText w:val="%5"/>
      <w:lvlJc w:val="start"/>
      <w:pPr>
        <w:tabs>
          <w:tab w:val="num" w:pos="0"/>
        </w:tabs>
        <w:ind w:start="0" w:hanging="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upperLetter"/>
      <w:suff w:val="nothing"/>
      <w:lvlText w:val="%5"/>
      <w:lvlJc w:val="start"/>
      <w:pPr>
        <w:tabs>
          <w:tab w:val="num" w:pos="0"/>
        </w:tabs>
        <w:ind w:start="0" w:hanging="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upperLetter"/>
      <w:suff w:val="nothing"/>
      <w:lvlText w:val="%5"/>
      <w:lvlJc w:val="start"/>
      <w:pPr>
        <w:tabs>
          <w:tab w:val="num" w:pos="0"/>
        </w:tabs>
        <w:ind w:start="0" w:hanging="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9">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0">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1">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2">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3">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4">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5">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7">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8">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9">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0">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1">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2">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3">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4">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5">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6">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lowerRoman"/>
      <w:suff w:val="nothing"/>
      <w:lvlText w:val="%4"/>
      <w:lvlJc w:val="start"/>
      <w:pPr>
        <w:tabs>
          <w:tab w:val="num" w:pos="0"/>
        </w:tabs>
        <w:ind w:start="0" w:hanging="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7">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8">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0">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1">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3">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4">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5">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6">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7">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8">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0">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1">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2">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4">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5">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8">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9">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0">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1">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2">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3">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4">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lowerLetter"/>
      <w:suff w:val="nothing"/>
      <w:lvlText w:val="%3"/>
      <w:lvlJc w:val="start"/>
      <w:pPr>
        <w:tabs>
          <w:tab w:val="num" w:pos="0"/>
        </w:tabs>
        <w:ind w:start="0" w:hanging="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6">
    <w:lvl w:ilvl="0">
      <w:start w:val="1"/>
      <w:numFmt w:val="decimal"/>
      <w:suff w:val="nothing"/>
      <w:lvlText w:val="%1"/>
      <w:lvlJc w:val="start"/>
      <w:pPr>
        <w:tabs>
          <w:tab w:val="num" w:pos="0"/>
        </w:tabs>
        <w:ind w:start="0" w:hanging="0"/>
      </w:pPr>
    </w:lvl>
    <w:lvl w:ilvl="1">
      <w:start w:val="1"/>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8">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0">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1">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Style14">
    <w:name w:val="_x0004_"/>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eastAsia="Arial" w:cs="Arial"/>
      <w:sz w:val="15"/>
      <w:szCs w:val="15"/>
    </w:rPr>
  </w:style>
  <w:style w:type="character" w:styleId="Part-Date">
    <w:name w:val="Part-Date"/>
    <w:qFormat/>
    <w:rPr/>
  </w:style>
  <w:style w:type="character" w:styleId="Std-Date">
    <w:name w:val="Std-Date"/>
    <w:qFormat/>
    <w:rPr/>
  </w:style>
  <w:style w:type="character" w:styleId="Chrono">
    <w:name w:val="Chrono"/>
    <w:qFormat/>
    <w:rPr>
      <w:sz w:val="22"/>
      <w:szCs w:val="22"/>
    </w:rPr>
  </w:style>
  <w:style w:type="character" w:styleId="Fileroom">
    <w:name w:val="Fileroom"/>
    <w:qFormat/>
    <w:rPr>
      <w:sz w:val="22"/>
      <w:szCs w:val="22"/>
    </w:rPr>
  </w:style>
  <w:style w:type="character" w:styleId="Std-Tela">
    <w:name w:val="Std-Tela"/>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AutoList1">
    <w:name w:val="2AutoList1"/>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4"/>
      <w:lang w:val="en-US" w:eastAsia="zh-CN" w:bidi="hi-IN"/>
    </w:rPr>
  </w:style>
  <w:style w:type="paragraph" w:styleId="3AutoList1">
    <w:name w:val="3AutoList1"/>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4"/>
      <w:lang w:val="en-US"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4"/>
      <w:lang w:val="en-US"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4"/>
      <w:lang w:val="en-US"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4"/>
      <w:lang w:val="en-US"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4"/>
      <w:lang w:val="en-US"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4"/>
      <w:lang w:val="en-US" w:eastAsia="zh-CN" w:bidi="hi-IN"/>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AutoList2">
    <w:name w:val="2AutoList2"/>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4"/>
      <w:lang w:val="en-US" w:eastAsia="zh-CN" w:bidi="hi-IN"/>
    </w:rPr>
  </w:style>
  <w:style w:type="paragraph" w:styleId="3AutoList2">
    <w:name w:val="3AutoList2"/>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4"/>
      <w:lang w:val="en-US" w:eastAsia="zh-CN"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4"/>
      <w:lang w:val="en-US" w:eastAsia="zh-CN"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4"/>
      <w:lang w:val="en-US" w:eastAsia="zh-CN"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4"/>
      <w:lang w:val="en-US" w:eastAsia="zh-CN"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4"/>
      <w:lang w:val="en-US" w:eastAsia="zh-CN"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4"/>
      <w:lang w:val="en-US" w:eastAsia="zh-CN" w:bidi="hi-IN"/>
    </w:rPr>
  </w:style>
  <w:style w:type="paragraph" w:styleId="1BulletList">
    <w:name w:val="1Bullet List"/>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BulletList">
    <w:name w:val="2Bullet List"/>
    <w:qFormat/>
    <w:pPr>
      <w:widowControl w:val="false"/>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4"/>
      <w:lang w:val="en-US" w:eastAsia="zh-CN" w:bidi="hi-IN"/>
    </w:rPr>
  </w:style>
  <w:style w:type="paragraph" w:styleId="3BulletList">
    <w:name w:val="3Bullet List"/>
    <w:qFormat/>
    <w:pPr>
      <w:widowControl w:val="false"/>
      <w:tabs>
        <w:tab w:val="left" w:pos="720" w:leader="none"/>
        <w:tab w:val="left" w:pos="1440" w:leader="none"/>
        <w:tab w:val="left" w:pos="2160" w:leader="none"/>
      </w:tabs>
      <w:bidi w:val="0"/>
      <w:ind w:hanging="720" w:start="2160" w:end="0"/>
      <w:jc w:val="both"/>
    </w:pPr>
    <w:rPr>
      <w:rFonts w:ascii="Times New Roman" w:hAnsi="Times New Roman" w:eastAsia="Times New Roman" w:cs="Times New Roman"/>
      <w:color w:val="auto"/>
      <w:sz w:val="24"/>
      <w:szCs w:val="24"/>
      <w:lang w:val="en-US"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ind w:hanging="720" w:start="2880" w:end="0"/>
      <w:jc w:val="both"/>
    </w:pPr>
    <w:rPr>
      <w:rFonts w:ascii="Times New Roman" w:hAnsi="Times New Roman" w:eastAsia="Times New Roman" w:cs="Times New Roman"/>
      <w:color w:val="auto"/>
      <w:sz w:val="24"/>
      <w:szCs w:val="24"/>
      <w:lang w:val="en-US"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ind w:hanging="720" w:start="3600" w:end="0"/>
      <w:jc w:val="both"/>
    </w:pPr>
    <w:rPr>
      <w:rFonts w:ascii="Times New Roman" w:hAnsi="Times New Roman" w:eastAsia="Times New Roman" w:cs="Times New Roman"/>
      <w:color w:val="auto"/>
      <w:sz w:val="24"/>
      <w:szCs w:val="24"/>
      <w:lang w:val="en-US"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720" w:start="4320" w:end="0"/>
      <w:jc w:val="both"/>
    </w:pPr>
    <w:rPr>
      <w:rFonts w:ascii="Times New Roman" w:hAnsi="Times New Roman" w:eastAsia="Times New Roman" w:cs="Times New Roman"/>
      <w:color w:val="auto"/>
      <w:sz w:val="24"/>
      <w:szCs w:val="24"/>
      <w:lang w:val="en-US"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720" w:start="5040" w:end="0"/>
      <w:jc w:val="both"/>
    </w:pPr>
    <w:rPr>
      <w:rFonts w:ascii="Times New Roman" w:hAnsi="Times New Roman" w:eastAsia="Times New Roman" w:cs="Times New Roman"/>
      <w:color w:val="auto"/>
      <w:sz w:val="24"/>
      <w:szCs w:val="24"/>
      <w:lang w:val="en-US"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720" w:start="5760" w:end="0"/>
      <w:jc w:val="both"/>
    </w:pPr>
    <w:rPr>
      <w:rFonts w:ascii="Times New Roman" w:hAnsi="Times New Roman" w:eastAsia="Times New Roman" w:cs="Times New Roman"/>
      <w:color w:val="auto"/>
      <w:sz w:val="24"/>
      <w:szCs w:val="24"/>
      <w:lang w:val="en-US" w:eastAsia="zh-CN" w:bidi="hi-IN"/>
    </w:rPr>
  </w:style>
  <w:style w:type="paragraph" w:styleId="ARTICLE">
    <w:name w:val="!ARTICLE"/>
    <w:qFormat/>
    <w:pPr>
      <w:widowControl w:val="false"/>
      <w:bidi w:val="0"/>
      <w:ind w:hanging="0" w:start="1440" w:end="1440"/>
      <w:jc w:val="center"/>
    </w:pPr>
    <w:rPr>
      <w:rFonts w:ascii="Times New Roman" w:hAnsi="Times New Roman" w:eastAsia="Times New Roman" w:cs="Times New Roman"/>
      <w:color w:val="auto"/>
      <w:sz w:val="24"/>
      <w:szCs w:val="24"/>
      <w:lang w:val="en-US" w:eastAsia="zh-CN" w:bidi="hi-IN"/>
    </w:rPr>
  </w:style>
  <w:style w:type="paragraph" w:styleId="a">
    <w:name w:val="!(a)"/>
    <w:qFormat/>
    <w:pPr>
      <w:widowControl w:val="false"/>
      <w:bidi w:val="0"/>
      <w:spacing w:before="0" w:after="240"/>
    </w:pPr>
    <w:rPr>
      <w:rFonts w:ascii="Times New Roman" w:hAnsi="Times New Roman" w:eastAsia="Times New Roman" w:cs="Times New Roman"/>
      <w:color w:val="auto"/>
      <w:sz w:val="24"/>
      <w:szCs w:val="24"/>
      <w:lang w:val="en-US" w:eastAsia="zh-CN" w:bidi="hi-IN"/>
    </w:rPr>
  </w:style>
  <w:style w:type="paragraph" w:styleId="i">
    <w:name w:val="!(i)"/>
    <w:qFormat/>
    <w:pPr>
      <w:widowControl w:val="false"/>
      <w:bidi w:val="0"/>
      <w:spacing w:before="0" w:after="240"/>
      <w:ind w:hanging="0" w:start="720" w:end="0"/>
    </w:pPr>
    <w:rPr>
      <w:rFonts w:ascii="Times New Roman" w:hAnsi="Times New Roman" w:eastAsia="Times New Roman" w:cs="Times New Roman"/>
      <w:color w:val="auto"/>
      <w:sz w:val="24"/>
      <w:szCs w:val="24"/>
      <w:lang w:val="en-US" w:eastAsia="zh-CN" w:bidi="hi-IN"/>
    </w:rPr>
  </w:style>
  <w:style w:type="paragraph" w:styleId="AUC">
    <w:name w:val="!(A)UC"/>
    <w:qFormat/>
    <w:pPr>
      <w:widowControl w:val="false"/>
      <w:bidi w:val="0"/>
      <w:spacing w:before="0" w:after="240"/>
      <w:ind w:hanging="0" w:start="1440" w:end="0"/>
    </w:pPr>
    <w:rPr>
      <w:rFonts w:ascii="Times New Roman" w:hAnsi="Times New Roman" w:eastAsia="Times New Roman" w:cs="Times New Roman"/>
      <w:color w:val="auto"/>
      <w:sz w:val="24"/>
      <w:szCs w:val="24"/>
      <w:lang w:val="en-US" w:eastAsia="zh-CN" w:bidi="hi-IN"/>
    </w:rPr>
  </w:style>
  <w:style w:type="paragraph" w:styleId="RightPar21">
    <w:name w:val="Right Par[2]"/>
    <w:qFormat/>
    <w:pPr>
      <w:widowControl w:val="false"/>
      <w:tabs>
        <w:tab w:val="left" w:pos="720" w:leader="none"/>
        <w:tab w:val="left" w:pos="1440" w:leader="none"/>
      </w:tabs>
      <w:bidi w:val="0"/>
      <w:ind w:hanging="2160" w:start="1440" w:end="0"/>
    </w:pPr>
    <w:rPr>
      <w:rFonts w:ascii="Times New Roman" w:hAnsi="Times New Roman" w:eastAsia="Times New Roman" w:cs="Times New Roman"/>
      <w:color w:val="auto"/>
      <w:sz w:val="24"/>
      <w:szCs w:val="24"/>
      <w:lang w:val="en-US" w:eastAsia="zh-CN" w:bidi="hi-IN"/>
    </w:rPr>
  </w:style>
  <w:style w:type="paragraph" w:styleId="A1">
    <w:name w:val="!A"/>
    <w:qFormat/>
    <w:pPr>
      <w:widowControl w:val="false"/>
      <w:bidi w:val="0"/>
      <w:spacing w:before="0" w:after="240"/>
    </w:pPr>
    <w:rPr>
      <w:rFonts w:ascii="Times New Roman" w:hAnsi="Times New Roman" w:eastAsia="Times New Roman" w:cs="Times New Roman"/>
      <w:color w:val="auto"/>
      <w:sz w:val="24"/>
      <w:szCs w:val="24"/>
      <w:lang w:val="en-US"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before="0" w:after="240"/>
      <w:ind w:hanging="1296" w:start="1656" w:end="1008"/>
    </w:pPr>
    <w:rPr>
      <w:rFonts w:ascii="Times New Roman" w:hAnsi="Times New Roman" w:eastAsia="Times New Roman" w:cs="Times New Roman"/>
      <w:color w:val="auto"/>
      <w:sz w:val="24"/>
      <w:szCs w:val="24"/>
      <w:lang w:val="en-US" w:eastAsia="zh-CN" w:bidi="hi-IN"/>
    </w:rPr>
  </w:style>
  <w:style w:type="paragraph" w:styleId="ToC-Level1">
    <w:name w:val="ToC-Level1"/>
    <w:qFormat/>
    <w:pPr>
      <w:widowControl w:val="false"/>
      <w:bidi w:val="0"/>
      <w:jc w:val="center"/>
    </w:pPr>
    <w:rPr>
      <w:rFonts w:ascii="Times New Roman" w:hAnsi="Times New Roman" w:eastAsia="Times New Roman" w:cs="Times New Roman"/>
      <w:color w:val="auto"/>
      <w:sz w:val="24"/>
      <w:szCs w:val="24"/>
      <w:lang w:val="en-US" w:eastAsia="zh-CN" w:bidi="hi-IN"/>
    </w:rPr>
  </w:style>
  <w:style w:type="paragraph" w:styleId="1">
    <w:name w:val="!1."/>
    <w:qFormat/>
    <w:pPr>
      <w:widowControl w:val="false"/>
      <w:tabs>
        <w:tab w:val="left" w:pos="720" w:leader="none"/>
      </w:tabs>
      <w:bidi w:val="0"/>
      <w:spacing w:before="0" w:after="240"/>
      <w:ind w:hanging="720" w:start="720" w:end="0"/>
    </w:pPr>
    <w:rPr>
      <w:rFonts w:ascii="Times New Roman" w:hAnsi="Times New Roman" w:eastAsia="Times New Roman" w:cs="Times New Roman"/>
      <w:color w:val="auto"/>
      <w:sz w:val="24"/>
      <w:szCs w:val="24"/>
      <w:lang w:val="en-US" w:eastAsia="zh-CN" w:bidi="hi-IN"/>
    </w:rPr>
  </w:style>
  <w:style w:type="paragraph" w:styleId="i1">
    <w:name w:val="![(i)"/>
    <w:qFormat/>
    <w:pPr>
      <w:widowControl w:val="false"/>
      <w:bidi w:val="0"/>
      <w:spacing w:before="0" w:after="240"/>
      <w:ind w:hanging="0" w:start="720" w:end="0"/>
    </w:pPr>
    <w:rPr>
      <w:rFonts w:ascii="Times New Roman" w:hAnsi="Times New Roman" w:eastAsia="Times New Roman" w:cs="Times New Roman"/>
      <w:color w:val="auto"/>
      <w:sz w:val="24"/>
      <w:szCs w:val="24"/>
      <w:lang w:val="en-US" w:eastAsia="zh-CN" w:bidi="hi-IN"/>
    </w:rPr>
  </w:style>
  <w:style w:type="paragraph" w:styleId="a2">
    <w:name w:val="![(a)"/>
    <w:qFormat/>
    <w:pPr>
      <w:widowControl w:val="false"/>
      <w:bidi w:val="0"/>
      <w:spacing w:before="0" w:after="240"/>
    </w:pPr>
    <w:rPr>
      <w:rFonts w:ascii="Times New Roman" w:hAnsi="Times New Roman" w:eastAsia="Times New Roman" w:cs="Times New Roman"/>
      <w:color w:val="auto"/>
      <w:sz w:val="24"/>
      <w:szCs w:val="24"/>
      <w:lang w:val="en-US" w:eastAsia="zh-CN" w:bidi="hi-IN"/>
    </w:rPr>
  </w:style>
  <w:style w:type="paragraph" w:styleId="11">
    <w:name w:val="!(1)"/>
    <w:qFormat/>
    <w:pPr>
      <w:widowControl w:val="false"/>
      <w:bidi w:val="0"/>
      <w:spacing w:before="0" w:after="240"/>
      <w:ind w:hanging="0" w:start="2160" w:end="0"/>
    </w:pPr>
    <w:rPr>
      <w:rFonts w:ascii="Times New Roman" w:hAnsi="Times New Roman" w:eastAsia="Times New Roman" w:cs="Times New Roman"/>
      <w:color w:val="auto"/>
      <w:sz w:val="24"/>
      <w:szCs w:val="24"/>
      <w:lang w:val="en-US" w:eastAsia="zh-CN" w:bidi="hi-IN"/>
    </w:rPr>
  </w:style>
  <w:style w:type="paragraph" w:styleId="Recitals">
    <w:name w:val="!Recitals"/>
    <w:qFormat/>
    <w:pPr>
      <w:widowControl w:val="false"/>
      <w:bidi w:val="0"/>
      <w:jc w:val="both"/>
    </w:pPr>
    <w:rPr>
      <w:rFonts w:ascii="Times New Roman" w:hAnsi="Times New Roman" w:eastAsia="Times New Roman" w:cs="Times New Roman"/>
      <w:color w:val="auto"/>
      <w:sz w:val="24"/>
      <w:szCs w:val="24"/>
      <w:lang w:val="en-US" w:eastAsia="zh-CN" w:bidi="hi-IN"/>
    </w:rPr>
  </w:style>
  <w:style w:type="paragraph" w:styleId="TOAHeading">
    <w:name w:val="TOA Heading"/>
    <w:basedOn w:val="Normal"/>
    <w:next w:val="Normal"/>
    <w:qFormat/>
    <w:pPr>
      <w:spacing w:before="120" w:after="0"/>
    </w:pPr>
    <w:rPr>
      <w:rFonts w:ascii="Arial" w:hAnsi="Arial" w:eastAsia="Arial" w:cs="Arial"/>
      <w:b/>
      <w:bCs/>
      <w:sz w:val="24"/>
      <w:szCs w:val="24"/>
    </w:rPr>
  </w:style>
  <w:style w:type="paragraph" w:styleId="Index2">
    <w:name w:val="index 2"/>
    <w:basedOn w:val="Normal"/>
    <w:next w:val="Normal"/>
    <w:pPr>
      <w:ind w:hanging="200" w:start="400" w:end="0"/>
    </w:pPr>
    <w:rPr/>
  </w:style>
  <w:style w:type="paragraph" w:styleId="Index1">
    <w:name w:val="index 1"/>
    <w:basedOn w:val="Normal"/>
    <w:next w:val="Normal"/>
    <w:pPr>
      <w:ind w:hanging="200" w:start="200" w:end="0"/>
    </w:pPr>
    <w:rPr/>
  </w:style>
  <w:style w:type="paragraph" w:styleId="TOC9">
    <w:name w:val="toc 9"/>
    <w:basedOn w:val="Normal"/>
    <w:next w:val="Normal"/>
    <w:pPr>
      <w:ind w:hanging="0" w:start="1600" w:end="0"/>
    </w:pPr>
    <w:rPr/>
  </w:style>
  <w:style w:type="paragraph" w:styleId="TOC8">
    <w:name w:val="toc 8"/>
    <w:basedOn w:val="Normal"/>
    <w:next w:val="Normal"/>
    <w:pPr>
      <w:ind w:hanging="0" w:start="1400" w:end="0"/>
    </w:pPr>
    <w:rPr/>
  </w:style>
  <w:style w:type="paragraph" w:styleId="TOC7">
    <w:name w:val="toc 7"/>
    <w:basedOn w:val="Normal"/>
    <w:next w:val="Normal"/>
    <w:pPr>
      <w:ind w:hanging="0" w:start="1200" w:end="0"/>
    </w:pPr>
    <w:rPr/>
  </w:style>
  <w:style w:type="paragraph" w:styleId="TOC6">
    <w:name w:val="toc 6"/>
    <w:basedOn w:val="Normal"/>
    <w:next w:val="Normal"/>
    <w:pPr>
      <w:ind w:hanging="0" w:start="1000" w:end="0"/>
    </w:pPr>
    <w:rPr/>
  </w:style>
  <w:style w:type="paragraph" w:styleId="TOC5">
    <w:name w:val="toc 5"/>
    <w:basedOn w:val="Normal"/>
    <w:next w:val="Normal"/>
    <w:pPr>
      <w:ind w:hanging="0" w:start="800" w:end="0"/>
    </w:pPr>
    <w:rPr/>
  </w:style>
  <w:style w:type="paragraph" w:styleId="TOC4">
    <w:name w:val="toc 4"/>
    <w:basedOn w:val="Normal"/>
    <w:next w:val="Normal"/>
    <w:pPr>
      <w:ind w:hanging="0" w:start="600" w:end="0"/>
    </w:pPr>
    <w:rPr/>
  </w:style>
  <w:style w:type="paragraph" w:styleId="TOC3">
    <w:name w:val="toc 3"/>
    <w:basedOn w:val="Normal"/>
    <w:next w:val="Normal"/>
    <w:pPr>
      <w:ind w:hanging="0" w:start="400" w:end="0"/>
    </w:pPr>
    <w:rPr/>
  </w:style>
  <w:style w:type="paragraph" w:styleId="TOC2">
    <w:name w:val="toc 2"/>
    <w:basedOn w:val="Normal"/>
    <w:next w:val="Normal"/>
    <w:pPr>
      <w:ind w:hanging="0" w:start="200" w:end="0"/>
    </w:pPr>
    <w:rPr/>
  </w:style>
  <w:style w:type="paragraph" w:styleId="TOC1">
    <w:name w:val="toc 1"/>
    <w:basedOn w:val="Normal"/>
    <w:next w:val="Normal"/>
    <w:pPr/>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EndnoteText">
    <w:name w:val="endnote text"/>
    <w:basedOn w:val="Normal"/>
    <w:pPr/>
    <w:rPr/>
  </w:style>
  <w:style w:type="paragraph" w:styleId="SectionHd">
    <w:name w:val="![SectionHd"/>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footer" Target="footer15.xml"/><Relationship Id="rId19" Type="http://schemas.openxmlformats.org/officeDocument/2006/relationships/footer" Target="footer16.xml"/><Relationship Id="rId20" Type="http://schemas.openxmlformats.org/officeDocument/2006/relationships/footer" Target="footer17.xml"/><Relationship Id="rId21" Type="http://schemas.openxmlformats.org/officeDocument/2006/relationships/footer" Target="footer18.xml"/><Relationship Id="rId22" Type="http://schemas.openxmlformats.org/officeDocument/2006/relationships/footer" Target="footer19.xml"/><Relationship Id="rId23" Type="http://schemas.openxmlformats.org/officeDocument/2006/relationships/footer" Target="footer20.xml"/><Relationship Id="rId24" Type="http://schemas.openxmlformats.org/officeDocument/2006/relationships/footer" Target="footer21.xml"/><Relationship Id="rId25" Type="http://schemas.openxmlformats.org/officeDocument/2006/relationships/footer" Target="footer22.xml"/><Relationship Id="rId26" Type="http://schemas.openxmlformats.org/officeDocument/2006/relationships/footer" Target="footer23.xml"/><Relationship Id="rId27" Type="http://schemas.openxmlformats.org/officeDocument/2006/relationships/footer" Target="footer24.xml"/><Relationship Id="rId28" Type="http://schemas.openxmlformats.org/officeDocument/2006/relationships/footer" Target="footer25.xml"/><Relationship Id="rId29" Type="http://schemas.openxmlformats.org/officeDocument/2006/relationships/footer" Target="footer26.xml"/><Relationship Id="rId30" Type="http://schemas.openxmlformats.org/officeDocument/2006/relationships/footer" Target="footer27.xml"/><Relationship Id="rId31" Type="http://schemas.openxmlformats.org/officeDocument/2006/relationships/footer" Target="footer28.xml"/><Relationship Id="rId32" Type="http://schemas.openxmlformats.org/officeDocument/2006/relationships/footer" Target="footer29.xml"/><Relationship Id="rId33" Type="http://schemas.openxmlformats.org/officeDocument/2006/relationships/footer" Target="footer30.xml"/><Relationship Id="rId34" Type="http://schemas.openxmlformats.org/officeDocument/2006/relationships/footer" Target="footer31.xml"/><Relationship Id="rId35" Type="http://schemas.openxmlformats.org/officeDocument/2006/relationships/footer" Target="footer32.xml"/><Relationship Id="rId36" Type="http://schemas.openxmlformats.org/officeDocument/2006/relationships/footer" Target="footer33.xml"/><Relationship Id="rId37" Type="http://schemas.openxmlformats.org/officeDocument/2006/relationships/footer" Target="footer34.xml"/><Relationship Id="rId38" Type="http://schemas.openxmlformats.org/officeDocument/2006/relationships/footer" Target="footer35.xml"/><Relationship Id="rId39" Type="http://schemas.openxmlformats.org/officeDocument/2006/relationships/footer" Target="footer36.xml"/><Relationship Id="rId40" Type="http://schemas.openxmlformats.org/officeDocument/2006/relationships/footer" Target="footer37.xml"/><Relationship Id="rId41" Type="http://schemas.openxmlformats.org/officeDocument/2006/relationships/footer" Target="footer38.xml"/><Relationship Id="rId42" Type="http://schemas.openxmlformats.org/officeDocument/2006/relationships/footer" Target="footer39.xml"/><Relationship Id="rId43" Type="http://schemas.openxmlformats.org/officeDocument/2006/relationships/footer" Target="footer40.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2000-11-09T16:17:00Z</dcterms:created>
  <dc:creator>A&amp;K</dc:creator>
  <dc:description/>
  <dc:language>en-CA</dc:language>
  <cp:lastModifiedBy>A&amp;K</cp:lastModifiedBy>
  <dcterms:modified xsi:type="dcterms:W3CDTF">2000-11-09T16:17:00Z</dcterms:modified>
  <cp:revision>2</cp:revision>
  <dc:subject/>
  <dc:title>FACILITY AGREEMENT</dc:title>
</cp:coreProperties>
</file>