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2.xml" ContentType="application/vnd.openxmlformats-officedocument.wordprocessingml.header+xml"/>
  <Override PartName="/word/footer49.xml" ContentType="application/vnd.openxmlformats-officedocument.wordprocessingml.footer+xml"/>
  <Override PartName="/word/footer12.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header39.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29.xml" ContentType="application/vnd.openxmlformats-officedocument.wordprocessingml.header+xml"/>
  <Override PartName="/word/footer60.xml" ContentType="application/vnd.openxmlformats-officedocument.wordprocessingml.footer+xml"/>
  <Override PartName="/word/header37.xml" ContentType="application/vnd.openxmlformats-officedocument.wordprocessingml.header+xml"/>
  <Override PartName="/word/header36.xml" ContentType="application/vnd.openxmlformats-officedocument.wordprocessingml.header+xml"/>
  <Override PartName="/word/footer63.xml" ContentType="application/vnd.openxmlformats-officedocument.wordprocessingml.footer+xml"/>
  <Override PartName="/word/header34.xml" ContentType="application/vnd.openxmlformats-officedocument.wordprocessingml.header+xml"/>
  <Override PartName="/word/footer62.xml" ContentType="application/vnd.openxmlformats-officedocument.wordprocessingml.footer+xml"/>
  <Override PartName="/word/header33.xml" ContentType="application/vnd.openxmlformats-officedocument.wordprocessingml.header+xml"/>
  <Override PartName="/word/footer61.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5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Security_Agreement"/>
      <w:bookmarkStart w:id="1" w:name="Standard_Agreement"/>
      <w:bookmarkStart w:id="2" w:name="Security_Agreement"/>
      <w:bookmarkStart w:id="3" w:name="Standard_Agreement"/>
      <w:bookmarkEnd w:id="2"/>
      <w:bookmarkEnd w:id="3"/>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Dated as of November [17],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HAWAII </w:t>
      </w:r>
      <w:ins w:id="0" w:author="">
        <w:r>
          <w:rPr>
            <w:b/>
            <w:strike/>
            <w:sz w:val="24"/>
          </w:rPr>
          <w:t>II</w:t>
        </w:r>
      </w:ins>
      <w:r>
        <w:rPr>
          <w:b/>
          <w:sz w:val="24"/>
        </w:rPr>
        <w:t xml:space="preserve"> </w:t>
      </w:r>
      <w:ins w:id="1" w:author="">
        <w:r>
          <w:rPr>
            <w:b/>
            <w:sz w:val="24"/>
            <w:u w:val="double"/>
          </w:rPr>
          <w:t>I</w:t>
        </w:r>
      </w:ins>
      <w:r>
        <w:rPr>
          <w:b/>
          <w:sz w:val="24"/>
        </w:rPr>
        <w:t xml:space="preserve"> 125</w:t>
        <w:noBreakHyphen/>
        <w:t>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2" w:author="">
        <w:r>
          <w:rPr>
            <w:b/>
            <w:strike/>
            <w:sz w:val="24"/>
          </w:rPr>
          <w:t>[$385,000,000</w:t>
        </w:r>
      </w:ins>
      <w:r>
        <w:rPr>
          <w:b/>
          <w:sz w:val="24"/>
        </w:rPr>
        <w:t xml:space="preserve"> </w:t>
      </w:r>
      <w:ins w:id="3" w:author="">
        <w:r>
          <w:rPr>
            <w:b/>
            <w:sz w:val="24"/>
            <w:u w:val="double"/>
          </w:rPr>
          <w:t>$[165,000,000</w:t>
        </w:r>
      </w:ins>
      <w:r>
        <w:rPr>
          <w:b/>
          <w:sz w:val="24"/>
        </w:rPr>
        <w: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 </w:t>
            <w:noBreakHyphen/>
            <w:t xml:space="preserve"> 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 </w:t>
            <w:noBreakHyphen/>
            <w:t xml:space="preserve"> TRANCHES AND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Tranches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III </w:t>
            <w:noBreakHyphen/>
            <w:t xml:space="preserve"> PARTICIPATION OF LENDERS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trike/>
              <w:sz w:val="24"/>
            </w:rPr>
          </w:pPr>
          <w:r>
            <w:rPr>
              <w:sz w:val="24"/>
            </w:rPr>
            <w:t xml:space="preserve">Section  3.3   Second Closing Date; Addition of Lenders and Increase in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double"/>
            </w:rPr>
          </w:pPr>
          <w:r>
            <w:rPr>
              <w:sz w:val="24"/>
            </w:rPr>
            <w:t>Commitments</w:t>
            <w:tab/>
          </w:r>
          <w:ins w:id="4" w:author="">
            <w:r>
              <w:rPr>
                <w:strike/>
                <w:sz w:val="24"/>
              </w:rPr>
              <w:t>17</w:t>
            </w:r>
          </w:ins>
          <w:r>
            <w:rPr>
              <w:sz w:val="24"/>
            </w:rPr>
            <w:t xml:space="preserve"> </w:t>
          </w:r>
          <w:ins w:id="5" w:author="">
            <w:r>
              <w:rPr>
                <w:b/>
                <w:sz w:val="24"/>
                <w:u w:val="doub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IV </w:t>
            <w:noBreakHyphen/>
            <w:t xml:space="preserve"> CONDITIONS PRECEDENT</w:t>
            <w:tab/>
          </w:r>
          <w:ins w:id="6" w:author="">
            <w:r>
              <w:rPr>
                <w:strike/>
                <w:sz w:val="24"/>
              </w:rPr>
              <w:t>19</w:t>
            </w:r>
          </w:ins>
          <w:r>
            <w:rPr>
              <w:sz w:val="24"/>
            </w:rPr>
            <w:t xml:space="preserve"> </w:t>
          </w:r>
          <w:ins w:id="7" w:author="">
            <w:r>
              <w:rPr>
                <w:b/>
                <w:sz w:val="24"/>
                <w:u w:val="double"/>
              </w:rPr>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 xml:space="preserve">Section  4.1   Conditions Precedent to Lenders’ Obligations under this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ins w:id="8" w:author="">
            <w:r>
              <w:rPr>
                <w:b/>
                <w:sz w:val="24"/>
                <w:u w:val="double"/>
              </w:rPr>
              <w:tab/>
              <w:tab/>
              <w:tab/>
            </w:r>
          </w:ins>
          <w:r>
            <w:rPr>
              <w:sz w:val="24"/>
            </w:rPr>
            <w:t>Agreement</w:t>
          </w:r>
          <w:ins w:id="9" w:author="">
            <w:r>
              <w:rPr>
                <w:strike/>
                <w:sz w:val="24"/>
              </w:rPr>
              <w:t>. 19</w:t>
            </w:r>
          </w:ins>
          <w:r>
            <w:rPr>
              <w:sz w:val="24"/>
            </w:rPr>
            <w:tab/>
          </w:r>
          <w:ins w:id="10" w:author="">
            <w:r>
              <w:rPr>
                <w:b/>
                <w:sz w:val="24"/>
                <w:u w:val="double"/>
              </w:rPr>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4.2   Conditions Precedent to Lenders’ Obligations to Make Advances.  </w:t>
            <w:tab/>
          </w:r>
          <w:ins w:id="11" w:author="">
            <w:r>
              <w:rPr>
                <w:strike/>
                <w:sz w:val="24"/>
              </w:rPr>
              <w:t>20</w:t>
            </w:r>
          </w:ins>
          <w:r>
            <w:rPr>
              <w:sz w:val="24"/>
            </w:rPr>
            <w:t xml:space="preserve"> </w:t>
          </w:r>
          <w:ins w:id="12" w:author="">
            <w:r>
              <w:rPr>
                <w:b/>
                <w:sz w:val="24"/>
                <w:u w:val="double"/>
              </w:rPr>
              <w:t>19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Section  4.3   Conditions Precedent to Lenders’ Obligations to Make Advances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ins w:id="13" w:author="">
            <w:r>
              <w:rPr>
                <w:b/>
                <w:sz w:val="24"/>
                <w:u w:val="double"/>
              </w:rPr>
              <w:tab/>
              <w:tab/>
              <w:tab/>
              <w:t xml:space="preserve"> </w:t>
            </w:r>
          </w:ins>
          <w:r>
            <w:rPr>
              <w:sz w:val="24"/>
            </w:rPr>
            <w:t>with</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Respect to the Hawaii </w:t>
          </w:r>
          <w:ins w:id="14" w:author="">
            <w:r>
              <w:rPr>
                <w:strike/>
                <w:sz w:val="24"/>
              </w:rPr>
              <w:t>Tranches</w:t>
            </w:r>
          </w:ins>
          <w:r>
            <w:rPr>
              <w:sz w:val="24"/>
            </w:rPr>
            <w:t xml:space="preserve"> </w:t>
          </w:r>
          <w:ins w:id="15" w:author="">
            <w:r>
              <w:rPr>
                <w:b/>
                <w:sz w:val="24"/>
                <w:u w:val="double"/>
              </w:rPr>
              <w:t>Tranche</w:t>
            </w:r>
          </w:ins>
          <w:r>
            <w:rPr>
              <w:sz w:val="24"/>
            </w:rPr>
            <w:t xml:space="preserve">.  </w:t>
            <w:tab/>
            <w:t>22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 xml:space="preserve">Section  4.4   Conditions Precedent to Lenders’ Obligations to Make Advances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ins w:id="16" w:author="">
            <w:r>
              <w:rPr>
                <w:b/>
                <w:sz w:val="24"/>
                <w:u w:val="double"/>
              </w:rPr>
              <w:tab/>
              <w:tab/>
              <w:tab/>
            </w:r>
          </w:ins>
          <w:r>
            <w:rPr>
              <w:sz w:val="24"/>
            </w:rPr>
            <w:t>with</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Respect to the Hawaii </w:t>
          </w:r>
          <w:ins w:id="17" w:author="">
            <w:r>
              <w:rPr>
                <w:strike/>
                <w:sz w:val="24"/>
              </w:rPr>
              <w:t>I</w:t>
            </w:r>
          </w:ins>
          <w:r>
            <w:rPr>
              <w:sz w:val="24"/>
            </w:rPr>
            <w:t xml:space="preserve"> </w:t>
          </w:r>
          <w:ins w:id="18" w:author="">
            <w:r>
              <w:rPr>
                <w:b/>
                <w:sz w:val="24"/>
                <w:u w:val="double"/>
              </w:rPr>
              <w:t>II</w:t>
            </w:r>
          </w:ins>
          <w:r>
            <w:rPr>
              <w:sz w:val="24"/>
            </w:rPr>
            <w:t xml:space="preserve"> Tranches.  </w:t>
            <w:tab/>
          </w:r>
          <w:ins w:id="19" w:author="">
            <w:r>
              <w:rPr>
                <w:strike/>
                <w:sz w:val="24"/>
              </w:rPr>
              <w:t>24</w:t>
            </w:r>
          </w:ins>
          <w:r>
            <w:rPr>
              <w:sz w:val="24"/>
            </w:rPr>
            <w:t xml:space="preserve"> </w:t>
          </w:r>
          <w:ins w:id="20" w:author="">
            <w:r>
              <w:rPr>
                <w:b/>
                <w:sz w:val="24"/>
                <w:u w:val="double"/>
              </w:rPr>
              <w:t>23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4.5   Commitments Not Drawn.  </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 </w:t>
            <w:noBreakHyphen/>
            <w:t xml:space="preserve"> DRAWDOWN CERTIFICATION AND DRAWDOWN PROCEDURES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Certification Procedure.</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Drawdown of the Advances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Advances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5.4   Notice to Lenders of a Proposed Drawdown</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 </w:t>
            <w:noBreakHyphen/>
            <w:t xml:space="preserve"> REPAYMENT OF ADVANCES</w:t>
            <w:tab/>
          </w:r>
          <w:ins w:id="21" w:author="">
            <w:r>
              <w:rPr>
                <w:strike/>
                <w:sz w:val="24"/>
              </w:rPr>
              <w:t>30</w:t>
            </w:r>
          </w:ins>
          <w:r>
            <w:rPr>
              <w:sz w:val="24"/>
            </w:rPr>
            <w:t xml:space="preserve"> </w:t>
          </w:r>
          <w:ins w:id="22"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6.1   Obligation to Repay</w:t>
            <w:tab/>
          </w:r>
          <w:ins w:id="23" w:author="">
            <w:r>
              <w:rPr>
                <w:strike/>
                <w:sz w:val="24"/>
              </w:rPr>
              <w:t>30</w:t>
            </w:r>
          </w:ins>
          <w:r>
            <w:rPr>
              <w:sz w:val="24"/>
            </w:rPr>
            <w:t xml:space="preserve"> </w:t>
          </w:r>
          <w:ins w:id="24"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6.2   Date of Repayment</w:t>
            <w:tab/>
          </w:r>
          <w:ins w:id="25" w:author="">
            <w:r>
              <w:rPr>
                <w:strike/>
                <w:sz w:val="24"/>
              </w:rPr>
              <w:t>30</w:t>
            </w:r>
          </w:ins>
          <w:r>
            <w:rPr>
              <w:sz w:val="24"/>
            </w:rPr>
            <w:t xml:space="preserve"> </w:t>
          </w:r>
          <w:ins w:id="26"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6.3   Repayment Pursuant to Total Return Swap</w:t>
            <w:tab/>
          </w:r>
          <w:ins w:id="27" w:author="">
            <w:r>
              <w:rPr>
                <w:strike/>
                <w:sz w:val="24"/>
              </w:rPr>
              <w:t>30</w:t>
            </w:r>
          </w:ins>
          <w:r>
            <w:rPr>
              <w:sz w:val="24"/>
            </w:rPr>
            <w:t xml:space="preserve"> </w:t>
          </w:r>
          <w:ins w:id="28" w:author="">
            <w:r>
              <w:rPr>
                <w:b/>
                <w:sz w:val="24"/>
                <w:u w:val="doub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 </w:t>
            <w:noBreakHyphen/>
            <w:t xml:space="preserve"> PREPAYMENT</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Mandatory Prepayments</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7.2   Optional Prepayments</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7.3   General</w:t>
            <w:tab/>
          </w:r>
          <w:ins w:id="29" w:author="">
            <w:r>
              <w:rPr>
                <w:strike/>
                <w:sz w:val="24"/>
              </w:rPr>
              <w:t>31</w:t>
            </w:r>
          </w:ins>
          <w:r>
            <w:rPr>
              <w:sz w:val="24"/>
            </w:rPr>
            <w:t xml:space="preserve"> </w:t>
          </w:r>
          <w:ins w:id="30" w:author="">
            <w:r>
              <w:rPr>
                <w:b/>
                <w:sz w:val="24"/>
                <w:u w:val="double"/>
              </w:rPr>
              <w:t>30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VIII </w:t>
            <w:noBreakHyphen/>
            <w:t xml:space="preserve"> INTEREST; INCREASED COSTS; TAXES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 xml:space="preserve">Section  8.2   Duration of Interest Periods; Conversion and Continuation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ins w:id="31" w:author="">
            <w:r>
              <w:rPr>
                <w:b/>
                <w:sz w:val="24"/>
                <w:u w:val="double"/>
              </w:rPr>
              <w:tab/>
              <w:tab/>
              <w:tab/>
            </w:r>
          </w:ins>
          <w:r>
            <w:rPr>
              <w:sz w:val="24"/>
            </w:rPr>
            <w:t>of</w:t>
          </w:r>
          <w:ins w:id="32" w:author="">
            <w:r>
              <w:rPr>
                <w:strike/>
                <w:sz w:val="24"/>
              </w:rPr>
              <w:t xml:space="preserve"> </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Advances</w:t>
            <w:tab/>
          </w:r>
          <w:ins w:id="33" w:author="">
            <w:r>
              <w:rPr>
                <w:strike/>
                <w:sz w:val="24"/>
              </w:rPr>
              <w:t>32</w:t>
            </w:r>
          </w:ins>
          <w:r>
            <w:rPr>
              <w:sz w:val="24"/>
            </w:rPr>
            <w:t xml:space="preserve"> </w:t>
          </w:r>
          <w:ins w:id="34" w:author="">
            <w:r>
              <w:rPr>
                <w:b/>
                <w:sz w:val="24"/>
                <w:u w:val="doub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Interest Rate Determination and Protection</w:t>
            <w:tab/>
          </w:r>
          <w:ins w:id="35" w:author="">
            <w:r>
              <w:rPr>
                <w:strike/>
                <w:sz w:val="24"/>
              </w:rPr>
              <w:t>34</w:t>
            </w:r>
          </w:ins>
          <w:r>
            <w:rPr>
              <w:sz w:val="24"/>
            </w:rPr>
            <w:t xml:space="preserve"> </w:t>
          </w:r>
          <w:ins w:id="36" w:author="">
            <w:r>
              <w:rPr>
                <w:b/>
                <w:sz w:val="24"/>
                <w:u w:val="doub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Increased Costs; Capital Adequacy, Etc.</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Illegality</w:t>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Taxes</w:t>
            <w:tab/>
          </w:r>
          <w:ins w:id="37" w:author="">
            <w:r>
              <w:rPr>
                <w:strike/>
                <w:sz w:val="24"/>
              </w:rPr>
              <w:t>36</w:t>
            </w:r>
          </w:ins>
          <w:r>
            <w:rPr>
              <w:sz w:val="24"/>
            </w:rPr>
            <w:t xml:space="preserve"> </w:t>
          </w:r>
          <w:ins w:id="38" w:author="">
            <w:r>
              <w:rPr>
                <w:b/>
                <w:sz w:val="24"/>
                <w:u w:val="double"/>
              </w:rPr>
              <w:t>35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8.9   Replacement of Lender</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8.10  Tax Characterization; Construction</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IX </w:t>
            <w:noBreakHyphen/>
            <w:t xml:space="preserve"> PAYMENTS</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r>
          <w:ins w:id="39" w:author="">
            <w:r>
              <w:rPr>
                <w:strike/>
                <w:sz w:val="24"/>
              </w:rPr>
              <w:t>40</w:t>
            </w:r>
          </w:ins>
          <w:r>
            <w:rPr>
              <w:sz w:val="24"/>
            </w:rPr>
            <w:t xml:space="preserve"> </w:t>
          </w:r>
          <w:ins w:id="40" w:author="">
            <w:r>
              <w:rPr>
                <w:b/>
                <w:sz w:val="24"/>
                <w:u w:val="double"/>
              </w:rPr>
              <w:t>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 </w:t>
            <w:noBreakHyphen/>
            <w:t xml:space="preserve"> </w:t>
          </w:r>
          <w:r>
            <w:rPr>
              <w:sz w:val="24"/>
              <w:u w:val="single"/>
            </w:rPr>
            <w:t>CERTIFICATES CONCLUSIVE</w:t>
          </w:r>
          <w:r>
            <w:rPr>
              <w:sz w:val="24"/>
            </w:rPr>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 </w:t>
            <w:noBreakHyphen/>
            <w:t xml:space="preserve"> REPRESENTATIONS AND WARRANTIES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r>
          <w:ins w:id="41" w:author="">
            <w:r>
              <w:rPr>
                <w:strike/>
                <w:sz w:val="24"/>
              </w:rPr>
              <w:t>41</w:t>
            </w:r>
          </w:ins>
          <w:r>
            <w:rPr>
              <w:sz w:val="24"/>
            </w:rPr>
            <w:t xml:space="preserve"> </w:t>
          </w:r>
          <w:ins w:id="42" w:author="">
            <w:r>
              <w:rPr>
                <w:b/>
                <w:sz w:val="24"/>
                <w:u w:val="doub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r>
          <w:ins w:id="43" w:author="">
            <w:r>
              <w:rPr>
                <w:strike/>
                <w:sz w:val="24"/>
              </w:rPr>
              <w:t>42</w:t>
            </w:r>
          </w:ins>
          <w:r>
            <w:rPr>
              <w:sz w:val="24"/>
            </w:rPr>
            <w:t xml:space="preserve"> </w:t>
          </w:r>
          <w:ins w:id="44" w:author="">
            <w:r>
              <w:rPr>
                <w:b/>
                <w:sz w:val="24"/>
                <w:u w:val="doub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 </w:t>
            <w:noBreakHyphen/>
            <w:t xml:space="preserve"> COVENANTS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r>
          <w:ins w:id="45" w:author="">
            <w:r>
              <w:rPr>
                <w:strike/>
                <w:sz w:val="24"/>
              </w:rPr>
              <w:t>44</w:t>
            </w:r>
          </w:ins>
          <w:r>
            <w:rPr>
              <w:sz w:val="24"/>
            </w:rPr>
            <w:t xml:space="preserve"> </w:t>
          </w:r>
          <w:ins w:id="46" w:author="">
            <w:r>
              <w:rPr>
                <w:b/>
                <w:sz w:val="24"/>
                <w:u w:val="doub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12.5   Exercise of Put Options; Demand Note</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XIII </w:t>
            <w:noBreakHyphen/>
            <w:t xml:space="preserve"> EVENTS OF DEFAULT</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r>
          <w:ins w:id="47" w:author="">
            <w:r>
              <w:rPr>
                <w:strike/>
                <w:sz w:val="24"/>
              </w:rPr>
              <w:t>49</w:t>
            </w:r>
          </w:ins>
          <w:r>
            <w:rPr>
              <w:sz w:val="24"/>
            </w:rPr>
            <w:t xml:space="preserve"> </w:t>
          </w:r>
          <w:ins w:id="48" w:author="">
            <w:r>
              <w:rPr>
                <w:b/>
                <w:sz w:val="24"/>
                <w:u w:val="double"/>
              </w:rPr>
              <w:t>48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XIV </w:t>
            <w:noBreakHyphen/>
            <w:t xml:space="preserve"> THE AGENT AND THE OTHER FINANCE PARTIES</w:t>
            <w:tab/>
            <w:t>49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w:t>
            <w:tab/>
            <w:t>49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r>
          <w:ins w:id="49" w:author="">
            <w:r>
              <w:rPr>
                <w:strike/>
                <w:sz w:val="24"/>
              </w:rPr>
              <w:t>50</w:t>
            </w:r>
          </w:ins>
          <w:r>
            <w:rPr>
              <w:sz w:val="24"/>
            </w:rPr>
            <w:t xml:space="preserve"> </w:t>
          </w:r>
          <w:ins w:id="50" w:author="">
            <w:r>
              <w:rPr>
                <w:b/>
                <w:sz w:val="24"/>
                <w:u w:val="double"/>
              </w:rPr>
              <w:t>49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t>50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080"/>
            <w:jc w:val="start"/>
            <w:rPr>
              <w:sz w:val="24"/>
            </w:rPr>
          </w:pPr>
          <w:r>
            <w:rPr>
              <w:sz w:val="24"/>
            </w:rPr>
            <w:t>Section  14.4   Exoneration of Agent, Syndication Agent,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start"/>
            <w:rPr>
              <w:sz w:val="24"/>
            </w:rPr>
          </w:pPr>
          <w:r>
            <w:rPr>
              <w:sz w:val="24"/>
            </w:rPr>
            <w:tab/>
            <w:tab/>
            <w:tab/>
            <w:tab/>
            <w:t xml:space="preserve"> Arranger and Co</w:t>
            <w:noBreakHyphen/>
            <w:t>Arrangers</w:t>
            <w:tab/>
            <w:t>51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the Co</w:t>
            <w:noBreakHyphen/>
            <w:t>Arrangers, the Syndication Agent, the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the Documentation Agent Individually</w:t>
            <w:tab/>
            <w:t>52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t>52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Section  14.7   Non</w:t>
            <w:noBreakHyphen/>
            <w:t>Reliance on Agent, Co</w:t>
            <w:noBreakHyphen/>
            <w:t xml:space="preserve">Arrangers, Syndication Agent,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ins w:id="51" w:author="">
            <w:r>
              <w:rPr>
                <w:b/>
                <w:sz w:val="24"/>
                <w:u w:val="double"/>
              </w:rPr>
              <w:tab/>
              <w:tab/>
              <w:tab/>
            </w:r>
          </w:ins>
          <w:r>
            <w:rPr>
              <w:sz w:val="24"/>
            </w:rPr>
            <w:t>Arranger</w:t>
          </w:r>
          <w:ins w:id="52" w:author="">
            <w:r>
              <w:rPr>
                <w:strike/>
                <w:sz w:val="24"/>
              </w:rPr>
              <w:t xml:space="preserve"> </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or Documentation Agent</w:t>
            <w:tab/>
          </w:r>
          <w:ins w:id="53" w:author="">
            <w:r>
              <w:rPr>
                <w:strike/>
                <w:sz w:val="24"/>
              </w:rPr>
              <w:t>53</w:t>
            </w:r>
          </w:ins>
          <w:r>
            <w:rPr>
              <w:sz w:val="24"/>
            </w:rPr>
            <w:t xml:space="preserve"> </w:t>
          </w:r>
          <w:ins w:id="54" w:author="">
            <w:r>
              <w:rPr>
                <w:b/>
                <w:sz w:val="24"/>
                <w:u w:val="double"/>
              </w:rPr>
              <w:t>52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 Syndication Agent, Arranger, Co</w:t>
            <w:noBreakHyphen/>
            <w:t>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Documentation Agent</w:t>
            <w:tab/>
            <w:t>53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 xml:space="preserve">Section  14.9   Termination and Resignation of Agency; Appointment of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ins w:id="55" w:author="">
            <w:r>
              <w:rPr>
                <w:b/>
                <w:sz w:val="24"/>
                <w:u w:val="double"/>
              </w:rPr>
              <w:tab/>
              <w:tab/>
              <w:tab/>
            </w:r>
          </w:ins>
          <w:r>
            <w:rPr>
              <w:sz w:val="24"/>
            </w:rPr>
            <w:t>Successor</w:t>
            <w:tab/>
          </w:r>
          <w:ins w:id="56" w:author="">
            <w:r>
              <w:rPr>
                <w:b/>
                <w:sz w:val="24"/>
                <w:u w:val="double"/>
              </w:rPr>
              <w:t>53</w:t>
            </w:r>
          </w:ins>
          <w:r>
            <w:rPr>
              <w:sz w:val="24"/>
            </w:rPr>
            <w:t xml:space="preserve"> </w:t>
          </w:r>
          <w:ins w:id="57" w:author="">
            <w:r>
              <w:rPr>
                <w:strike/>
                <w:sz w:val="24"/>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r>
          <w:ins w:id="58" w:author="">
            <w:r>
              <w:rPr>
                <w:strike/>
                <w:sz w:val="24"/>
              </w:rPr>
              <w:t>55</w:t>
            </w:r>
          </w:ins>
          <w:r>
            <w:rPr>
              <w:sz w:val="24"/>
            </w:rPr>
            <w:t xml:space="preserve"> </w:t>
          </w:r>
          <w:ins w:id="59" w:author="">
            <w:r>
              <w:rPr>
                <w:b/>
                <w:sz w:val="24"/>
                <w:u w:val="double"/>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14.11   Change of Office of Agent or Arranger</w:t>
            <w:tab/>
          </w:r>
          <w:ins w:id="60" w:author="">
            <w:r>
              <w:rPr>
                <w:strike/>
                <w:sz w:val="24"/>
              </w:rPr>
              <w:t>55</w:t>
            </w:r>
          </w:ins>
          <w:r>
            <w:rPr>
              <w:sz w:val="24"/>
            </w:rPr>
            <w:t xml:space="preserve"> </w:t>
          </w:r>
          <w:ins w:id="61" w:author="">
            <w:r>
              <w:rPr>
                <w:b/>
                <w:sz w:val="24"/>
                <w:u w:val="double"/>
              </w:rPr>
              <w:t>54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b/>
              <w:sz w:val="24"/>
              <w:u w:val="double"/>
            </w:rPr>
          </w:pPr>
          <w:r>
            <w:rPr>
              <w:sz w:val="24"/>
            </w:rPr>
            <w:t>Section  14.12   The Co</w:t>
            <w:noBreakHyphen/>
            <w:t xml:space="preserve">Arrangers, Syndication Agent, Arranger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trike/>
              <w:sz w:val="24"/>
            </w:rPr>
          </w:pPr>
          <w:ins w:id="62" w:author="">
            <w:r>
              <w:rPr>
                <w:b/>
                <w:sz w:val="24"/>
                <w:u w:val="double"/>
              </w:rPr>
              <w:tab/>
              <w:tab/>
              <w:tab/>
            </w:r>
          </w:ins>
          <w:r>
            <w:rPr>
              <w:sz w:val="24"/>
            </w:rPr>
            <w:t>Documentation</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Agent</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 </w:t>
            <w:noBreakHyphen/>
            <w:t xml:space="preserve"> EVIDENCE OF INDEBTEDNESS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 </w:t>
            <w:noBreakHyphen/>
            <w:t xml:space="preserve"> APPLICATION OF MONEYS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16.1   Priority of Payments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 </w:t>
            <w:noBreakHyphen/>
            <w:t xml:space="preserve"> PRO RATA PAYMENTS</w:t>
            <w:tab/>
          </w:r>
          <w:ins w:id="63" w:author="">
            <w:r>
              <w:rPr>
                <w:strike/>
                <w:sz w:val="24"/>
              </w:rPr>
              <w:t>56</w:t>
            </w:r>
          </w:ins>
          <w:r>
            <w:rPr>
              <w:sz w:val="24"/>
            </w:rPr>
            <w:t xml:space="preserve"> </w:t>
          </w:r>
          <w:ins w:id="64" w:author="">
            <w:r>
              <w:rPr>
                <w:b/>
                <w:sz w:val="24"/>
                <w:u w:val="double"/>
              </w:rPr>
              <w:t>55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17.1   Recoveries by Lenders</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17.2   Notification to Agent of Recoveries to Lender</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17.3   Lender to Supply Agent with Specified Information</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17.4   Agreement to Use Reasonable Efforts</w:t>
            <w:tab/>
          </w:r>
          <w:ins w:id="65" w:author="">
            <w:r>
              <w:rPr>
                <w:strike/>
                <w:sz w:val="24"/>
              </w:rPr>
              <w:t>57</w:t>
            </w:r>
          </w:ins>
          <w:r>
            <w:rPr>
              <w:sz w:val="24"/>
            </w:rPr>
            <w:t xml:space="preserve"> </w:t>
          </w:r>
          <w:ins w:id="66"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17.5   No Lien Against Lender</w:t>
            <w:tab/>
          </w:r>
          <w:ins w:id="67" w:author="">
            <w:r>
              <w:rPr>
                <w:strike/>
                <w:sz w:val="24"/>
              </w:rPr>
              <w:t>57</w:t>
            </w:r>
          </w:ins>
          <w:r>
            <w:rPr>
              <w:sz w:val="24"/>
            </w:rPr>
            <w:t xml:space="preserve"> </w:t>
          </w:r>
          <w:ins w:id="68" w:author="">
            <w:r>
              <w:rPr>
                <w:b/>
                <w:sz w:val="24"/>
                <w:u w:val="double"/>
              </w:rPr>
              <w:t>56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XVIII </w:t>
            <w:noBreakHyphen/>
            <w:t xml:space="preserve"> SET</w:t>
            <w:noBreakHyphen/>
            <w:t>OFF</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XIX </w:t>
            <w:noBreakHyphen/>
            <w:t xml:space="preserve"> NOTICES</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19.1   Addresses and Method of Notice</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19.2   Timing of Notice</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19.3   Proving Service of Notice</w:t>
            <w:tab/>
          </w:r>
          <w:ins w:id="69" w:author="">
            <w:r>
              <w:rPr>
                <w:strike/>
                <w:sz w:val="24"/>
              </w:rPr>
              <w:t>58</w:t>
            </w:r>
          </w:ins>
          <w:r>
            <w:rPr>
              <w:sz w:val="24"/>
            </w:rPr>
            <w:t xml:space="preserve"> </w:t>
          </w:r>
          <w:ins w:id="70" w:author="">
            <w:r>
              <w:rPr>
                <w:b/>
                <w:sz w:val="24"/>
                <w:u w:val="double"/>
              </w:rPr>
              <w:t>57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 </w:t>
            <w:noBreakHyphen/>
            <w:t xml:space="preserve"> NO IMPLIED WAIVERS</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20.1   No Waiver</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20.2   Rights and Remedies Cumulative</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 </w:t>
            <w:noBreakHyphen/>
            <w:t xml:space="preserve"> INVALIDITY OF ANY PROVISION</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 </w:t>
            <w:noBreakHyphen/>
            <w:t xml:space="preserve"> CONFIDENTIALITY</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22.1   Confidential Information</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22.2   Public Announcements</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XXIII </w:t>
            <w:noBreakHyphen/>
            <w:t xml:space="preserve"> CHANGES TO PARTIES</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XXIV </w:t>
            <w:noBreakHyphen/>
            <w:t xml:space="preserve"> LENDER DECISIONS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 </w:t>
            <w:noBreakHyphen/>
            <w:t xml:space="preserve"> INDEMNITIES</w:t>
            <w:tab/>
          </w:r>
          <w:ins w:id="71" w:author="">
            <w:r>
              <w:rPr>
                <w:strike/>
                <w:sz w:val="24"/>
              </w:rPr>
              <w:t>63</w:t>
            </w:r>
          </w:ins>
          <w:r>
            <w:rPr>
              <w:sz w:val="24"/>
            </w:rPr>
            <w:t xml:space="preserve"> </w:t>
          </w:r>
          <w:ins w:id="72"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r>
          <w:ins w:id="73" w:author="">
            <w:r>
              <w:rPr>
                <w:strike/>
                <w:sz w:val="24"/>
              </w:rPr>
              <w:t>63</w:t>
            </w:r>
          </w:ins>
          <w:r>
            <w:rPr>
              <w:sz w:val="24"/>
            </w:rPr>
            <w:t xml:space="preserve"> </w:t>
          </w:r>
          <w:ins w:id="74" w:author="">
            <w:r>
              <w:rPr>
                <w:b/>
                <w:sz w:val="24"/>
                <w:u w:val="double"/>
              </w:rPr>
              <w:t>62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 </w:t>
            <w:noBreakHyphen/>
            <w:t xml:space="preserve"> GOVERNING LAW</w:t>
            <w:tab/>
          </w:r>
          <w:ins w:id="75" w:author="">
            <w:r>
              <w:rPr>
                <w:strike/>
                <w:sz w:val="24"/>
              </w:rPr>
              <w:t>64</w:t>
            </w:r>
          </w:ins>
          <w:r>
            <w:rPr>
              <w:sz w:val="24"/>
            </w:rPr>
            <w:t xml:space="preserve"> </w:t>
          </w:r>
          <w:ins w:id="76" w:author="">
            <w:r>
              <w:rPr>
                <w:b/>
                <w:sz w:val="24"/>
                <w:u w:val="double"/>
              </w:rPr>
              <w:t>63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XXVII </w:t>
            <w:noBreakHyphen/>
            <w:t xml:space="preserve"> COUNTERPARTS</w:t>
            <w:tab/>
            <w:t>64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XXVIII </w:t>
            <w:noBreakHyphen/>
            <w:t xml:space="preserve"> THE TRUST INSTITUTION</w:t>
            <w:tab/>
            <w:t>64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Part</w:t>
            <w:tab/>
          </w:r>
          <w:ins w:id="77" w:author="">
            <w:r>
              <w:rPr>
                <w:strike/>
                <w:sz w:val="24"/>
              </w:rPr>
              <w:t>2</w:t>
            </w:r>
          </w:ins>
          <w:r>
            <w:rPr>
              <w:sz w:val="24"/>
            </w:rPr>
            <w:t xml:space="preserve"> </w:t>
          </w:r>
          <w:ins w:id="78" w:author="">
            <w:r>
              <w:rPr>
                <w:b/>
                <w:sz w:val="24"/>
                <w:u w:val="double"/>
              </w:rPr>
              <w:t>3</w:t>
            </w:r>
          </w:ins>
          <w:r>
            <w:rPr>
              <w:sz w:val="24"/>
              <w:u w:val="double"/>
              <w:b/>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u w:val="single"/>
        </w:rPr>
        <w:t>SCHEDULES AND EXHIBITS</w:t>
      </w:r>
      <w:r>
        <w:rPr>
          <w:b/>
          <w:sz w:val="24"/>
        </w:rPr>
        <w:t>:</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SCHEDULE 1 </w:t>
        <w:noBreakHyphen/>
        <w:t xml:space="preserve"> </w:t>
        <w:tab/>
        <w:t xml:space="preserve">Commitments and Funding Offices </w:t>
        <w:tab/>
        <w:t>S1</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A </w:t>
        <w:tab/>
        <w:noBreakHyphen/>
        <w:tab/>
        <w:t xml:space="preserve">Form of Drawdown Request </w:t>
        <w:tab/>
        <w:t>Ex A</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B </w:t>
        <w:tab/>
        <w:noBreakHyphen/>
        <w:tab/>
        <w:t xml:space="preserve">Form of Note </w:t>
        <w:tab/>
        <w:t>Ex B</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C </w:t>
        <w:tab/>
        <w:noBreakHyphen/>
        <w:tab/>
        <w:t xml:space="preserve">Form of Instrument of Assignment </w:t>
        <w:tab/>
        <w:t>Ex C</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r>
      <w:ins w:id="79" w:author="">
        <w:r>
          <w:rPr>
            <w:strike/>
            <w:sz w:val="24"/>
          </w:rPr>
          <w:noBreakHyphen/>
        </w:r>
      </w:ins>
      <w:r>
        <w:rPr>
          <w:sz w:val="24"/>
        </w:rPr>
        <w:t xml:space="preserve">Schedule 1 to Instrument of Assignment </w:t>
        <w:tab/>
        <w:t>Ex C</w:t>
        <w:noBreakHyphen/>
        <w:t>5</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r>
      <w:ins w:id="80" w:author="">
        <w:r>
          <w:rPr>
            <w:strike/>
            <w:sz w:val="24"/>
          </w:rPr>
          <w:noBreakHyphen/>
        </w:r>
      </w:ins>
      <w:r>
        <w:rPr>
          <w:sz w:val="24"/>
        </w:rPr>
        <w:t xml:space="preserve">Schedule 2 to Instrument of Assignment </w:t>
        <w:tab/>
        <w:t>Ex C</w:t>
        <w:noBreakHyphen/>
        <w:t>6</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D </w:t>
        <w:tab/>
        <w:noBreakHyphen/>
        <w:tab/>
        <w:t xml:space="preserve">Payment Instructions </w:t>
        <w:tab/>
        <w:t>Ex D</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E </w:t>
        <w:tab/>
        <w:noBreakHyphen/>
        <w:tab/>
        <w:t xml:space="preserve">Part A </w:t>
        <w:noBreakHyphen/>
        <w:t xml:space="preserve"> Methodology for Asset Valuation</w:t>
        <w:tab/>
        <w:t>Ex. E</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r>
      <w:ins w:id="81" w:author="">
        <w:r>
          <w:rPr>
            <w:strike/>
            <w:sz w:val="24"/>
          </w:rPr>
          <w:noBreakHyphen/>
        </w:r>
      </w:ins>
      <w:r>
        <w:rPr>
          <w:sz w:val="24"/>
        </w:rPr>
        <w:t xml:space="preserve">Part B </w:t>
        <w:noBreakHyphen/>
        <w:t xml:space="preserve"> Model Structure </w:t>
        <w:tab/>
        <w:t>Ex. E</w:t>
        <w:noBreakHyphen/>
        <w:t>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F </w:t>
        <w:tab/>
        <w:noBreakHyphen/>
        <w:t xml:space="preserve"> </w:t>
        <w:tab/>
        <w:t>Form of Independent Auctioneer Letter</w:t>
        <w:tab/>
        <w:t>Ex. F</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G1</w:t>
        <w:tab/>
        <w:noBreakHyphen/>
        <w:tab/>
        <w:t>Form of Swap Confirmation</w:t>
        <w:tab/>
        <w:t>Ex. G1</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G2</w:t>
        <w:tab/>
        <w:noBreakHyphen/>
        <w:tab/>
        <w:t>Form of Swap Schedule (Permitted Swap Party)</w:t>
        <w:tab/>
        <w:t>Ex. G2</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G3 </w:t>
        <w:tab/>
        <w:noBreakHyphen/>
        <w:tab/>
        <w:t>Form of Swap Schedule (Enron)</w:t>
        <w:tab/>
        <w:t>Ex. G3</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G4 </w:t>
        <w:tab/>
        <w:noBreakHyphen/>
        <w:tab/>
        <w:t>Form of Enron Guaranty</w:t>
        <w:tab/>
        <w:t>Ex. G4</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H </w:t>
        <w:tab/>
        <w:noBreakHyphen/>
        <w:tab/>
        <w:t>Form of Transfer and Auction Agreement</w:t>
        <w:tab/>
        <w:t>Ex. H</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I </w:t>
        <w:tab/>
        <w:noBreakHyphen/>
        <w:tab/>
        <w:t xml:space="preserve">Part A </w:t>
        <w:noBreakHyphen/>
        <w:t xml:space="preserve"> Form of Asset LLC Agreement</w:t>
        <w:tab/>
        <w:t>Ex. I</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r>
      <w:ins w:id="82" w:author="">
        <w:r>
          <w:rPr>
            <w:strike/>
            <w:sz w:val="24"/>
          </w:rPr>
          <w:noBreakHyphen/>
        </w:r>
      </w:ins>
      <w:r>
        <w:rPr>
          <w:sz w:val="24"/>
        </w:rPr>
        <w:t xml:space="preserve">Part B    </w:t>
        <w:noBreakHyphen/>
        <w:t xml:space="preserve"> Form of Transferor LLC Agreement</w:t>
        <w:tab/>
        <w:t>Ex. I</w:t>
        <w:noBreakHyphen/>
        <w:t>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J </w:t>
        <w:tab/>
        <w:noBreakHyphen/>
        <w:t xml:space="preserve"> </w:t>
        <w:tab/>
        <w:t>Form of Legal Opinions</w:t>
        <w:tab/>
        <w:t>Ex. J</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Kl</w:t>
        <w:tab/>
        <w:noBreakHyphen/>
        <w:tab/>
        <w:t>Form of Asset Notice</w:t>
        <w:tab/>
        <w:t>Ex. K1</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K2      </w:t>
        <w:noBreakHyphen/>
        <w:t xml:space="preserve">      </w:t>
        <w:tab/>
        <w:t xml:space="preserve">Form of Asset Summary </w:t>
        <w:tab/>
        <w:t>Ex. K2</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L1</w:t>
        <w:tab/>
        <w:noBreakHyphen/>
        <w:tab/>
        <w:t>Form of Additional Lender Certificate</w:t>
        <w:tab/>
        <w:t>Ex. L1</w:t>
        <w:noBreakHyphen/>
        <w:t>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L2</w:t>
        <w:tab/>
        <w:noBreakHyphen/>
        <w:tab/>
        <w:t>Form of Increased Commitment Certificate</w:t>
        <w:tab/>
        <w:t>Ex. L2</w:t>
        <w:noBreakHyphen/>
        <w:t>1</w:t>
      </w:r>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M        </w:t>
        <w:noBreakHyphen/>
        <w:t xml:space="preserve">          </w:t>
        <w:tab/>
        <w:t>Form of Omnibus Amendment</w:t>
        <w:tab/>
        <w:t>Ex. M</w:t>
        <w:noBreakHyphen/>
        <w:t>1</w:t>
      </w:r>
      <w:r>
        <w:br w:type="page"/>
      </w:r>
    </w:p>
    <w:p>
      <w:pPr>
        <w:pStyle w:val="Normal"/>
        <w:bidi w:val="0"/>
        <w:jc w:val="start"/>
        <w:rPr>
          <w:sz w:val="24"/>
        </w:rPr>
      </w:pPr>
      <w:r>
        <w:rPr>
          <w:sz w:val="24"/>
        </w:rPr>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xml:space="preserve">”), dated as of November [17], 2000, is entered into by and between Hawaii </w:t>
      </w:r>
      <w:ins w:id="83" w:author="">
        <w:r>
          <w:rPr>
            <w:strike/>
            <w:sz w:val="24"/>
          </w:rPr>
          <w:t>II</w:t>
        </w:r>
      </w:ins>
      <w:r>
        <w:rPr>
          <w:sz w:val="24"/>
        </w:rPr>
        <w:t xml:space="preserve"> </w:t>
      </w:r>
      <w:ins w:id="84" w:author="">
        <w:r>
          <w:rPr>
            <w:b/>
            <w:sz w:val="24"/>
            <w:u w:val="double"/>
          </w:rPr>
          <w:t>I</w:t>
        </w:r>
      </w:ins>
      <w:r>
        <w:rPr>
          <w:sz w:val="24"/>
        </w:rPr>
        <w:t xml:space="preserve"> 125</w:t>
        <w:noBreakHyphen/>
        <w:t>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 Paolo IMI S.p.A., as co</w:t>
        <w:noBreakHyphen/>
        <w:t>arrangers (in such capacity, together with their respective successors and assigns in such capacity, the “</w:t>
      </w:r>
      <w:r>
        <w:rPr>
          <w:b/>
          <w:sz w:val="24"/>
          <w:u w:val="single"/>
        </w:rPr>
        <w:t>Co</w:t>
        <w:noBreakHyphen/>
        <w:t>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 xml:space="preserve">means </w:t>
      </w:r>
      <w:ins w:id="85" w:author="">
        <w:r>
          <w:rPr>
            <w:strike/>
            <w:sz w:val="24"/>
          </w:rPr>
          <w:t>0.80%</w:t>
        </w:r>
      </w:ins>
      <w:ins w:id="86" w:author="">
        <w:r>
          <w:rPr>
            <w:b/>
            <w:sz w:val="24"/>
            <w:u w:val="double"/>
          </w:rPr>
          <w:t>_______%</w:t>
        </w:r>
      </w:ins>
      <w:r>
        <w:rPr>
          <w:sz w:val="24"/>
        </w:rPr>
        <w:t xml:space="preserve">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w:t>
      </w:r>
      <w:ins w:id="87" w:author="">
        <w:r>
          <w:rPr>
            <w:strike/>
            <w:sz w:val="24"/>
          </w:rPr>
          <w:t>Tranches</w:t>
        </w:r>
      </w:ins>
      <w:r>
        <w:rPr>
          <w:sz w:val="24"/>
        </w:rPr>
        <w:t xml:space="preserve"> </w:t>
      </w:r>
      <w:ins w:id="88" w:author="">
        <w:r>
          <w:rPr>
            <w:b/>
            <w:sz w:val="24"/>
            <w:u w:val="double"/>
          </w:rPr>
          <w:t>Tranche</w:t>
        </w:r>
      </w:ins>
      <w:r>
        <w:rPr>
          <w:sz w:val="24"/>
        </w:rPr>
        <w:t xml:space="preserve"> and the Hawaii </w:t>
      </w:r>
      <w:ins w:id="89" w:author="">
        <w:r>
          <w:rPr>
            <w:strike/>
            <w:sz w:val="24"/>
          </w:rPr>
          <w:t>I</w:t>
        </w:r>
      </w:ins>
      <w:r>
        <w:rPr>
          <w:sz w:val="24"/>
        </w:rPr>
        <w:t xml:space="preserve"> </w:t>
      </w:r>
      <w:ins w:id="90" w:author="">
        <w:r>
          <w:rPr>
            <w:b/>
            <w:sz w:val="24"/>
            <w:u w:val="double"/>
          </w:rPr>
          <w:t>II</w:t>
        </w:r>
      </w:ins>
      <w:r>
        <w:rPr>
          <w:sz w:val="24"/>
        </w:rPr>
        <w:t xml:space="preserve">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rPr>
        <w:tab/>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[17],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r>
        <w:rPr>
          <w:b/>
          <w:sz w:val="24"/>
        </w:rPr>
        <w:t>[</w:t>
      </w:r>
      <w:ins w:id="91" w:author="">
        <w:r>
          <w:rPr>
            <w:strike/>
            <w:sz w:val="24"/>
          </w:rPr>
          <w:t>385,000,000</w:t>
        </w:r>
      </w:ins>
      <w:r>
        <w:rPr>
          <w:sz w:val="24"/>
        </w:rPr>
        <w:t xml:space="preserve"> </w:t>
      </w:r>
      <w:ins w:id="92" w:author="">
        <w:r>
          <w:rPr>
            <w:b/>
            <w:sz w:val="24"/>
            <w:u w:val="double"/>
          </w:rPr>
          <w:t>165,500,000</w:t>
        </w:r>
      </w:ins>
      <w:r>
        <w:rPr>
          <w:b/>
          <w:sz w:val="24"/>
        </w:rPr>
        <w:t>]</w:t>
      </w:r>
      <w:r>
        <w:rPr>
          <w:sz w:val="24"/>
        </w:rPr>
        <w:t xml:space="preserve"> (or such other lesser amount as may be agreed by the Agent and the Trust) for the period from the Closing Date to the day prior to the Second Closing Date, nor greater than $</w:t>
      </w:r>
      <w:r>
        <w:rPr>
          <w:b/>
          <w:sz w:val="24"/>
        </w:rPr>
        <w:t>[</w:t>
      </w:r>
      <w:ins w:id="93" w:author="">
        <w:r>
          <w:rPr>
            <w:strike/>
            <w:sz w:val="24"/>
          </w:rPr>
          <w:t>462,000,000</w:t>
        </w:r>
      </w:ins>
      <w:r>
        <w:rPr>
          <w:sz w:val="24"/>
        </w:rPr>
        <w:t xml:space="preserve"> </w:t>
      </w:r>
      <w:ins w:id="94" w:author="">
        <w:r>
          <w:rPr>
            <w:b/>
            <w:sz w:val="24"/>
            <w:u w:val="double"/>
          </w:rPr>
          <w:t>198,600,000</w:t>
        </w:r>
      </w:ins>
      <w:r>
        <w:rPr>
          <w:b/>
          <w:sz w:val="24"/>
        </w:rPr>
        <w:t>]</w:t>
      </w:r>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Commitment Amount</w:t>
      </w:r>
      <w:r>
        <w:rPr>
          <w:sz w:val="24"/>
        </w:rPr>
        <w:t>”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xml:space="preserve">” means, in respect of </w:t>
      </w:r>
      <w:ins w:id="95" w:author="">
        <w:r>
          <w:rPr>
            <w:strike/>
            <w:sz w:val="24"/>
          </w:rPr>
          <w:t>each</w:t>
        </w:r>
      </w:ins>
      <w:r>
        <w:rPr>
          <w:sz w:val="24"/>
        </w:rPr>
        <w:t xml:space="preserve"> </w:t>
      </w:r>
      <w:ins w:id="96" w:author="">
        <w:r>
          <w:rPr>
            <w:b/>
            <w:sz w:val="24"/>
            <w:u w:val="double"/>
          </w:rPr>
          <w:t>the</w:t>
        </w:r>
      </w:ins>
      <w:r>
        <w:rPr>
          <w:sz w:val="24"/>
        </w:rPr>
        <w:t xml:space="preserve">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t>“</w:t>
      </w:r>
      <w:r>
        <w:rPr>
          <w:b/>
          <w:sz w:val="24"/>
          <w:u w:val="single"/>
        </w:rPr>
        <w:t>Enron Guaranty</w:t>
      </w:r>
      <w:r>
        <w:rPr>
          <w:sz w:val="24"/>
        </w:rPr>
        <w:t>” means a guaranty from Enron to the Trust in substantially the form of Exhibit G4, together with such amendments as the Agent may approve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and (ii) the fee letter dated October 13, 2000 among the Agent, the Arranger and Enron.</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Final Advance Date</w:t>
      </w:r>
      <w:r>
        <w:rPr>
          <w:b/>
          <w:sz w:val="24"/>
        </w:rPr>
        <w:t>”</w:t>
      </w:r>
      <w:r>
        <w:rPr>
          <w:sz w:val="24"/>
        </w:rPr>
        <w:t xml:space="preserve"> means October [17], </w:t>
      </w:r>
      <w:ins w:id="97" w:author="">
        <w:r>
          <w:rPr>
            <w:strike/>
            <w:sz w:val="24"/>
          </w:rPr>
          <w:t>2002</w:t>
        </w:r>
      </w:ins>
      <w:r>
        <w:rPr>
          <w:sz w:val="24"/>
        </w:rPr>
        <w:t xml:space="preserve"> </w:t>
      </w:r>
      <w:ins w:id="98" w:author="">
        <w:r>
          <w:rPr>
            <w:b/>
            <w:sz w:val="24"/>
            <w:u w:val="double"/>
          </w:rPr>
          <w:t>2001</w:t>
        </w:r>
      </w:ins>
      <w:r>
        <w:rPr>
          <w:sz w:val="24"/>
        </w:rPr>
        <w:t xml:space="preserve">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w:t>
        <w:noBreakHyphen/>
        <w:t>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rPr>
        <w:tab/>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Facility Agreement</w:t>
      </w:r>
      <w:r>
        <w:rPr>
          <w:sz w:val="24"/>
        </w:rPr>
        <w:t>”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bidi w:val="0"/>
        <w:jc w:val="both"/>
        <w:rPr>
          <w:sz w:val="24"/>
        </w:rPr>
      </w:pPr>
      <w:r>
        <w:rPr>
          <w:sz w:val="24"/>
        </w:rPr>
      </w:r>
    </w:p>
    <w:p>
      <w:pPr>
        <w:pStyle w:val="Normal"/>
        <w:bidi w:val="0"/>
        <w:jc w:val="both"/>
        <w:rPr>
          <w:strike/>
          <w:sz w:val="24"/>
          <w:ins w:id="101" w:author=""/>
        </w:rPr>
      </w:pPr>
      <w:r>
        <w:rPr>
          <w:sz w:val="24"/>
        </w:rPr>
        <w:tab/>
        <w:t>“</w:t>
      </w:r>
      <w:r>
        <w:rPr>
          <w:b/>
          <w:sz w:val="24"/>
          <w:u w:val="single"/>
        </w:rPr>
        <w:t xml:space="preserve">Hawaii </w:t>
      </w:r>
      <w:ins w:id="99" w:author="">
        <w:r>
          <w:rPr>
            <w:b/>
            <w:sz w:val="24"/>
            <w:u w:val="double"/>
          </w:rPr>
          <w:t>Tranche” shall mean the Tranche</w:t>
        </w:r>
      </w:ins>
      <w:r>
        <w:rPr>
          <w:sz w:val="24"/>
        </w:rPr>
        <w:t xml:space="preserve"> </w:t>
      </w:r>
      <w:ins w:id="100" w:author="">
        <w:r>
          <w:rPr>
            <w:strike/>
            <w:sz w:val="24"/>
          </w:rPr>
          <w:t>Total Return Swap Agreement”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ins>
    </w:p>
    <w:p>
      <w:pPr>
        <w:pStyle w:val="Normal"/>
        <w:bidi w:val="0"/>
        <w:jc w:val="both"/>
        <w:rPr>
          <w:strike/>
          <w:sz w:val="24"/>
          <w:ins w:id="103" w:author=""/>
        </w:rPr>
      </w:pPr>
      <w:ins w:id="102" w:author="">
        <w:r>
          <w:rPr>
            <w:strike/>
            <w:sz w:val="24"/>
          </w:rPr>
        </w:r>
      </w:ins>
    </w:p>
    <w:p>
      <w:pPr>
        <w:pStyle w:val="Normal"/>
        <w:bidi w:val="0"/>
        <w:jc w:val="both"/>
        <w:rPr>
          <w:sz w:val="24"/>
        </w:rPr>
      </w:pPr>
      <w:ins w:id="104" w:author="">
        <w:r>
          <w:rPr>
            <w:strike/>
            <w:sz w:val="24"/>
          </w:rPr>
          <w:t>“</w:t>
        </w:r>
      </w:ins>
      <w:ins w:id="105" w:author="">
        <w:r>
          <w:rPr>
            <w:strike/>
            <w:sz w:val="24"/>
          </w:rPr>
          <w:t>Hawaii Tranches” shall mean the Tranches</w:t>
        </w:r>
      </w:ins>
      <w:r>
        <w:rPr>
          <w:sz w:val="24"/>
        </w:rPr>
        <w:t xml:space="preserve"> drawn down on the date hereof with respect to Series </w:t>
      </w:r>
      <w:ins w:id="106" w:author="">
        <w:r>
          <w:rPr>
            <w:strike/>
            <w:sz w:val="24"/>
          </w:rPr>
          <w:t>McGarret A, Series McGarret C and Series McGarret D</w:t>
        </w:r>
      </w:ins>
      <w:r>
        <w:rPr>
          <w:sz w:val="24"/>
        </w:rPr>
        <w:t xml:space="preserve"> </w:t>
      </w:r>
      <w:ins w:id="107" w:author="">
        <w:r>
          <w:rPr>
            <w:b/>
            <w:sz w:val="24"/>
            <w:u w:val="double"/>
          </w:rPr>
          <w:t>Danno B</w:t>
        </w:r>
      </w:ins>
      <w:r>
        <w:rPr>
          <w:sz w:val="24"/>
        </w:rPr>
        <w:t xml:space="preserve"> of the Trust, the proceeds of which shall be used to </w:t>
      </w:r>
      <w:ins w:id="108" w:author="">
        <w:r>
          <w:rPr>
            <w:strike/>
            <w:sz w:val="24"/>
          </w:rPr>
          <w:t>pay to Enron the Fixed Amount in exchange for the Floating Amount (as such terms are defined in the Hawaii Total Return Swap Agreement), pursuant to the Hawaii Total Return Swap Agreement, with respect to each such Series.</w:t>
        </w:r>
      </w:ins>
      <w:r>
        <w:rPr>
          <w:sz w:val="24"/>
        </w:rPr>
        <w:t xml:space="preserve"> </w:t>
      </w:r>
      <w:ins w:id="109" w:author="">
        <w:r>
          <w:rPr>
            <w:b/>
            <w:sz w:val="24"/>
            <w:u w:val="double"/>
          </w:rPr>
          <w:t>acquire the Class B Interest in the related Asset LLC from Hawaii 125</w:t>
          <w:noBreakHyphen/>
          <w:t>0 Trust on the date hereof.</w:t>
        </w:r>
      </w:ins>
    </w:p>
    <w:p>
      <w:pPr>
        <w:pStyle w:val="Normal"/>
        <w:bidi w:val="0"/>
        <w:jc w:val="both"/>
        <w:rPr>
          <w:sz w:val="24"/>
        </w:rPr>
      </w:pPr>
      <w:r>
        <w:rPr>
          <w:sz w:val="24"/>
        </w:rPr>
      </w:r>
    </w:p>
    <w:p>
      <w:pPr>
        <w:pStyle w:val="Normal"/>
        <w:bidi w:val="0"/>
        <w:jc w:val="both"/>
        <w:rPr>
          <w:sz w:val="24"/>
        </w:rPr>
      </w:pPr>
      <w:r>
        <w:rPr>
          <w:sz w:val="24"/>
        </w:rPr>
        <w:tab/>
      </w:r>
      <w:ins w:id="110" w:author="">
        <w:r>
          <w:rPr>
            <w:b/>
            <w:strike/>
            <w:sz w:val="24"/>
          </w:rPr>
          <w:t>“Hawaii I</w:t>
        </w:r>
      </w:ins>
      <w:r>
        <w:rPr>
          <w:b/>
          <w:sz w:val="24"/>
        </w:rPr>
        <w:t xml:space="preserve"> </w:t>
      </w:r>
      <w:ins w:id="111" w:author="">
        <w:r>
          <w:rPr>
            <w:b/>
            <w:sz w:val="24"/>
            <w:u w:val="double"/>
          </w:rPr>
          <w:t>“Hawaii II</w:t>
        </w:r>
      </w:ins>
      <w:r>
        <w:rPr>
          <w:b/>
          <w:sz w:val="24"/>
          <w:u w:val="single"/>
        </w:rPr>
        <w:t xml:space="preserve"> Facility Agreement</w:t>
      </w:r>
      <w:r>
        <w:rPr>
          <w:b/>
          <w:sz w:val="24"/>
        </w:rPr>
        <w:t>”</w:t>
      </w:r>
      <w:r>
        <w:rPr>
          <w:sz w:val="24"/>
        </w:rPr>
        <w:t xml:space="preserve"> means that certain Facility Agreement dated November [17], 2000 among Hawaii </w:t>
      </w:r>
      <w:ins w:id="112" w:author="">
        <w:r>
          <w:rPr>
            <w:strike/>
            <w:sz w:val="24"/>
          </w:rPr>
          <w:t>I</w:t>
        </w:r>
      </w:ins>
      <w:r>
        <w:rPr>
          <w:sz w:val="24"/>
        </w:rPr>
        <w:t xml:space="preserve"> </w:t>
      </w:r>
      <w:ins w:id="113" w:author="">
        <w:r>
          <w:rPr>
            <w:b/>
            <w:sz w:val="24"/>
            <w:u w:val="double"/>
          </w:rPr>
          <w:t>II</w:t>
        </w:r>
      </w:ins>
      <w:r>
        <w:rPr>
          <w:sz w:val="24"/>
        </w:rPr>
        <w:t xml:space="preserve">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 xml:space="preserve">Hawaii </w:t>
      </w:r>
      <w:ins w:id="114" w:author="">
        <w:r>
          <w:rPr>
            <w:b/>
            <w:strike/>
            <w:sz w:val="24"/>
            <w:u w:val="single"/>
          </w:rPr>
          <w:t>I</w:t>
        </w:r>
      </w:ins>
      <w:r>
        <w:rPr>
          <w:b/>
          <w:sz w:val="24"/>
          <w:u w:val="single"/>
        </w:rPr>
        <w:t xml:space="preserve"> </w:t>
      </w:r>
      <w:ins w:id="115" w:author="">
        <w:r>
          <w:rPr>
            <w:b/>
            <w:sz w:val="24"/>
            <w:u w:val="double"/>
          </w:rPr>
          <w:t>II</w:t>
        </w:r>
      </w:ins>
      <w:r>
        <w:rPr>
          <w:b/>
          <w:sz w:val="24"/>
          <w:u w:val="single"/>
        </w:rPr>
        <w:t xml:space="preserve">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Omnibus Amendment</w:t>
      </w:r>
      <w:r>
        <w:rPr>
          <w:b/>
          <w:sz w:val="24"/>
        </w:rPr>
        <w:t>”</w:t>
      </w:r>
      <w:r>
        <w:rPr>
          <w:sz w:val="24"/>
        </w:rPr>
        <w:t xml:space="preserve"> means, with respect to </w:t>
      </w:r>
      <w:ins w:id="116" w:author="">
        <w:r>
          <w:rPr>
            <w:strike/>
            <w:sz w:val="24"/>
          </w:rPr>
          <w:t>each of</w:t>
        </w:r>
      </w:ins>
      <w:r>
        <w:rPr>
          <w:sz w:val="24"/>
        </w:rPr>
        <w:t xml:space="preserve"> the Hawaii </w:t>
      </w:r>
      <w:ins w:id="117" w:author="">
        <w:r>
          <w:rPr>
            <w:strike/>
            <w:sz w:val="24"/>
          </w:rPr>
          <w:t>Tranches</w:t>
        </w:r>
      </w:ins>
      <w:r>
        <w:rPr>
          <w:sz w:val="24"/>
        </w:rPr>
        <w:t xml:space="preserve"> </w:t>
      </w:r>
      <w:ins w:id="118" w:author="">
        <w:r>
          <w:rPr>
            <w:b/>
            <w:sz w:val="24"/>
            <w:u w:val="double"/>
          </w:rPr>
          <w:t>Tranche</w:t>
        </w:r>
      </w:ins>
      <w:r>
        <w:rPr>
          <w:sz w:val="24"/>
        </w:rPr>
        <w:t>, that certain Omnibus Amendment, dated the date hereof, substantially in the form of Exhibit M.</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w:t>
        <w:noBreakHyphen/>
        <w:t>1 by S&amp;P or P</w:t>
        <w:noBreakHyphen/>
        <w:t>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a Person that is consolidated with Enron in accordance with generally accepted accounting principles, of which 100% of the outstanding capital stock or other equity interests having ordinary voting power is at the time owned, directly or indirectly, by Enron or another Person controlled by Enron by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 [17],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tab/>
        <w:t>“</w:t>
      </w:r>
      <w:r>
        <w:rPr>
          <w:b/>
          <w:sz w:val="24"/>
          <w:u w:val="single"/>
        </w:rPr>
        <w:t>Repayment Date</w:t>
      </w:r>
      <w:r>
        <w:rPr>
          <w:sz w:val="24"/>
        </w:rPr>
        <w:t xml:space="preserve">” means, in respect of each Tranche, the date specified in the applicable Drawdown Request, but in no event earlier than one month after the applicable Drawdown Date, nor later than </w:t>
      </w:r>
      <w:ins w:id="119" w:author="">
        <w:r>
          <w:rPr>
            <w:strike/>
            <w:sz w:val="24"/>
          </w:rPr>
          <w:t>November [16], 2002</w:t>
        </w:r>
      </w:ins>
      <w:r>
        <w:rPr>
          <w:sz w:val="24"/>
        </w:rPr>
        <w:t xml:space="preserve"> </w:t>
      </w:r>
      <w:ins w:id="120" w:author="">
        <w:r>
          <w:rPr>
            <w:b/>
            <w:sz w:val="24"/>
            <w:u w:val="double"/>
          </w:rPr>
          <w:t>nine months after the applicable Drawdown Date</w:t>
        </w:r>
      </w:ins>
      <w:r>
        <w:rPr>
          <w:sz w:val="24"/>
        </w:rPr>
        <w:t>.</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w:t>
      </w:r>
      <w:r>
        <w:rPr>
          <w:b/>
          <w:sz w:val="24"/>
        </w:rPr>
        <w:t>[</w:t>
      </w:r>
      <w:r>
        <w:rPr>
          <w:sz w:val="24"/>
        </w:rPr>
        <w:t>the Agent</w:t>
      </w:r>
      <w:r>
        <w:rPr>
          <w:b/>
          <w:sz w:val="24"/>
        </w:rPr>
        <w:t>]</w:t>
      </w:r>
      <w:r>
        <w:rPr>
          <w:sz w:val="24"/>
        </w:rPr>
        <w:t xml:space="preserve"> and (ii) the Second Closing Date shall not be after    October</w:t>
      </w:r>
      <w:r>
        <w:rPr>
          <w:b/>
          <w:sz w:val="24"/>
        </w:rPr>
        <w:t xml:space="preserve"> [</w:t>
      </w:r>
      <w:r>
        <w:rPr>
          <w:sz w:val="24"/>
        </w:rPr>
        <w:t>17</w:t>
      </w:r>
      <w:r>
        <w:rPr>
          <w:b/>
          <w:sz w:val="24"/>
        </w:rPr>
        <w:t>]</w:t>
      </w:r>
      <w:r>
        <w:rPr>
          <w:sz w:val="24"/>
        </w:rPr>
        <w:t>, 2001.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 [17],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ins w:id="121" w:author="">
        <w:r>
          <w:rPr>
            <w:strike/>
            <w:sz w:val="24"/>
          </w:rPr>
          <w:t>“</w:t>
        </w:r>
      </w:ins>
      <w:ins w:id="122" w:author="">
        <w:r>
          <w:rPr>
            <w:strike/>
            <w:sz w:val="24"/>
          </w:rPr>
          <w:t>Termination of Hawaii Facility Agreement” means that certain Termination of Hawii Facility Agreement, dated the date hereof, between the Trust, the Agent and Enron, terminating all obligations of all parties to the Hawaii Facility Agreement.</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[17],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w:t>
      </w:r>
      <w:ins w:id="123" w:author="">
        <w:r>
          <w:rPr>
            <w:strike/>
            <w:sz w:val="24"/>
          </w:rPr>
          <w:t>Second Amended and Restated</w:t>
        </w:r>
      </w:ins>
      <w:r>
        <w:rPr>
          <w:sz w:val="24"/>
        </w:rPr>
        <w:t xml:space="preserve"> Trust Agreement of Hawaii </w:t>
      </w:r>
      <w:ins w:id="124" w:author="">
        <w:r>
          <w:rPr>
            <w:strike/>
            <w:sz w:val="24"/>
          </w:rPr>
          <w:t>II</w:t>
        </w:r>
      </w:ins>
      <w:r>
        <w:rPr>
          <w:sz w:val="24"/>
        </w:rPr>
        <w:t xml:space="preserve"> </w:t>
      </w:r>
      <w:ins w:id="125" w:author="">
        <w:r>
          <w:rPr>
            <w:b/>
            <w:sz w:val="24"/>
            <w:u w:val="double"/>
          </w:rPr>
          <w:t>I</w:t>
        </w:r>
      </w:ins>
      <w:r>
        <w:rPr>
          <w:sz w:val="24"/>
        </w:rPr>
        <w:t> 125</w:t>
        <w:noBreakHyphen/>
        <w:t>0 Trust, dated as of November [17],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tab/>
        <w:t xml:space="preserve">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w:t>
      </w:r>
      <w:ins w:id="126" w:author="">
        <w:r>
          <w:rPr>
            <w:strike/>
            <w:sz w:val="24"/>
          </w:rPr>
          <w:t>(i) on the Closing Date, the Trust will use the proceeds of the Hawaii Tranches to repay the outstanding principal balance on the existing notes under the Hawaii Facility Agreement and (ii)</w:t>
        </w:r>
      </w:ins>
      <w:r>
        <w:rPr>
          <w:sz w:val="24"/>
        </w:rPr>
        <w:t xml:space="preserve"> from time to time the Trust may use the proceeds of a Tranche to acquire a Class B Interest in an Asset LLC from the Hawaii </w:t>
      </w:r>
      <w:ins w:id="127" w:author="">
        <w:r>
          <w:rPr>
            <w:strike/>
            <w:sz w:val="24"/>
          </w:rPr>
          <w:t>I</w:t>
        </w:r>
      </w:ins>
      <w:r>
        <w:rPr>
          <w:sz w:val="24"/>
        </w:rPr>
        <w:t xml:space="preserve"> </w:t>
      </w:r>
      <w:ins w:id="128" w:author="">
        <w:r>
          <w:rPr>
            <w:b/>
            <w:sz w:val="24"/>
            <w:u w:val="double"/>
          </w:rPr>
          <w:t>II</w:t>
        </w:r>
      </w:ins>
      <w:r>
        <w:rPr>
          <w:sz w:val="24"/>
        </w:rPr>
        <w:t xml:space="preserve"> 125</w:t>
        <w:noBreakHyphen/>
        <w:t>0 Trust, a Delaware business trust, (such Tranches being referred to herein as the “</w:t>
      </w:r>
      <w:r>
        <w:rPr>
          <w:i/>
          <w:sz w:val="24"/>
        </w:rPr>
        <w:t xml:space="preserve">Hawaii </w:t>
      </w:r>
      <w:ins w:id="129" w:author="">
        <w:r>
          <w:rPr>
            <w:i/>
            <w:strike/>
            <w:sz w:val="24"/>
          </w:rPr>
          <w:t>I</w:t>
        </w:r>
      </w:ins>
      <w:r>
        <w:rPr>
          <w:i/>
          <w:sz w:val="24"/>
        </w:rPr>
        <w:t xml:space="preserve"> </w:t>
      </w:r>
      <w:ins w:id="130" w:author="">
        <w:r>
          <w:rPr>
            <w:b/>
            <w:i/>
            <w:sz w:val="24"/>
            <w:u w:val="double"/>
          </w:rPr>
          <w:t>II</w:t>
        </w:r>
      </w:ins>
      <w:r>
        <w:rPr>
          <w:i/>
          <w:sz w:val="24"/>
        </w:rPr>
        <w:t xml:space="preserve"> Tranches</w:t>
      </w:r>
      <w:r>
        <w:rPr>
          <w:sz w:val="24"/>
        </w:rPr>
        <w:t>”).</w:t>
      </w:r>
    </w:p>
    <w:p>
      <w:pPr>
        <w:pStyle w:val="Normal"/>
        <w:keepNext w:val="true"/>
        <w:bidi w:val="0"/>
        <w:spacing w:before="0" w:after="240"/>
        <w:jc w:val="both"/>
        <w:rPr>
          <w:sz w:val="24"/>
        </w:rPr>
      </w:pPr>
      <w:r>
        <w:rPr>
          <w:sz w:val="24"/>
        </w:rPr>
        <w:tab/>
        <w:t>(c)</w:t>
        <w:tab/>
        <w:t>Each Lender’s obligation to make Advances shall terminate at [3:00 p.m.] on the Final Advance Date and the Commitments shall reduce to zero at [3:00 p.m.]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Advances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sz w:val="24"/>
        </w:rPr>
        <w:tab/>
      </w:r>
      <w:r>
        <w:fldChar w:fldCharType="begin"/>
      </w:r>
      <w:r>
        <w:rPr>
          <w:sz w:val="24"/>
        </w:rPr>
        <w:instrText xml:space="preserve"> TC "Section  3.3   Second Closing Date; Addition of Lenders and Increase in Commitments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sz w:val="24"/>
        </w:rPr>
        <w:t>$[</w:t>
      </w:r>
      <w:ins w:id="131" w:author="">
        <w:r>
          <w:rPr>
            <w:b/>
            <w:strike/>
            <w:sz w:val="24"/>
          </w:rPr>
          <w:t>462,000,000</w:t>
        </w:r>
      </w:ins>
      <w:r>
        <w:rPr>
          <w:b/>
          <w:sz w:val="24"/>
        </w:rPr>
        <w:t xml:space="preserve"> </w:t>
      </w:r>
      <w:ins w:id="132" w:author="">
        <w:r>
          <w:rPr>
            <w:b/>
            <w:sz w:val="24"/>
            <w:u w:val="double"/>
          </w:rPr>
          <w:t>198,600,000</w:t>
        </w:r>
      </w:ins>
      <w:r>
        <w:rPr>
          <w:b/>
          <w:sz w:val="24"/>
        </w:rPr>
        <w:t>]</w:t>
      </w:r>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jc w:val="both"/>
        <w:rPr>
          <w:sz w:val="24"/>
        </w:rPr>
      </w:pPr>
      <w:r>
        <w:rPr>
          <w:sz w:val="24"/>
        </w:rPr>
      </w:r>
    </w:p>
    <w:p>
      <w:pPr>
        <w:pStyle w:val="Normal"/>
        <w:bidi w:val="0"/>
        <w:spacing w:before="0" w:after="240"/>
        <w:ind w:hanging="0" w:start="720"/>
        <w:jc w:val="both"/>
        <w:rPr>
          <w:sz w:val="24"/>
        </w:rPr>
      </w:pPr>
      <w:r>
        <w:rPr>
          <w:sz w:val="24"/>
        </w:rPr>
        <w:tab/>
        <w:t>(i)</w:t>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rPr>
      </w:pPr>
      <w:r>
        <w:rPr>
          <w:sz w:val="24"/>
        </w:rPr>
        <w:tab/>
        <w:t>(A)</w:t>
        <w:tab/>
        <w:t>the organizational documents of Enron and the Trust including evidence of due formation and “good standing” of Enron and the Trust.</w:t>
      </w:r>
    </w:p>
    <w:p>
      <w:pPr>
        <w:pStyle w:val="Normal"/>
        <w:bidi w:val="0"/>
        <w:spacing w:before="0" w:after="240"/>
        <w:ind w:hanging="0" w:start="1440"/>
        <w:jc w:val="both"/>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t>on the Closing Date, and in the case of clause (E), on the Second Closing Date, 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the Trust Agreement;</w:t>
      </w:r>
    </w:p>
    <w:p>
      <w:pPr>
        <w:pStyle w:val="Normal"/>
        <w:bidi w:val="0"/>
        <w:spacing w:before="0" w:after="240"/>
        <w:ind w:hanging="0" w:start="1440"/>
        <w:jc w:val="both"/>
        <w:rPr>
          <w:sz w:val="24"/>
        </w:rPr>
      </w:pPr>
      <w:r>
        <w:rPr>
          <w:sz w:val="24"/>
        </w:rPr>
        <w:tab/>
        <w:t>(C)</w:t>
        <w:tab/>
        <w:t>the Total Return Swap Agreement described in clause (i) of the definition of Total Return Swap Agreement (not including the Swap Confirmations);</w:t>
      </w:r>
    </w:p>
    <w:p>
      <w:pPr>
        <w:pStyle w:val="Normal"/>
        <w:bidi w:val="0"/>
        <w:spacing w:before="0" w:after="240"/>
        <w:ind w:hanging="0" w:start="1440"/>
        <w:jc w:val="both"/>
        <w:rPr>
          <w:sz w:val="24"/>
        </w:rPr>
      </w:pPr>
      <w:r>
        <w:rPr>
          <w:sz w:val="24"/>
        </w:rPr>
        <w:tab/>
        <w:t>(D)</w:t>
        <w:tab/>
        <w:t>the Reimbursement and Disclosure Agreement;</w:t>
      </w:r>
    </w:p>
    <w:p>
      <w:pPr>
        <w:pStyle w:val="Normal"/>
        <w:bidi w:val="0"/>
        <w:spacing w:before="0" w:after="240"/>
        <w:ind w:hanging="0" w:start="1440"/>
        <w:jc w:val="both"/>
        <w:rPr>
          <w:sz w:val="24"/>
        </w:rPr>
      </w:pPr>
      <w:r>
        <w:rPr>
          <w:sz w:val="24"/>
        </w:rPr>
        <w:tab/>
        <w:t>(E)</w:t>
        <w:tab/>
        <w:t xml:space="preserve">the replacement Beneficial Interest Certificate and the Notes    including on the Second Closing Date any Notes required to be issued to additional Lenders under Section 3.3; </w:t>
      </w:r>
      <w:ins w:id="133" w:author="">
        <w:r>
          <w:rPr>
            <w:b/>
            <w:sz w:val="24"/>
            <w:u w:val="double"/>
          </w:rPr>
          <w:t>and</w:t>
        </w:r>
      </w:ins>
      <w:ins w:id="134" w:author="">
        <w:r>
          <w:rPr>
            <w:strike/>
            <w:sz w:val="24"/>
          </w:rPr>
          <w:t>(F) Termination of Facility Agreement;</w:t>
        </w:r>
      </w:ins>
    </w:p>
    <w:p>
      <w:pPr>
        <w:pStyle w:val="Normal"/>
        <w:bidi w:val="0"/>
        <w:spacing w:before="0" w:after="240"/>
        <w:ind w:hanging="0" w:start="1440"/>
        <w:jc w:val="both"/>
        <w:rPr>
          <w:sz w:val="24"/>
        </w:rPr>
      </w:pPr>
      <w:r>
        <w:rPr>
          <w:sz w:val="24"/>
        </w:rPr>
        <w:tab/>
      </w:r>
      <w:ins w:id="135" w:author="">
        <w:r>
          <w:rPr>
            <w:strike/>
            <w:sz w:val="24"/>
          </w:rPr>
          <w:t>(G)</w:t>
        </w:r>
      </w:ins>
      <w:ins w:id="136" w:author="">
        <w:r>
          <w:rPr>
            <w:b/>
            <w:sz w:val="24"/>
            <w:u w:val="double"/>
          </w:rPr>
          <w:t>(F)</w:t>
        </w:r>
      </w:ins>
      <w:r>
        <w:rPr>
          <w:sz w:val="24"/>
        </w:rPr>
        <w:tab/>
        <w:t>the fee letter referred to in clause (i) of the definition of Fee Letters;</w:t>
      </w:r>
    </w:p>
    <w:p>
      <w:pPr>
        <w:pStyle w:val="Normal"/>
        <w:bidi w:val="0"/>
        <w:spacing w:before="0" w:after="240"/>
        <w:ind w:hanging="0" w:start="1440"/>
        <w:jc w:val="both"/>
        <w:rPr>
          <w:sz w:val="24"/>
        </w:rPr>
      </w:pPr>
      <w:r>
        <w:rPr>
          <w:sz w:val="24"/>
        </w:rPr>
        <w:tab/>
      </w:r>
      <w:ins w:id="137" w:author="">
        <w:r>
          <w:rPr>
            <w:strike/>
            <w:sz w:val="24"/>
          </w:rPr>
          <w:t>(H)</w:t>
        </w:r>
      </w:ins>
      <w:ins w:id="138" w:author="">
        <w:r>
          <w:rPr>
            <w:b/>
            <w:sz w:val="24"/>
            <w:u w:val="double"/>
          </w:rPr>
          <w:t>(G)</w:t>
        </w:r>
      </w:ins>
      <w:r>
        <w:rPr>
          <w:sz w:val="24"/>
        </w:rPr>
        <w:tab/>
        <w:t>the Enron Guaranty; and</w:t>
      </w:r>
    </w:p>
    <w:p>
      <w:pPr>
        <w:pStyle w:val="Normal"/>
        <w:keepNext w:val="true"/>
        <w:bidi w:val="0"/>
        <w:spacing w:before="0" w:after="240"/>
        <w:ind w:hanging="0" w:start="1440"/>
        <w:jc w:val="both"/>
        <w:rPr>
          <w:sz w:val="24"/>
        </w:rPr>
      </w:pPr>
      <w:r>
        <w:rPr>
          <w:sz w:val="24"/>
        </w:rPr>
        <w:tab/>
      </w:r>
      <w:ins w:id="139" w:author="">
        <w:r>
          <w:rPr>
            <w:strike/>
            <w:sz w:val="24"/>
          </w:rPr>
          <w:t>(I)</w:t>
        </w:r>
      </w:ins>
      <w:ins w:id="140" w:author="">
        <w:r>
          <w:rPr>
            <w:b/>
            <w:sz w:val="24"/>
            <w:u w:val="double"/>
          </w:rPr>
          <w:t>(H)</w:t>
        </w:r>
      </w:ins>
      <w:r>
        <w:rPr>
          <w:sz w:val="24"/>
        </w:rPr>
        <w:tab/>
        <w:t>the Funding Indemnity Agreement.</w:t>
      </w:r>
    </w:p>
    <w:p>
      <w:pPr>
        <w:pStyle w:val="Normal"/>
        <w:keepLines/>
        <w:bidi w:val="0"/>
        <w:jc w:val="both"/>
        <w:rPr>
          <w:sz w:val="24"/>
        </w:rPr>
      </w:pPr>
      <w:r>
        <w:rPr>
          <w:sz w:val="24"/>
        </w:rPr>
        <w:tab/>
      </w:r>
      <w:r>
        <w:fldChar w:fldCharType="begin"/>
      </w:r>
      <w:r>
        <w:rPr>
          <w:sz w:val="24"/>
        </w:rPr>
        <w:instrText xml:space="preserve"> TC "Section  4.2   Conditions Precedent to Lenders’ Obligations to Make Advances.   " \l 1 </w:instrText>
      </w:r>
      <w:r>
        <w:rPr>
          <w:sz w:val="24"/>
        </w:rPr>
        <w:fldChar w:fldCharType="separate"/>
      </w:r>
      <w:r>
        <w:rPr>
          <w:sz w:val="24"/>
        </w:rPr>
      </w:r>
      <w:r>
        <w:rPr>
          <w:sz w:val="24"/>
        </w:rPr>
        <w:fldChar w:fldCharType="end"/>
      </w:r>
      <w:r>
        <w:rPr>
          <w:sz w:val="24"/>
        </w:rPr>
        <w:t xml:space="preserve">The obligations of the Lenders to make the Advances available to the Trust under this Agreement comprising each Tranche, other than the Hawaii </w:t>
      </w:r>
      <w:ins w:id="141" w:author="">
        <w:r>
          <w:rPr>
            <w:strike/>
            <w:sz w:val="24"/>
          </w:rPr>
          <w:t>Tranches</w:t>
        </w:r>
      </w:ins>
      <w:r>
        <w:rPr>
          <w:sz w:val="24"/>
        </w:rPr>
        <w:t xml:space="preserve"> </w:t>
      </w:r>
      <w:ins w:id="142" w:author="">
        <w:r>
          <w:rPr>
            <w:b/>
            <w:sz w:val="24"/>
            <w:u w:val="double"/>
          </w:rPr>
          <w:t>Tranche</w:t>
        </w:r>
      </w:ins>
      <w:r>
        <w:rPr>
          <w:sz w:val="24"/>
        </w:rPr>
        <w:t xml:space="preserve"> and the Hawaii </w:t>
      </w:r>
      <w:ins w:id="143" w:author="">
        <w:r>
          <w:rPr>
            <w:strike/>
            <w:sz w:val="24"/>
          </w:rPr>
          <w:t>I</w:t>
        </w:r>
      </w:ins>
      <w:r>
        <w:rPr>
          <w:sz w:val="24"/>
        </w:rPr>
        <w:t xml:space="preserve"> </w:t>
      </w:r>
      <w:ins w:id="144" w:author="">
        <w:r>
          <w:rPr>
            <w:b/>
            <w:sz w:val="24"/>
            <w:u w:val="double"/>
          </w:rPr>
          <w:t>II</w:t>
        </w:r>
      </w:ins>
      <w:r>
        <w:rPr>
          <w:sz w:val="24"/>
        </w:rPr>
        <w:t xml:space="preserve"> Tranches,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(or, in the case of (D) only, a copy certified by an officer of the Transferor as being true and correct)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w:t>
      </w:r>
    </w:p>
    <w:p>
      <w:pPr>
        <w:pStyle w:val="Normal"/>
        <w:bidi w:val="0"/>
        <w:spacing w:before="0" w:after="240"/>
        <w:ind w:hanging="0" w:start="1440"/>
        <w:jc w:val="both"/>
        <w:rPr>
          <w:sz w:val="24"/>
        </w:rPr>
      </w:pPr>
      <w:r>
        <w:rPr>
          <w:sz w:val="24"/>
        </w:rPr>
        <w:tab/>
        <w:t>(C)</w:t>
        <w:tab/>
        <w:t>the applicable Asset LLC Agreement;</w:t>
      </w:r>
    </w:p>
    <w:p>
      <w:pPr>
        <w:pStyle w:val="Normal"/>
        <w:bidi w:val="0"/>
        <w:spacing w:before="0" w:after="240"/>
        <w:ind w:hanging="0" w:start="1440"/>
        <w:jc w:val="both"/>
        <w:rPr>
          <w:sz w:val="24"/>
        </w:rPr>
      </w:pPr>
      <w:r>
        <w:rPr>
          <w:sz w:val="24"/>
        </w:rPr>
        <w:tab/>
        <w:t>(D)</w:t>
        <w:tab/>
        <w:t>the applicable Transferor Constitutional Document;</w:t>
      </w:r>
    </w:p>
    <w:p>
      <w:pPr>
        <w:pStyle w:val="Normal"/>
        <w:bidi w:val="0"/>
        <w:spacing w:before="0" w:after="240"/>
        <w:ind w:hanging="0" w:start="1440"/>
        <w:jc w:val="both"/>
        <w:rPr>
          <w:sz w:val="24"/>
        </w:rPr>
      </w:pPr>
      <w:r>
        <w:rPr>
          <w:sz w:val="24"/>
        </w:rPr>
        <w:tab/>
        <w:t>(E)</w:t>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rPr>
      </w:pPr>
      <w:r>
        <w:rPr>
          <w:sz w:val="24"/>
        </w:rPr>
        <w:tab/>
        <w:t>(F)</w:t>
        <w:tab/>
        <w:t>the applicable Series Certificate (the initial holder of which shall be CIBC Inc. or its assignee);</w:t>
      </w:r>
    </w:p>
    <w:p>
      <w:pPr>
        <w:pStyle w:val="Normal"/>
        <w:bidi w:val="0"/>
        <w:spacing w:before="0" w:after="240"/>
        <w:ind w:hanging="0" w:start="1440"/>
        <w:jc w:val="both"/>
        <w:rPr>
          <w:sz w:val="24"/>
        </w:rPr>
      </w:pPr>
      <w:r>
        <w:rPr>
          <w:sz w:val="24"/>
        </w:rPr>
        <w:tab/>
        <w:t>(G)</w:t>
        <w:tab/>
        <w:t>the applicable Independent Auctioneer Letter;</w:t>
      </w:r>
    </w:p>
    <w:p>
      <w:pPr>
        <w:pStyle w:val="Normal"/>
        <w:bidi w:val="0"/>
        <w:spacing w:before="0" w:after="240"/>
        <w:ind w:hanging="0" w:start="1440"/>
        <w:jc w:val="both"/>
        <w:rPr>
          <w:sz w:val="24"/>
        </w:rPr>
      </w:pPr>
      <w:r>
        <w:rPr>
          <w:sz w:val="24"/>
        </w:rPr>
        <w:tab/>
        <w:t>(H)</w:t>
        <w:tab/>
        <w:t>the applicable Transfer and Auction Agreement;</w:t>
      </w:r>
    </w:p>
    <w:p>
      <w:pPr>
        <w:pStyle w:val="Normal"/>
        <w:bidi w:val="0"/>
        <w:spacing w:before="0" w:after="240"/>
        <w:ind w:hanging="0" w:start="1440"/>
        <w:jc w:val="both"/>
        <w:rPr>
          <w:sz w:val="24"/>
        </w:rPr>
      </w:pPr>
      <w:r>
        <w:rPr>
          <w:sz w:val="24"/>
        </w:rPr>
        <w:tab/>
        <w:t>(I)</w:t>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rPr>
      </w:pPr>
      <w:r>
        <w:rPr>
          <w:sz w:val="24"/>
        </w:rPr>
        <w:tab/>
        <w:t>(J)</w:t>
        <w:tab/>
        <w:t>the applicable Asset Notice;</w:t>
      </w:r>
    </w:p>
    <w:p>
      <w:pPr>
        <w:pStyle w:val="Normal"/>
        <w:bidi w:val="0"/>
        <w:spacing w:before="0" w:after="240"/>
        <w:ind w:hanging="0" w:start="1440"/>
        <w:jc w:val="both"/>
        <w:rPr>
          <w:sz w:val="24"/>
        </w:rPr>
      </w:pPr>
      <w:r>
        <w:rPr>
          <w:sz w:val="24"/>
        </w:rPr>
        <w:tab/>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rPr>
      </w:pPr>
      <w:r>
        <w:rPr>
          <w:sz w:val="24"/>
        </w:rPr>
        <w:tab/>
        <w:t>(L)</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Andrews &amp; Kurth L.L.P., special counsel to the applicable Asset LLC, the Sponsor, Enron and the applicable Permitted Swap Party (if any);</w:t>
      </w:r>
    </w:p>
    <w:p>
      <w:pPr>
        <w:pStyle w:val="Normal"/>
        <w:bidi w:val="0"/>
        <w:spacing w:before="0" w:after="240"/>
        <w:ind w:hanging="0" w:start="1440"/>
        <w:jc w:val="both"/>
        <w:rPr>
          <w:sz w:val="24"/>
        </w:rPr>
      </w:pPr>
      <w:r>
        <w:rPr>
          <w:sz w:val="24"/>
        </w:rPr>
        <w:tab/>
        <w:t>(B)</w:t>
        <w:tab/>
        <w:t>Prickett, Jones &amp; Elliott, special Delaware counsel to the applicable Asset LLC;</w:t>
      </w:r>
    </w:p>
    <w:p>
      <w:pPr>
        <w:pStyle w:val="Normal"/>
        <w:bidi w:val="0"/>
        <w:spacing w:before="0" w:after="240"/>
        <w:ind w:hanging="0" w:start="1440"/>
        <w:jc w:val="both"/>
        <w:rPr>
          <w:sz w:val="24"/>
        </w:rPr>
      </w:pPr>
      <w:r>
        <w:rPr>
          <w:sz w:val="24"/>
        </w:rPr>
        <w:tab/>
        <w:t>(C)</w:t>
        <w:tab/>
        <w:t>General counsel to Enron, the Sponsor and the applicable Permitted Swap Party (if any), respectively;</w:t>
      </w:r>
    </w:p>
    <w:p>
      <w:pPr>
        <w:pStyle w:val="Normal"/>
        <w:bidi w:val="0"/>
        <w:spacing w:before="0" w:after="240"/>
        <w:ind w:hanging="0" w:start="1440"/>
        <w:jc w:val="both"/>
        <w:rPr>
          <w:sz w:val="24"/>
        </w:rPr>
      </w:pPr>
      <w:r>
        <w:rPr>
          <w:sz w:val="24"/>
        </w:rPr>
        <w:tab/>
        <w:t>(D)</w:t>
        <w:tab/>
        <w:t>Richards, Layton &amp; Finger, counsel to the Trust;</w:t>
      </w:r>
    </w:p>
    <w:p>
      <w:pPr>
        <w:pStyle w:val="Normal"/>
        <w:bidi w:val="0"/>
        <w:spacing w:before="0" w:after="240"/>
        <w:ind w:hanging="0" w:start="1440"/>
        <w:jc w:val="both"/>
        <w:rPr>
          <w:sz w:val="24"/>
        </w:rPr>
      </w:pPr>
      <w:r>
        <w:rPr>
          <w:sz w:val="24"/>
        </w:rPr>
        <w:tab/>
        <w:t>(E)</w:t>
        <w:tab/>
        <w:t>only on the Second Drawdown Date, an opinion of Mayer Brown &amp; Platt, counsel to the Agent; and</w:t>
      </w:r>
    </w:p>
    <w:p>
      <w:pPr>
        <w:pStyle w:val="Normal"/>
        <w:bidi w:val="0"/>
        <w:spacing w:before="0" w:after="240"/>
        <w:ind w:hanging="0" w:start="1440"/>
        <w:jc w:val="both"/>
        <w:rPr>
          <w:sz w:val="24"/>
        </w:rPr>
      </w:pPr>
      <w:r>
        <w:rPr>
          <w:sz w:val="24"/>
        </w:rPr>
        <w:tab/>
        <w:t>(F)</w:t>
        <w:tab/>
        <w:t>Andrews &amp; Kurth L.L.P., Prickett, Jones &amp; Elliott, Richards, Layton &amp; Finger or such other counsel as may be reasonably acceptable to the Agent, as special counsel to the applicable Transferor.</w:t>
      </w:r>
    </w:p>
    <w:p>
      <w:pPr>
        <w:pStyle w:val="Normal"/>
        <w:bidi w:val="0"/>
        <w:ind w:hanging="0" w:start="1440"/>
        <w:jc w:val="both"/>
        <w:rPr>
          <w:sz w:val="24"/>
        </w:rPr>
      </w:pPr>
      <w:r>
        <w:rPr>
          <w:sz w:val="24"/>
        </w:rPr>
        <w:t>(iii)</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 and no “Material Adverse Effect”, “Event of Default” or “Default” (as such terms are defined in the Hawaii </w:t>
      </w:r>
      <w:ins w:id="145" w:author="">
        <w:r>
          <w:rPr>
            <w:strike/>
            <w:sz w:val="24"/>
          </w:rPr>
          <w:t>I</w:t>
        </w:r>
      </w:ins>
      <w:r>
        <w:rPr>
          <w:sz w:val="24"/>
        </w:rPr>
        <w:t xml:space="preserve"> </w:t>
      </w:r>
      <w:ins w:id="146" w:author="">
        <w:r>
          <w:rPr>
            <w:b/>
            <w:sz w:val="24"/>
            <w:u w:val="double"/>
          </w:rPr>
          <w:t>II</w:t>
        </w:r>
      </w:ins>
      <w:r>
        <w:rPr>
          <w:sz w:val="24"/>
        </w:rPr>
        <w:t xml:space="preserve"> Facility Agreement),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sz w:val="24"/>
        </w:rPr>
        <w:tab/>
      </w:r>
      <w:r>
        <w:fldChar w:fldCharType="begin"/>
      </w:r>
      <w:r>
        <w:rPr>
          <w:sz w:val="24"/>
        </w:rPr>
        <w:instrText xml:space="preserve"> TC "Section  4.3   Conditions Precedent to Lenders’ Obligations to Make Advances with Respect to the Hawaii Tranches Tranche.   " \l 1 </w:instrText>
      </w:r>
      <w:r>
        <w:rPr>
          <w:sz w:val="24"/>
        </w:rPr>
        <w:fldChar w:fldCharType="separate"/>
      </w:r>
      <w:r>
        <w:rPr>
          <w:sz w:val="24"/>
        </w:rPr>
      </w:r>
      <w:r>
        <w:rPr>
          <w:sz w:val="24"/>
        </w:rPr>
        <w:fldChar w:fldCharType="end"/>
      </w:r>
      <w:r>
        <w:rPr>
          <w:sz w:val="24"/>
        </w:rPr>
        <w:t xml:space="preserve">The obligations of the Lenders to make the Advances with respect to the Hawaii </w:t>
      </w:r>
      <w:ins w:id="147" w:author="">
        <w:r>
          <w:rPr>
            <w:strike/>
            <w:sz w:val="24"/>
          </w:rPr>
          <w:t>Tranches</w:t>
        </w:r>
      </w:ins>
      <w:r>
        <w:rPr>
          <w:sz w:val="24"/>
        </w:rPr>
        <w:t xml:space="preserve"> </w:t>
      </w:r>
      <w:ins w:id="148" w:author="">
        <w:r>
          <w:rPr>
            <w:b/>
            <w:sz w:val="24"/>
            <w:u w:val="double"/>
          </w:rPr>
          <w:t>Tranche</w:t>
        </w:r>
      </w:ins>
      <w:r>
        <w:rPr>
          <w:sz w:val="24"/>
        </w:rPr>
        <w:t xml:space="preserve"> available to the Trust on the Closing Date under this Agreement are conditioned upon the satisfaction of the following conditions precedent:    </w:t>
      </w:r>
    </w:p>
    <w:p>
      <w:pPr>
        <w:pStyle w:val="Normal"/>
        <w:bidi w:val="0"/>
        <w:jc w:val="both"/>
        <w:rPr>
          <w:sz w:val="24"/>
        </w:rPr>
      </w:pPr>
      <w:r>
        <w:rPr>
          <w:sz w:val="24"/>
        </w:rPr>
      </w:r>
    </w:p>
    <w:p>
      <w:pPr>
        <w:pStyle w:val="Normal"/>
        <w:bidi w:val="0"/>
        <w:jc w:val="both"/>
        <w:rPr>
          <w:sz w:val="24"/>
        </w:rPr>
      </w:pPr>
      <w:r>
        <w:rPr>
          <w:sz w:val="24"/>
        </w:rPr>
        <w:tab/>
        <w:t>(a)</w:t>
        <w:tab/>
        <w:t xml:space="preserve">the Agent shall have received the following items, with respect to </w:t>
      </w:r>
      <w:ins w:id="149" w:author="">
        <w:r>
          <w:rPr>
            <w:strike/>
            <w:sz w:val="24"/>
          </w:rPr>
          <w:t>each</w:t>
        </w:r>
      </w:ins>
      <w:r>
        <w:rPr>
          <w:sz w:val="24"/>
        </w:rPr>
        <w:t xml:space="preserve"> </w:t>
      </w:r>
      <w:ins w:id="150" w:author="">
        <w:r>
          <w:rPr>
            <w:b/>
            <w:sz w:val="24"/>
            <w:u w:val="double"/>
          </w:rPr>
          <w:t>the</w:t>
        </w:r>
      </w:ins>
      <w:r>
        <w:rPr>
          <w:sz w:val="24"/>
        </w:rPr>
        <w:t xml:space="preserve"> Hawaii Tranche, in all respects (except where otherwise specified) in form and substance reasonably satisfactory to the Agent:</w:t>
      </w:r>
    </w:p>
    <w:p>
      <w:pPr>
        <w:pStyle w:val="Normal"/>
        <w:bidi w:val="0"/>
        <w:jc w:val="both"/>
        <w:rPr>
          <w:sz w:val="24"/>
        </w:rPr>
      </w:pPr>
      <w:r>
        <w:rPr>
          <w:sz w:val="24"/>
        </w:rPr>
      </w:r>
    </w:p>
    <w:p>
      <w:pPr>
        <w:pStyle w:val="Normal"/>
        <w:tabs>
          <w:tab w:val="left" w:pos="720" w:leader="none"/>
          <w:tab w:val="left" w:pos="1440" w:leader="none"/>
          <w:tab w:val="left" w:pos="2160" w:leader="none"/>
        </w:tabs>
        <w:bidi w:val="0"/>
        <w:ind w:hanging="720" w:start="2160"/>
        <w:jc w:val="both"/>
        <w:rPr>
          <w:sz w:val="24"/>
        </w:rPr>
      </w:pPr>
      <w:r>
        <w:rPr>
          <w:sz w:val="24"/>
        </w:rPr>
        <w:t>(i)</w:t>
        <w:tab/>
        <w:t>duly executed counterparts of:</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b/>
          <w:sz w:val="24"/>
          <w:u w:val="double"/>
          <w:ins w:id="152" w:author=""/>
        </w:rPr>
      </w:pPr>
      <w:r>
        <w:rPr>
          <w:sz w:val="24"/>
        </w:rPr>
        <w:tab/>
        <w:t>(A)</w:t>
      </w:r>
      <w:ins w:id="151" w:author="">
        <w:r>
          <w:rPr>
            <w:b/>
            <w:sz w:val="24"/>
            <w:u w:val="double"/>
          </w:rPr>
          <w:tab/>
          <w:t>the applicable Series Supplement;</w:t>
        </w:r>
      </w:ins>
    </w:p>
    <w:p>
      <w:pPr>
        <w:pStyle w:val="Normal"/>
        <w:bidi w:val="0"/>
        <w:jc w:val="both"/>
        <w:rPr>
          <w:b/>
          <w:sz w:val="24"/>
          <w:u w:val="double"/>
          <w:ins w:id="154" w:author=""/>
        </w:rPr>
      </w:pPr>
      <w:ins w:id="153" w:author="">
        <w:r>
          <w:rPr>
            <w:b/>
            <w:sz w:val="24"/>
            <w:u w:val="double"/>
          </w:rPr>
        </w:r>
      </w:ins>
    </w:p>
    <w:p>
      <w:pPr>
        <w:pStyle w:val="Normal"/>
        <w:bidi w:val="0"/>
        <w:ind w:hanging="0" w:start="1440"/>
        <w:jc w:val="both"/>
        <w:rPr>
          <w:sz w:val="24"/>
        </w:rPr>
      </w:pPr>
      <w:ins w:id="155" w:author="">
        <w:r>
          <w:rPr>
            <w:b/>
            <w:sz w:val="24"/>
            <w:u w:val="double"/>
          </w:rPr>
          <w:tab/>
          <w:t>(B)</w:t>
        </w:r>
      </w:ins>
      <w:r>
        <w:rPr>
          <w:sz w:val="24"/>
        </w:rPr>
        <w:tab/>
        <w:t xml:space="preserve">the applicable Drawdown Request with a copy of the Asset Notice executed and delivered in connection with the drawdown of the </w:t>
      </w:r>
      <w:ins w:id="156" w:author="">
        <w:r>
          <w:rPr>
            <w:strike/>
            <w:sz w:val="24"/>
          </w:rPr>
          <w:t>applicable</w:t>
        </w:r>
      </w:ins>
      <w:r>
        <w:rPr>
          <w:sz w:val="24"/>
        </w:rPr>
        <w:t xml:space="preserve"> Hawaii Tranche under the Hawaii Facility Agreement;</w:t>
      </w:r>
    </w:p>
    <w:p>
      <w:pPr>
        <w:pStyle w:val="Normal"/>
        <w:bidi w:val="0"/>
        <w:jc w:val="both"/>
        <w:rPr>
          <w:sz w:val="24"/>
        </w:rPr>
      </w:pPr>
      <w:r>
        <w:rPr>
          <w:sz w:val="24"/>
        </w:rPr>
      </w:r>
    </w:p>
    <w:p>
      <w:pPr>
        <w:pStyle w:val="Normal"/>
        <w:bidi w:val="0"/>
        <w:ind w:hanging="0" w:start="1440"/>
        <w:jc w:val="both"/>
        <w:rPr>
          <w:sz w:val="24"/>
        </w:rPr>
      </w:pPr>
      <w:r>
        <w:rPr>
          <w:sz w:val="24"/>
        </w:rPr>
        <w:tab/>
      </w:r>
      <w:ins w:id="157" w:author="">
        <w:r>
          <w:rPr>
            <w:strike/>
            <w:sz w:val="24"/>
          </w:rPr>
          <w:t>(B)</w:t>
        </w:r>
      </w:ins>
      <w:ins w:id="158" w:author="">
        <w:r>
          <w:rPr>
            <w:b/>
            <w:sz w:val="24"/>
            <w:u w:val="double"/>
          </w:rPr>
          <w:t>(C)</w:t>
        </w:r>
      </w:ins>
      <w:r>
        <w:rPr>
          <w:sz w:val="24"/>
        </w:rPr>
        <w:tab/>
        <w:t xml:space="preserve">the applicable </w:t>
      </w:r>
      <w:ins w:id="159" w:author="">
        <w:r>
          <w:rPr>
            <w:strike/>
            <w:sz w:val="24"/>
          </w:rPr>
          <w:t>replacement</w:t>
        </w:r>
      </w:ins>
      <w:r>
        <w:rPr>
          <w:sz w:val="24"/>
        </w:rPr>
        <w:t xml:space="preserve"> Series Certificate (the initial holder of which shall be CIBC Inc. or its assignee);</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sz w:val="24"/>
        </w:rPr>
      </w:pPr>
      <w:r>
        <w:rPr>
          <w:sz w:val="24"/>
        </w:rPr>
        <w:tab/>
      </w:r>
      <w:ins w:id="160" w:author="">
        <w:r>
          <w:rPr>
            <w:strike/>
            <w:sz w:val="24"/>
          </w:rPr>
          <w:t>(C)</w:t>
        </w:r>
      </w:ins>
      <w:ins w:id="161" w:author="">
        <w:r>
          <w:rPr>
            <w:b/>
            <w:sz w:val="24"/>
            <w:u w:val="double"/>
          </w:rPr>
          <w:t>(D)</w:t>
        </w:r>
      </w:ins>
      <w:r>
        <w:rPr>
          <w:sz w:val="24"/>
        </w:rPr>
        <w:tab/>
        <w:t>the applicable Omnibus Amendment;</w:t>
      </w:r>
    </w:p>
    <w:p>
      <w:pPr>
        <w:pStyle w:val="Normal"/>
        <w:tabs>
          <w:tab w:val="left" w:pos="720" w:leader="none"/>
          <w:tab w:val="left" w:pos="1440" w:leader="none"/>
          <w:tab w:val="left" w:pos="2160" w:leader="none"/>
          <w:tab w:val="left" w:pos="2880" w:leader="none"/>
        </w:tabs>
        <w:bidi w:val="0"/>
        <w:ind w:hanging="1440" w:start="2880"/>
        <w:jc w:val="both"/>
        <w:rPr>
          <w:sz w:val="24"/>
        </w:rPr>
      </w:pPr>
      <w:r>
        <w:rPr>
          <w:sz w:val="24"/>
        </w:rPr>
        <w:tab/>
      </w:r>
      <w:ins w:id="162" w:author="">
        <w:r>
          <w:rPr>
            <w:strike/>
            <w:sz w:val="24"/>
          </w:rPr>
          <w:t>and</w:t>
        </w:r>
      </w:ins>
      <w:ins w:id="163" w:author="">
        <w:r>
          <w:rPr>
            <w:b/>
            <w:sz w:val="24"/>
            <w:u w:val="double"/>
          </w:rPr>
          <w:t>(E)</w:t>
          <w:tab/>
          <w:t>the applicable Transfer and Auction Agreement;</w:t>
        </w:r>
      </w:ins>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b/>
          <w:sz w:val="24"/>
          <w:u w:val="double"/>
          <w:ins w:id="166" w:author=""/>
        </w:rPr>
      </w:pPr>
      <w:r>
        <w:rPr>
          <w:sz w:val="24"/>
        </w:rPr>
        <w:tab/>
      </w:r>
      <w:ins w:id="164" w:author="">
        <w:r>
          <w:rPr>
            <w:strike/>
            <w:sz w:val="24"/>
          </w:rPr>
          <w:t>(D)</w:t>
        </w:r>
      </w:ins>
      <w:ins w:id="165" w:author="">
        <w:r>
          <w:rPr>
            <w:b/>
            <w:sz w:val="24"/>
            <w:u w:val="double"/>
          </w:rPr>
          <w:t>(F)</w:t>
          <w:tab/>
          <w:t>the applicable Put Option Assignment; and</w:t>
        </w:r>
      </w:ins>
    </w:p>
    <w:p>
      <w:pPr>
        <w:pStyle w:val="Normal"/>
        <w:bidi w:val="0"/>
        <w:jc w:val="both"/>
        <w:rPr>
          <w:b/>
          <w:sz w:val="24"/>
          <w:u w:val="double"/>
          <w:ins w:id="168" w:author=""/>
        </w:rPr>
      </w:pPr>
      <w:ins w:id="167" w:author="">
        <w:r>
          <w:rPr>
            <w:b/>
            <w:sz w:val="24"/>
            <w:u w:val="double"/>
          </w:rPr>
        </w:r>
      </w:ins>
    </w:p>
    <w:p>
      <w:pPr>
        <w:pStyle w:val="Normal"/>
        <w:bidi w:val="0"/>
        <w:ind w:hanging="0" w:start="1440"/>
        <w:jc w:val="both"/>
        <w:rPr>
          <w:sz w:val="24"/>
        </w:rPr>
      </w:pPr>
      <w:ins w:id="169" w:author="">
        <w:r>
          <w:rPr>
            <w:b/>
            <w:sz w:val="24"/>
            <w:u w:val="double"/>
          </w:rPr>
          <w:tab/>
          <w:t>(G)</w:t>
        </w:r>
      </w:ins>
      <w:r>
        <w:rPr>
          <w:sz w:val="24"/>
        </w:rPr>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jc w:val="both"/>
        <w:rPr>
          <w:sz w:val="24"/>
        </w:rPr>
      </w:pPr>
      <w:r>
        <w:rPr>
          <w:sz w:val="24"/>
        </w:rPr>
      </w:r>
    </w:p>
    <w:p>
      <w:pPr>
        <w:pStyle w:val="Normal"/>
        <w:bidi w:val="0"/>
        <w:ind w:hanging="0" w:start="1440"/>
        <w:jc w:val="both"/>
        <w:rPr>
          <w:sz w:val="24"/>
        </w:rPr>
      </w:pPr>
      <w:r>
        <w:rPr>
          <w:sz w:val="24"/>
        </w:rPr>
        <w:t>(ii)</w:t>
        <w:tab/>
        <w:t>legal opinions in substantially the form of Exhibit J hereto and dated the Drawdown Date from:</w:t>
      </w:r>
    </w:p>
    <w:p>
      <w:pPr>
        <w:pStyle w:val="Normal"/>
        <w:bidi w:val="0"/>
        <w:jc w:val="both"/>
        <w:rPr>
          <w:sz w:val="24"/>
        </w:rPr>
      </w:pPr>
      <w:r>
        <w:rPr>
          <w:sz w:val="24"/>
        </w:rPr>
      </w:r>
    </w:p>
    <w:p>
      <w:pPr>
        <w:pStyle w:val="Normal"/>
        <w:bidi w:val="0"/>
        <w:spacing w:before="0" w:after="240"/>
        <w:ind w:hanging="0" w:start="1440"/>
        <w:jc w:val="both"/>
        <w:rPr>
          <w:sz w:val="24"/>
        </w:rPr>
      </w:pPr>
      <w:r>
        <w:rPr>
          <w:sz w:val="24"/>
        </w:rPr>
        <w:tab/>
        <w:t>(A)</w:t>
        <w:tab/>
        <w:t>Andrews &amp; Kurth L.L.P., special counsel to the applicable Asset LLC, the Sponsor</w:t>
      </w:r>
      <w:ins w:id="170" w:author="">
        <w:r>
          <w:rPr>
            <w:b/>
            <w:sz w:val="24"/>
            <w:u w:val="double"/>
          </w:rPr>
          <w:t>,</w:t>
        </w:r>
      </w:ins>
      <w:r>
        <w:rPr>
          <w:sz w:val="24"/>
        </w:rPr>
        <w:t xml:space="preserve"> the Permitted Swap Party (if any) and Enron;</w:t>
      </w:r>
    </w:p>
    <w:p>
      <w:pPr>
        <w:pStyle w:val="Normal"/>
        <w:bidi w:val="0"/>
        <w:spacing w:before="0" w:after="240"/>
        <w:ind w:hanging="0" w:start="1440"/>
        <w:jc w:val="both"/>
        <w:rPr>
          <w:sz w:val="24"/>
        </w:rPr>
      </w:pPr>
      <w:r>
        <w:rPr>
          <w:sz w:val="24"/>
        </w:rPr>
        <w:tab/>
        <w:t>(B)</w:t>
        <w:tab/>
        <w:t>Prickett, Jones &amp; Elliott, special counsel to the applicable Asset LLC;</w:t>
      </w:r>
    </w:p>
    <w:p>
      <w:pPr>
        <w:pStyle w:val="Normal"/>
        <w:bidi w:val="0"/>
        <w:spacing w:before="0" w:after="240"/>
        <w:ind w:hanging="0" w:start="1440"/>
        <w:jc w:val="both"/>
        <w:rPr>
          <w:sz w:val="24"/>
        </w:rPr>
      </w:pPr>
      <w:r>
        <w:rPr>
          <w:sz w:val="24"/>
        </w:rPr>
        <w:tab/>
        <w:t>(C)</w:t>
        <w:tab/>
        <w:t xml:space="preserve">General counsel to Enron the Sponsor and the applicable Permitted Swap Party (if any), respectively; </w:t>
      </w:r>
    </w:p>
    <w:p>
      <w:pPr>
        <w:pStyle w:val="Normal"/>
        <w:bidi w:val="0"/>
        <w:spacing w:before="0" w:after="240"/>
        <w:ind w:hanging="0" w:start="1440"/>
        <w:jc w:val="both"/>
        <w:rPr>
          <w:sz w:val="24"/>
        </w:rPr>
      </w:pPr>
      <w:r>
        <w:rPr>
          <w:sz w:val="24"/>
        </w:rPr>
        <w:tab/>
        <w:t>(D)</w:t>
        <w:tab/>
        <w:t>Richards, Layton &amp; Finger, counsel to the Trust; and</w:t>
      </w:r>
    </w:p>
    <w:p>
      <w:pPr>
        <w:pStyle w:val="Normal"/>
        <w:bidi w:val="0"/>
        <w:spacing w:before="0" w:after="240"/>
        <w:ind w:hanging="0" w:start="1440"/>
        <w:jc w:val="both"/>
        <w:rPr>
          <w:sz w:val="24"/>
        </w:rPr>
      </w:pPr>
      <w:r>
        <w:rPr>
          <w:sz w:val="24"/>
        </w:rPr>
        <w:tab/>
        <w:t>(E)</w:t>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jc w:val="both"/>
        <w:rPr>
          <w:sz w:val="24"/>
        </w:rPr>
      </w:pPr>
      <w:r>
        <w:rPr>
          <w:sz w:val="24"/>
        </w:rPr>
      </w:r>
    </w:p>
    <w:p>
      <w:pPr>
        <w:pStyle w:val="Normal"/>
        <w:bidi w:val="0"/>
        <w:ind w:hanging="0" w:start="1440"/>
        <w:jc w:val="both"/>
        <w:rPr>
          <w:sz w:val="24"/>
        </w:rPr>
      </w:pPr>
      <w:r>
        <w:rPr>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jc w:val="both"/>
        <w:rPr>
          <w:sz w:val="24"/>
        </w:rPr>
      </w:pPr>
      <w:r>
        <w:rPr>
          <w:sz w:val="24"/>
        </w:rPr>
      </w:r>
    </w:p>
    <w:p>
      <w:pPr>
        <w:pStyle w:val="Normal"/>
        <w:tabs>
          <w:tab w:val="left" w:pos="720" w:leader="none"/>
          <w:tab w:val="left" w:pos="1440" w:leader="none"/>
        </w:tabs>
        <w:bidi w:val="0"/>
        <w:ind w:hanging="1440" w:start="1440"/>
        <w:jc w:val="both"/>
        <w:rPr>
          <w:sz w:val="24"/>
        </w:rPr>
      </w:pPr>
      <w:r>
        <w:rPr>
          <w:sz w:val="24"/>
        </w:rPr>
        <w:tab/>
        <w:t>(b)</w:t>
        <w:tab/>
        <w:t>Since the date of this Agreement:</w:t>
      </w:r>
    </w:p>
    <w:p>
      <w:pPr>
        <w:pStyle w:val="Normal"/>
        <w:bidi w:val="0"/>
        <w:jc w:val="both"/>
        <w:rPr>
          <w:sz w:val="24"/>
        </w:rPr>
      </w:pPr>
      <w:r>
        <w:rPr>
          <w:sz w:val="24"/>
        </w:rPr>
      </w:r>
    </w:p>
    <w:p>
      <w:pPr>
        <w:pStyle w:val="Normal"/>
        <w:bidi w:val="0"/>
        <w:ind w:hanging="0" w:start="720"/>
        <w:jc w:val="both"/>
        <w:rPr>
          <w:sz w:val="24"/>
        </w:rPr>
      </w:pPr>
      <w:r>
        <w:rPr>
          <w:sz w:val="24"/>
        </w:rPr>
        <w:tab/>
        <w:t>(i)</w:t>
        <w:tab/>
        <w:t>no Material Adverse Effect, Event of Default or Default, and no “Material Adverse Effect”, “Event of Default” or “Default” (as such terms are defined in the Hawaii </w:t>
      </w:r>
      <w:ins w:id="171" w:author="">
        <w:r>
          <w:rPr>
            <w:strike/>
            <w:sz w:val="24"/>
          </w:rPr>
          <w:t>I</w:t>
        </w:r>
      </w:ins>
      <w:r>
        <w:rPr>
          <w:sz w:val="24"/>
        </w:rPr>
        <w:t xml:space="preserve"> </w:t>
      </w:r>
      <w:ins w:id="172" w:author="">
        <w:r>
          <w:rPr>
            <w:b/>
            <w:sz w:val="24"/>
            <w:u w:val="double"/>
          </w:rPr>
          <w:t>II</w:t>
        </w:r>
      </w:ins>
      <w:r>
        <w:rPr>
          <w:sz w:val="24"/>
        </w:rPr>
        <w:t xml:space="preserve"> Facility Agreement), shall have occurred and be continuing unremedied or will occur as a result of the making of the Advances; and</w:t>
      </w:r>
    </w:p>
    <w:p>
      <w:pPr>
        <w:pStyle w:val="Normal"/>
        <w:bidi w:val="0"/>
        <w:jc w:val="both"/>
        <w:rPr>
          <w:sz w:val="24"/>
        </w:rPr>
      </w:pPr>
      <w:r>
        <w:rPr>
          <w:sz w:val="24"/>
        </w:rPr>
      </w:r>
    </w:p>
    <w:p>
      <w:pPr>
        <w:pStyle w:val="Normal"/>
        <w:bidi w:val="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4.4   Conditions Precedent to Lenders’ Obligations to Make Advances with Respect to the Hawaii I II Tranches.   " \l 1 </w:instrText>
      </w:r>
      <w:r>
        <w:rPr>
          <w:sz w:val="24"/>
        </w:rPr>
        <w:fldChar w:fldCharType="separate"/>
      </w:r>
      <w:r>
        <w:rPr>
          <w:sz w:val="24"/>
        </w:rPr>
      </w:r>
      <w:r>
        <w:rPr>
          <w:sz w:val="24"/>
        </w:rPr>
        <w:fldChar w:fldCharType="end"/>
      </w:r>
      <w:r>
        <w:rPr>
          <w:sz w:val="24"/>
        </w:rPr>
        <w:t xml:space="preserve">The obligations of the Lenders to make the Advances available to the Trust under this Agreement comprising each Hawaii </w:t>
      </w:r>
      <w:ins w:id="173" w:author="">
        <w:r>
          <w:rPr>
            <w:strike/>
            <w:sz w:val="24"/>
          </w:rPr>
          <w:t>I</w:t>
        </w:r>
      </w:ins>
      <w:r>
        <w:rPr>
          <w:sz w:val="24"/>
        </w:rPr>
        <w:t xml:space="preserve"> </w:t>
      </w:r>
      <w:ins w:id="174" w:author="">
        <w:r>
          <w:rPr>
            <w:b/>
            <w:sz w:val="24"/>
            <w:u w:val="double"/>
          </w:rPr>
          <w:t>II</w:t>
        </w:r>
      </w:ins>
      <w:r>
        <w:rPr>
          <w:sz w:val="24"/>
        </w:rPr>
        <w:t xml:space="preserve"> Tranche are conditioned upon the satisfaction of the following conditions precedent:</w:t>
      </w:r>
    </w:p>
    <w:p>
      <w:pPr>
        <w:pStyle w:val="Normal"/>
        <w:bidi w:val="0"/>
        <w:jc w:val="both"/>
        <w:rPr>
          <w:sz w:val="24"/>
        </w:rPr>
      </w:pPr>
      <w:r>
        <w:rPr>
          <w:sz w:val="24"/>
        </w:rPr>
      </w:r>
    </w:p>
    <w:p>
      <w:pPr>
        <w:pStyle w:val="Normal"/>
        <w:bidi w:val="0"/>
        <w:spacing w:before="0" w:after="240"/>
        <w:jc w:val="both"/>
        <w:rPr>
          <w:sz w:val="24"/>
        </w:rPr>
      </w:pPr>
      <w:r>
        <w:rPr>
          <w:sz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rPr>
      </w:pPr>
      <w:r>
        <w:rPr>
          <w:sz w:val="24"/>
        </w:rPr>
        <w:tab/>
        <w:t>(i)</w:t>
        <w:tab/>
        <w:t>duly executed counterparts of:</w:t>
      </w:r>
    </w:p>
    <w:p>
      <w:pPr>
        <w:pStyle w:val="Normal"/>
        <w:bidi w:val="0"/>
        <w:spacing w:before="0" w:after="240"/>
        <w:ind w:hanging="0" w:start="1440"/>
        <w:jc w:val="both"/>
        <w:rPr>
          <w:sz w:val="24"/>
        </w:rPr>
      </w:pPr>
      <w:r>
        <w:rPr>
          <w:sz w:val="24"/>
        </w:rPr>
        <w:tab/>
        <w:t>(A)</w:t>
        <w:tab/>
        <w:t>the applicable Series Supplement;</w:t>
      </w:r>
    </w:p>
    <w:p>
      <w:pPr>
        <w:pStyle w:val="Normal"/>
        <w:bidi w:val="0"/>
        <w:spacing w:before="0" w:after="240"/>
        <w:ind w:hanging="0" w:start="1440"/>
        <w:jc w:val="both"/>
        <w:rPr>
          <w:sz w:val="24"/>
        </w:rPr>
      </w:pPr>
      <w:r>
        <w:rPr>
          <w:sz w:val="24"/>
        </w:rPr>
        <w:tab/>
        <w:t>(B)</w:t>
        <w:tab/>
        <w:t>the applicable Drawdown Request with a copy of the Asset Notice executed and delivered in connection with the drawdown of the applicable Hawaii </w:t>
      </w:r>
      <w:ins w:id="175" w:author="">
        <w:r>
          <w:rPr>
            <w:strike/>
            <w:sz w:val="24"/>
          </w:rPr>
          <w:t>I</w:t>
        </w:r>
      </w:ins>
      <w:r>
        <w:rPr>
          <w:sz w:val="24"/>
        </w:rPr>
        <w:t xml:space="preserve"> </w:t>
      </w:r>
      <w:ins w:id="176" w:author="">
        <w:r>
          <w:rPr>
            <w:b/>
            <w:sz w:val="24"/>
            <w:u w:val="double"/>
          </w:rPr>
          <w:t>II</w:t>
        </w:r>
      </w:ins>
      <w:r>
        <w:rPr>
          <w:sz w:val="24"/>
        </w:rPr>
        <w:t xml:space="preserve"> Tranche under the Hawaii </w:t>
      </w:r>
      <w:ins w:id="177" w:author="">
        <w:r>
          <w:rPr>
            <w:strike/>
            <w:sz w:val="24"/>
          </w:rPr>
          <w:t>I</w:t>
        </w:r>
      </w:ins>
      <w:r>
        <w:rPr>
          <w:sz w:val="24"/>
        </w:rPr>
        <w:t xml:space="preserve"> </w:t>
      </w:r>
      <w:ins w:id="178" w:author="">
        <w:r>
          <w:rPr>
            <w:b/>
            <w:sz w:val="24"/>
            <w:u w:val="double"/>
          </w:rPr>
          <w:t>II</w:t>
        </w:r>
      </w:ins>
      <w:r>
        <w:rPr>
          <w:sz w:val="24"/>
        </w:rPr>
        <w:t xml:space="preserve"> Facility Agreement;</w:t>
      </w:r>
    </w:p>
    <w:p>
      <w:pPr>
        <w:pStyle w:val="Normal"/>
        <w:bidi w:val="0"/>
        <w:spacing w:before="0" w:after="240"/>
        <w:ind w:hanging="0" w:start="1440"/>
        <w:jc w:val="both"/>
        <w:rPr>
          <w:sz w:val="24"/>
        </w:rPr>
      </w:pPr>
      <w:r>
        <w:rPr>
          <w:sz w:val="24"/>
        </w:rPr>
        <w:tab/>
        <w:t>(C)</w:t>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rPr>
      </w:pPr>
      <w:r>
        <w:rPr>
          <w:sz w:val="24"/>
        </w:rPr>
        <w:tab/>
        <w:t>(D)</w:t>
        <w:tab/>
        <w:t>if Enron is not a party to the Total Return Swap Agreement, the Enron Guaranty;</w:t>
      </w:r>
    </w:p>
    <w:p>
      <w:pPr>
        <w:pStyle w:val="Normal"/>
        <w:bidi w:val="0"/>
        <w:spacing w:before="0" w:after="240"/>
        <w:ind w:hanging="0" w:start="1440"/>
        <w:jc w:val="both"/>
        <w:rPr>
          <w:sz w:val="24"/>
        </w:rPr>
      </w:pPr>
      <w:r>
        <w:rPr>
          <w:sz w:val="24"/>
        </w:rPr>
        <w:tab/>
        <w:t>(E)</w:t>
        <w:tab/>
        <w:t>the applicable Series Certificate (the initial holder of which shall be CIBC Inc. or its assignee);</w:t>
      </w:r>
    </w:p>
    <w:p>
      <w:pPr>
        <w:pStyle w:val="Normal"/>
        <w:bidi w:val="0"/>
        <w:spacing w:before="0" w:after="240"/>
        <w:ind w:hanging="0" w:start="1440"/>
        <w:jc w:val="both"/>
        <w:rPr>
          <w:sz w:val="24"/>
        </w:rPr>
      </w:pPr>
      <w:r>
        <w:rPr>
          <w:sz w:val="24"/>
        </w:rPr>
        <w:tab/>
        <w:t>(F)</w:t>
        <w:tab/>
        <w:t>the applicable Transfer and Auction Agreement;</w:t>
      </w:r>
    </w:p>
    <w:p>
      <w:pPr>
        <w:pStyle w:val="Normal"/>
        <w:bidi w:val="0"/>
        <w:spacing w:before="0" w:after="240"/>
        <w:ind w:hanging="0" w:start="1440"/>
        <w:jc w:val="both"/>
        <w:rPr>
          <w:sz w:val="24"/>
        </w:rPr>
      </w:pPr>
      <w:r>
        <w:rPr>
          <w:sz w:val="24"/>
        </w:rPr>
        <w:tab/>
        <w:t>(G)</w:t>
        <w:tab/>
        <w:t>as applicable, either (i) the applicable Put Option Assignment and/or (ii) the applicable Demand Note Assignment;</w:t>
      </w:r>
    </w:p>
    <w:p>
      <w:pPr>
        <w:pStyle w:val="Normal"/>
        <w:bidi w:val="0"/>
        <w:spacing w:before="0" w:after="240"/>
        <w:ind w:hanging="0" w:start="1440"/>
        <w:jc w:val="both"/>
        <w:rPr>
          <w:sz w:val="24"/>
        </w:rPr>
      </w:pPr>
      <w:r>
        <w:rPr>
          <w:sz w:val="24"/>
        </w:rPr>
        <w:tab/>
        <w:t>(H)</w:t>
        <w:tab/>
        <w:t>the applicable Independent Auctioneer Letter;</w:t>
      </w:r>
    </w:p>
    <w:p>
      <w:pPr>
        <w:pStyle w:val="Normal"/>
        <w:bidi w:val="0"/>
        <w:spacing w:before="0" w:after="240"/>
        <w:ind w:hanging="0" w:start="1440"/>
        <w:jc w:val="both"/>
        <w:rPr>
          <w:sz w:val="24"/>
        </w:rPr>
      </w:pPr>
      <w:r>
        <w:rPr>
          <w:sz w:val="24"/>
        </w:rPr>
        <w:tab/>
        <w:t>(I)</w:t>
        <w:tab/>
        <w:t xml:space="preserve">written confirmation (i) from the Agent under the Hawaii </w:t>
      </w:r>
      <w:ins w:id="179" w:author="">
        <w:r>
          <w:rPr>
            <w:strike/>
            <w:sz w:val="24"/>
          </w:rPr>
          <w:t>I</w:t>
        </w:r>
      </w:ins>
      <w:r>
        <w:rPr>
          <w:sz w:val="24"/>
        </w:rPr>
        <w:t xml:space="preserve"> </w:t>
      </w:r>
      <w:ins w:id="180" w:author="">
        <w:r>
          <w:rPr>
            <w:b/>
            <w:sz w:val="24"/>
            <w:u w:val="double"/>
          </w:rPr>
          <w:t>II</w:t>
        </w:r>
      </w:ins>
      <w:r>
        <w:rPr>
          <w:sz w:val="24"/>
        </w:rPr>
        <w:t xml:space="preserve"> Facility Agreement that all amounts of principal and interest and all other amounts due in respect of the applicable tranche under the Hawaii </w:t>
      </w:r>
      <w:ins w:id="181" w:author="">
        <w:r>
          <w:rPr>
            <w:strike/>
            <w:sz w:val="24"/>
          </w:rPr>
          <w:t>I</w:t>
        </w:r>
      </w:ins>
      <w:r>
        <w:rPr>
          <w:sz w:val="24"/>
        </w:rPr>
        <w:t xml:space="preserve"> </w:t>
      </w:r>
      <w:ins w:id="182" w:author="">
        <w:r>
          <w:rPr>
            <w:b/>
            <w:sz w:val="24"/>
            <w:u w:val="double"/>
          </w:rPr>
          <w:t>II</w:t>
        </w:r>
      </w:ins>
      <w:r>
        <w:rPr>
          <w:sz w:val="24"/>
        </w:rPr>
        <w:t xml:space="preserve"> Facility Agreement has been paid in full, (ii) from the holder of the applicable beneficial interest certificate issued with respect to such Hawaii </w:t>
      </w:r>
      <w:ins w:id="183" w:author="">
        <w:r>
          <w:rPr>
            <w:strike/>
            <w:sz w:val="24"/>
          </w:rPr>
          <w:t>I</w:t>
        </w:r>
      </w:ins>
      <w:r>
        <w:rPr>
          <w:sz w:val="24"/>
        </w:rPr>
        <w:t xml:space="preserve"> </w:t>
      </w:r>
      <w:ins w:id="184" w:author="">
        <w:r>
          <w:rPr>
            <w:b/>
            <w:sz w:val="24"/>
            <w:u w:val="double"/>
          </w:rPr>
          <w:t>II</w:t>
        </w:r>
      </w:ins>
      <w:r>
        <w:rPr>
          <w:sz w:val="24"/>
        </w:rPr>
        <w:t xml:space="preserve"> Tranche that all amounts of certificate base amount and certificate yield thereon have been paid in full and (iii) from Enron that such Hawaii I Tranche conforms to the criteria set forth in paragraph 9 of the Model Structure;</w:t>
      </w:r>
    </w:p>
    <w:p>
      <w:pPr>
        <w:pStyle w:val="Normal"/>
        <w:bidi w:val="0"/>
        <w:spacing w:before="0" w:after="240"/>
        <w:ind w:hanging="0" w:start="1440"/>
        <w:jc w:val="both"/>
        <w:rPr>
          <w:sz w:val="24"/>
        </w:rPr>
      </w:pPr>
      <w:r>
        <w:rPr>
          <w:sz w:val="24"/>
        </w:rPr>
        <w:tab/>
        <w:t>(J)</w:t>
        <w:tab/>
        <w:t xml:space="preserve">written confirmation from Enron that the Operative Documents (as defined in the Hawaii </w:t>
      </w:r>
      <w:ins w:id="185" w:author="">
        <w:r>
          <w:rPr>
            <w:strike/>
            <w:sz w:val="24"/>
          </w:rPr>
          <w:t>I</w:t>
        </w:r>
      </w:ins>
      <w:r>
        <w:rPr>
          <w:sz w:val="24"/>
        </w:rPr>
        <w:t xml:space="preserve"> </w:t>
      </w:r>
      <w:ins w:id="186" w:author="">
        <w:r>
          <w:rPr>
            <w:b/>
            <w:sz w:val="24"/>
            <w:u w:val="double"/>
          </w:rPr>
          <w:t>II</w:t>
        </w:r>
      </w:ins>
      <w:r>
        <w:rPr>
          <w:sz w:val="24"/>
        </w:rPr>
        <w:t xml:space="preserve">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rPr>
      </w:pPr>
      <w:r>
        <w:rPr>
          <w:sz w:val="24"/>
        </w:rPr>
        <w:tab/>
        <w:t>(ii)</w:t>
        <w:tab/>
        <w:t>legal opinions in substantially the form of Exhibit J hereto and dated the Drawdown Date from:</w:t>
      </w:r>
    </w:p>
    <w:p>
      <w:pPr>
        <w:pStyle w:val="Normal"/>
        <w:bidi w:val="0"/>
        <w:spacing w:before="0" w:after="240"/>
        <w:ind w:hanging="0" w:start="1440"/>
        <w:jc w:val="both"/>
        <w:rPr>
          <w:sz w:val="24"/>
        </w:rPr>
      </w:pPr>
      <w:r>
        <w:rPr>
          <w:sz w:val="24"/>
        </w:rPr>
        <w:tab/>
        <w:t>(A)</w:t>
        <w:tab/>
        <w:t>Andrews &amp; Kurth L.L.P., special counsel to the applicable Asset LLC, the Sponsor</w:t>
      </w:r>
      <w:ins w:id="187" w:author="">
        <w:r>
          <w:rPr>
            <w:b/>
            <w:sz w:val="24"/>
            <w:u w:val="double"/>
          </w:rPr>
          <w:t>,</w:t>
        </w:r>
      </w:ins>
      <w:r>
        <w:rPr>
          <w:sz w:val="24"/>
        </w:rPr>
        <w:t xml:space="preserve"> the Permitted Swap Party (if any) and Enron;</w:t>
      </w:r>
    </w:p>
    <w:p>
      <w:pPr>
        <w:pStyle w:val="Normal"/>
        <w:bidi w:val="0"/>
        <w:spacing w:before="0" w:after="240"/>
        <w:ind w:hanging="0" w:start="1440"/>
        <w:jc w:val="both"/>
        <w:rPr>
          <w:sz w:val="24"/>
        </w:rPr>
      </w:pPr>
      <w:r>
        <w:rPr>
          <w:sz w:val="24"/>
        </w:rPr>
        <w:tab/>
        <w:t>(B)</w:t>
        <w:tab/>
        <w:t>Prickett, Jones &amp; Elliott, special counsel to the applicable Asset LLC;</w:t>
      </w:r>
    </w:p>
    <w:p>
      <w:pPr>
        <w:pStyle w:val="Normal"/>
        <w:bidi w:val="0"/>
        <w:spacing w:before="0" w:after="240"/>
        <w:ind w:hanging="0" w:start="1440"/>
        <w:jc w:val="both"/>
        <w:rPr>
          <w:sz w:val="24"/>
        </w:rPr>
      </w:pPr>
      <w:r>
        <w:rPr>
          <w:sz w:val="24"/>
        </w:rPr>
        <w:tab/>
        <w:t>(C)</w:t>
        <w:tab/>
        <w:t>General counsel to Enron, the Sponsor and the applicable Permitted Swap (if any), respectively;</w:t>
      </w:r>
    </w:p>
    <w:p>
      <w:pPr>
        <w:pStyle w:val="Normal"/>
        <w:bidi w:val="0"/>
        <w:spacing w:before="0" w:after="240"/>
        <w:ind w:hanging="0" w:start="1440"/>
        <w:jc w:val="both"/>
        <w:rPr>
          <w:sz w:val="24"/>
        </w:rPr>
      </w:pPr>
      <w:r>
        <w:rPr>
          <w:sz w:val="24"/>
        </w:rPr>
        <w:tab/>
        <w:t>(D)</w:t>
        <w:tab/>
        <w:t>Richards, Layton &amp; Finger, counsel to the Trust; and</w:t>
      </w:r>
    </w:p>
    <w:p>
      <w:pPr>
        <w:pStyle w:val="Normal"/>
        <w:bidi w:val="0"/>
        <w:spacing w:before="0" w:after="240"/>
        <w:ind w:hanging="0" w:start="1440"/>
        <w:jc w:val="both"/>
        <w:rPr>
          <w:sz w:val="24"/>
        </w:rPr>
      </w:pPr>
      <w:r>
        <w:rPr>
          <w:sz w:val="24"/>
        </w:rPr>
        <w:tab/>
        <w:t>(E)</w:t>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jc w:val="both"/>
        <w:rPr>
          <w:sz w:val="24"/>
        </w:rPr>
      </w:pPr>
      <w:r>
        <w:rPr>
          <w:sz w:val="24"/>
        </w:rPr>
      </w:r>
    </w:p>
    <w:p>
      <w:pPr>
        <w:pStyle w:val="Normal"/>
        <w:bidi w:val="0"/>
        <w:ind w:hanging="0" w:start="1440"/>
        <w:jc w:val="both"/>
        <w:rPr>
          <w:sz w:val="24"/>
        </w:rPr>
      </w:pPr>
      <w:r>
        <w:rPr>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Material Adverse Effect, Event of Default or Default, and no “Material Adverse Effect”, “Event of Default” or “Default” (as such terms are defined in the Hawaii </w:t>
      </w:r>
      <w:ins w:id="188" w:author="">
        <w:r>
          <w:rPr>
            <w:strike/>
            <w:sz w:val="24"/>
          </w:rPr>
          <w:t>I</w:t>
        </w:r>
      </w:ins>
      <w:r>
        <w:rPr>
          <w:sz w:val="24"/>
        </w:rPr>
        <w:t xml:space="preserve"> </w:t>
      </w:r>
      <w:ins w:id="189" w:author="">
        <w:r>
          <w:rPr>
            <w:b/>
            <w:sz w:val="24"/>
            <w:u w:val="double"/>
          </w:rPr>
          <w:t>II</w:t>
        </w:r>
      </w:ins>
      <w:r>
        <w:rPr>
          <w:sz w:val="24"/>
        </w:rPr>
        <w:t xml:space="preserve"> Facility Agreement),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sz w:val="24"/>
        </w:rPr>
        <w:tab/>
      </w:r>
      <w:r>
        <w:fldChar w:fldCharType="begin"/>
      </w:r>
      <w:r>
        <w:rPr>
          <w:sz w:val="24"/>
        </w:rPr>
        <w:instrText xml:space="preserve"> TC "Section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5.1   Certification Procedure. " \l 1 </w:instrText>
      </w:r>
      <w:r>
        <w:rPr>
          <w:sz w:val="24"/>
        </w:rPr>
        <w:fldChar w:fldCharType="separate"/>
      </w:r>
      <w:r>
        <w:rPr>
          <w:sz w:val="24"/>
        </w:rPr>
      </w:r>
      <w:r>
        <w:rPr>
          <w:sz w:val="24"/>
        </w:rPr>
        <w:fldChar w:fldCharType="end"/>
      </w:r>
      <w:r>
        <w:rPr>
          <w:sz w:val="24"/>
        </w:rPr>
        <w:t>    (a) With respect to each Tranche</w:t>
      </w:r>
      <w:ins w:id="190" w:author="">
        <w:r>
          <w:rPr>
            <w:strike/>
            <w:sz w:val="24"/>
          </w:rPr>
          <w:t>,</w:t>
        </w:r>
      </w:ins>
      <w:r>
        <w:rPr>
          <w:sz w:val="24"/>
        </w:rPr>
        <w:t xml:space="preserve"> other than the Hawaii </w:t>
      </w:r>
      <w:ins w:id="191" w:author="">
        <w:r>
          <w:rPr>
            <w:strike/>
            <w:sz w:val="24"/>
          </w:rPr>
          <w:t>Tranches</w:t>
        </w:r>
      </w:ins>
      <w:r>
        <w:rPr>
          <w:sz w:val="24"/>
        </w:rPr>
        <w:t xml:space="preserve"> </w:t>
      </w:r>
      <w:ins w:id="192" w:author="">
        <w:r>
          <w:rPr>
            <w:b/>
            <w:sz w:val="24"/>
            <w:u w:val="double"/>
          </w:rPr>
          <w:t>Tranche</w:t>
        </w:r>
      </w:ins>
      <w:r>
        <w:rPr>
          <w:sz w:val="24"/>
        </w:rPr>
        <w:t xml:space="preserve"> and the Hawaii </w:t>
      </w:r>
      <w:ins w:id="193" w:author="">
        <w:r>
          <w:rPr>
            <w:strike/>
            <w:sz w:val="24"/>
          </w:rPr>
          <w:t>I</w:t>
        </w:r>
      </w:ins>
      <w:r>
        <w:rPr>
          <w:sz w:val="24"/>
        </w:rPr>
        <w:t xml:space="preserve"> </w:t>
      </w:r>
      <w:ins w:id="194" w:author="">
        <w:r>
          <w:rPr>
            <w:b/>
            <w:sz w:val="24"/>
            <w:u w:val="double"/>
          </w:rPr>
          <w:t>II</w:t>
        </w:r>
      </w:ins>
      <w:r>
        <w:rPr>
          <w:sz w:val="24"/>
        </w:rPr>
        <w:t xml:space="preserve">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jc w:val="both"/>
        <w:rPr>
          <w:sz w:val="24"/>
        </w:rPr>
      </w:pPr>
      <w:r>
        <w:rPr>
          <w:sz w:val="24"/>
        </w:rPr>
        <w:tab/>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jc w:val="both"/>
        <w:rPr>
          <w:sz w:val="24"/>
        </w:rPr>
      </w:pPr>
      <w:r>
        <w:rPr>
          <w:sz w:val="24"/>
        </w:rPr>
      </w:r>
    </w:p>
    <w:p>
      <w:pPr>
        <w:pStyle w:val="Normal"/>
        <w:bidi w:val="0"/>
        <w:jc w:val="both"/>
        <w:rPr>
          <w:sz w:val="24"/>
        </w:rPr>
      </w:pPr>
      <w:r>
        <w:rPr>
          <w:sz w:val="24"/>
        </w:rPr>
        <w:tab/>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w:t>
        <w:noBreakHyphen/>
        <w:t>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w:t>
        <w:noBreakHyphen/>
        <w:t>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w:t>
        <w:noBreakHyphen/>
        <w:t>2588</w:t>
      </w:r>
    </w:p>
    <w:p>
      <w:pPr>
        <w:pStyle w:val="Normal"/>
        <w:bidi w:val="0"/>
        <w:jc w:val="both"/>
        <w:rPr>
          <w:sz w:val="24"/>
        </w:rPr>
      </w:pPr>
      <w:r>
        <w:rPr>
          <w:sz w:val="24"/>
        </w:rPr>
        <w:tab/>
        <w:tab/>
        <w:t>Fax No.: (713) 650</w:t>
        <w:noBreakHyphen/>
        <w:t>7675; and</w:t>
      </w:r>
    </w:p>
    <w:p>
      <w:pPr>
        <w:pStyle w:val="Normal"/>
        <w:bidi w:val="0"/>
        <w:jc w:val="both"/>
        <w:rPr>
          <w:sz w:val="24"/>
        </w:rPr>
      </w:pPr>
      <w:r>
        <w:rPr>
          <w:sz w:val="24"/>
        </w:rPr>
      </w:r>
    </w:p>
    <w:p>
      <w:pPr>
        <w:pStyle w:val="Normal"/>
        <w:bidi w:val="0"/>
        <w:jc w:val="both"/>
        <w:rPr>
          <w:sz w:val="24"/>
        </w:rPr>
      </w:pPr>
      <w:r>
        <w:rPr>
          <w:sz w:val="24"/>
        </w:rPr>
        <w:tab/>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 xml:space="preserve">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Subject to the terms and conditions of this Agreement, each Advance shall be made on the applicable Drawdown Date in accordance with the Drawdown Request.    Except with respect to the Hawaii </w:t>
      </w:r>
      <w:ins w:id="195" w:author="">
        <w:r>
          <w:rPr>
            <w:strike/>
            <w:sz w:val="24"/>
          </w:rPr>
          <w:t>Tranches</w:t>
        </w:r>
      </w:ins>
      <w:r>
        <w:rPr>
          <w:sz w:val="24"/>
        </w:rPr>
        <w:t xml:space="preserve"> </w:t>
      </w:r>
      <w:ins w:id="196" w:author="">
        <w:r>
          <w:rPr>
            <w:b/>
            <w:sz w:val="24"/>
            <w:u w:val="double"/>
          </w:rPr>
          <w:t>Tranche</w:t>
        </w:r>
      </w:ins>
      <w:r>
        <w:rPr>
          <w:sz w:val="24"/>
        </w:rPr>
        <w:t xml:space="preserve">,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w:t>
      </w:r>
      <w:ins w:id="197" w:author="">
        <w:r>
          <w:rPr>
            <w:strike/>
            <w:sz w:val="24"/>
          </w:rPr>
          <w:t>I</w:t>
        </w:r>
      </w:ins>
      <w:r>
        <w:rPr>
          <w:sz w:val="24"/>
        </w:rPr>
        <w:t xml:space="preserve"> </w:t>
      </w:r>
      <w:ins w:id="198" w:author="">
        <w:r>
          <w:rPr>
            <w:b/>
            <w:sz w:val="24"/>
            <w:u w:val="double"/>
          </w:rPr>
          <w:t>II</w:t>
        </w:r>
      </w:ins>
      <w:r>
        <w:rPr>
          <w:sz w:val="24"/>
        </w:rPr>
        <w:t xml:space="preserve"> Tranches, as provided in Section 5.2(e), the Trust may only deliver a Drawdown Request with respect to a proposed Tranche if:</w:t>
      </w:r>
    </w:p>
    <w:p>
      <w:pPr>
        <w:pStyle w:val="Normal"/>
        <w:bidi w:val="0"/>
        <w:jc w:val="both"/>
        <w:rPr>
          <w:sz w:val="24"/>
        </w:rPr>
      </w:pPr>
      <w:r>
        <w:rPr>
          <w:sz w:val="24"/>
        </w:rPr>
        <w:tab/>
        <w:tab/>
        <w:t>(i) the Agent and the Subscriber have returned the applicable Asset Notice to Enron making the confirmation referred to in Section 5.1(a)(i); or</w:t>
      </w:r>
    </w:p>
    <w:p>
      <w:pPr>
        <w:pStyle w:val="Normal"/>
        <w:bidi w:val="0"/>
        <w:jc w:val="both"/>
        <w:rPr>
          <w:sz w:val="24"/>
        </w:rPr>
      </w:pPr>
      <w:r>
        <w:rPr>
          <w:sz w:val="24"/>
        </w:rPr>
      </w:r>
    </w:p>
    <w:p>
      <w:pPr>
        <w:pStyle w:val="Normal"/>
        <w:bidi w:val="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jc w:val="both"/>
        <w:rPr>
          <w:sz w:val="24"/>
        </w:rPr>
      </w:pPr>
      <w:r>
        <w:rPr>
          <w:sz w:val="24"/>
        </w:rPr>
      </w:r>
    </w:p>
    <w:p>
      <w:pPr>
        <w:pStyle w:val="Normal"/>
        <w:bidi w:val="0"/>
        <w:spacing w:before="0" w:after="240"/>
        <w:jc w:val="both"/>
        <w:rPr>
          <w:sz w:val="24"/>
        </w:rPr>
      </w:pPr>
      <w:r>
        <w:rPr>
          <w:sz w:val="24"/>
        </w:rPr>
        <w:tab/>
        <w:t>(b)</w:t>
        <w:tab/>
        <w:t>Each Drawdown Request delivered to the Agent shall be in the form set out in Exhibit A and otherwise duly completed.</w:t>
      </w:r>
    </w:p>
    <w:p>
      <w:pPr>
        <w:pStyle w:val="Normal"/>
        <w:bidi w:val="0"/>
        <w:spacing w:before="0" w:after="240"/>
        <w:jc w:val="both"/>
        <w:rPr>
          <w:sz w:val="24"/>
        </w:rPr>
      </w:pPr>
      <w:r>
        <w:rPr>
          <w:sz w:val="24"/>
        </w:rPr>
        <w:tab/>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bidi w:val="0"/>
        <w:spacing w:before="0" w:after="240"/>
        <w:jc w:val="both"/>
        <w:rPr>
          <w:sz w:val="24"/>
        </w:rPr>
      </w:pPr>
      <w:r>
        <w:rPr>
          <w:sz w:val="24"/>
        </w:rPr>
        <w:tab/>
        <w:t>(d)</w:t>
        <w:tab/>
        <w:t>A Drawdown Request once given may not be withdrawn or revoked.</w:t>
      </w:r>
    </w:p>
    <w:p>
      <w:pPr>
        <w:pStyle w:val="Normal"/>
        <w:keepNext w:val="true"/>
        <w:bidi w:val="0"/>
        <w:spacing w:before="0" w:after="240"/>
        <w:jc w:val="both"/>
        <w:rPr>
          <w:sz w:val="24"/>
        </w:rPr>
      </w:pPr>
      <w:r>
        <w:rPr>
          <w:sz w:val="24"/>
        </w:rPr>
        <w:tab/>
        <w:t>(e)</w:t>
        <w:tab/>
        <w:t xml:space="preserve">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w:t>
      </w:r>
      <w:ins w:id="199" w:author="">
        <w:r>
          <w:rPr>
            <w:strike/>
            <w:sz w:val="24"/>
          </w:rPr>
          <w:t>I</w:t>
        </w:r>
      </w:ins>
      <w:r>
        <w:rPr>
          <w:sz w:val="24"/>
        </w:rPr>
        <w:t xml:space="preserve"> </w:t>
      </w:r>
      <w:ins w:id="200" w:author="">
        <w:r>
          <w:rPr>
            <w:b/>
            <w:sz w:val="24"/>
            <w:u w:val="double"/>
          </w:rPr>
          <w:t>II</w:t>
        </w:r>
      </w:ins>
      <w:r>
        <w:rPr>
          <w:sz w:val="24"/>
        </w:rPr>
        <w:t xml:space="preserve"> Tranches.</w:t>
      </w:r>
    </w:p>
    <w:p>
      <w:pPr>
        <w:pStyle w:val="Normal"/>
        <w:keepNext w:val="true"/>
        <w:keepLines/>
        <w:bidi w:val="0"/>
        <w:jc w:val="both"/>
        <w:rPr>
          <w:sz w:val="24"/>
        </w:rPr>
      </w:pPr>
      <w:r>
        <w:rPr>
          <w:sz w:val="24"/>
        </w:rPr>
        <w:tab/>
      </w:r>
      <w:r>
        <w:fldChar w:fldCharType="begin"/>
      </w:r>
      <w:r>
        <w:rPr>
          <w:sz w:val="24"/>
        </w:rPr>
        <w:instrText xml:space="preserve"> TC "Section  5.3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rPr>
      </w:pPr>
      <w:r>
        <w:rPr>
          <w:sz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sz w:val="24"/>
        </w:rPr>
        <w:tab/>
      </w:r>
      <w:r>
        <w:fldChar w:fldCharType="begin"/>
      </w:r>
      <w:r>
        <w:rPr>
          <w:sz w:val="24"/>
        </w:rPr>
        <w:instrText xml:space="preserve"> TC "Section  5.4   Notice to Lenders of a Proposed Drawdown " \l 1 </w:instrText>
      </w:r>
      <w:r>
        <w:rPr>
          <w:sz w:val="24"/>
        </w:rPr>
        <w:fldChar w:fldCharType="separate"/>
      </w:r>
      <w:r>
        <w:rPr>
          <w:sz w:val="24"/>
        </w:rPr>
      </w:r>
      <w:r>
        <w:rPr>
          <w:sz w:val="24"/>
        </w:rPr>
        <w:fldChar w:fldCharType="end"/>
      </w:r>
      <w:r>
        <w:rPr>
          <w:sz w:val="24"/>
        </w:rPr>
        <w:t>.    Whenever the Agent receives a Drawdown Request which complies with the requirements of Section 5.2,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In the event that an Early 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duration of each Interest Period will be a period of </w:t>
      </w:r>
      <w:ins w:id="201" w:author="">
        <w:r>
          <w:rPr>
            <w:b/>
            <w:sz w:val="24"/>
            <w:u w:val="double"/>
          </w:rPr>
          <w:t>two weeks or</w:t>
        </w:r>
      </w:ins>
      <w:r>
        <w:rPr>
          <w:sz w:val="24"/>
        </w:rPr>
        <w:t xml:space="preserve"> one, two, three </w:t>
      </w:r>
      <w:ins w:id="202" w:author="">
        <w:r>
          <w:rPr>
            <w:strike/>
            <w:sz w:val="24"/>
          </w:rPr>
          <w:t xml:space="preserve">or six </w:t>
        </w:r>
      </w:ins>
      <w:ins w:id="203" w:author="">
        <w:r>
          <w:rPr>
            <w:b/>
            <w:sz w:val="24"/>
            <w:u w:val="double"/>
          </w:rPr>
          <w:t>, six or, if available from all Lenders, nine</w:t>
        </w:r>
      </w:ins>
      <w:r>
        <w:rPr>
          <w:sz w:val="24"/>
        </w:rPr>
        <w:t xml:space="preserv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r>
      <w:bookmarkStart w:id="4" w:name="BM_1_"/>
      <w:bookmarkEnd w:id="4"/>
      <w:r>
        <w:rPr>
          <w:sz w:val="24"/>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jc w:val="both"/>
        <w:rPr>
          <w:sz w:val="24"/>
        </w:rPr>
      </w:pPr>
      <w:r>
        <w:rPr>
          <w:sz w:val="24"/>
        </w:rPr>
      </w:r>
    </w:p>
    <w:p>
      <w:pPr>
        <w:pStyle w:val="Normal"/>
        <w:keepNext w:val="true"/>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 xml:space="preserve">Hawaii </w:t>
            </w:r>
            <w:ins w:id="204" w:author="">
              <w:r>
                <w:rPr>
                  <w:strike/>
                  <w:sz w:val="24"/>
                </w:rPr>
                <w:t>II</w:t>
              </w:r>
            </w:ins>
            <w:r>
              <w:rPr>
                <w:sz w:val="24"/>
              </w:rPr>
              <w:t xml:space="preserve"> </w:t>
            </w:r>
            <w:ins w:id="205" w:author="">
              <w:r>
                <w:rPr>
                  <w:b/>
                  <w:sz w:val="24"/>
                  <w:u w:val="double"/>
                </w:rPr>
                <w:t>I</w:t>
              </w:r>
            </w:ins>
            <w:r>
              <w:rPr>
                <w:sz w:val="24"/>
              </w:rPr>
              <w:t xml:space="preserve"> 125</w:t>
              <w:noBreakHyphen/>
              <w:t>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Normal"/>
        <w:bidi w:val="0"/>
        <w:spacing w:before="0" w:after="240"/>
        <w:jc w:val="both"/>
        <w:rPr>
          <w:sz w:val="24"/>
        </w:rPr>
      </w:pPr>
      <w:r>
        <w:rPr>
          <w:sz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rPr>
      </w:pPr>
      <w:r>
        <w:rPr>
          <w:sz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sz w:val="24"/>
        </w:rPr>
        <w:tab/>
      </w:r>
      <w:r>
        <w:fldChar w:fldCharType="begin"/>
      </w:r>
      <w:r>
        <w:rPr>
          <w:sz w:val="24"/>
        </w:rPr>
        <w:instrText xml:space="preserve"> TC "Section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Operative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rPr>
      </w:pPr>
      <w:r>
        <w:rPr>
          <w:sz w:val="24"/>
        </w:rPr>
        <w:tab/>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Interests; No Modification to Certain Agreements</w:t>
      </w:r>
      <w:r>
        <w:rPr>
          <w:sz w:val="24"/>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jc w:val="both"/>
        <w:rPr>
          <w:sz w:val="24"/>
        </w:rPr>
      </w:pPr>
      <w:r>
        <w:rPr>
          <w:sz w:val="24"/>
        </w:rPr>
        <w:tab/>
      </w:r>
      <w:r>
        <w:fldChar w:fldCharType="begin"/>
      </w:r>
      <w:r>
        <w:rPr>
          <w:sz w:val="24"/>
        </w:rPr>
        <w:instrText xml:space="preserve"> TC "Section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rPr>
      </w:pPr>
      <w:r>
        <w:rPr>
          <w:sz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(g)</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(h)</w:t>
        <w:tab/>
        <w:t>There shall occur a designation of an Early Termination Date under (and as defined in) any Total Return Swap Agreement.</w:t>
      </w:r>
    </w:p>
    <w:p>
      <w:pPr>
        <w:pStyle w:val="Normal"/>
        <w:bidi w:val="0"/>
        <w:spacing w:before="0" w:after="240"/>
        <w:jc w:val="both"/>
        <w:rPr>
          <w:sz w:val="24"/>
        </w:rPr>
      </w:pPr>
      <w:r>
        <w:rPr>
          <w:sz w:val="24"/>
        </w:rPr>
        <w:tab/>
        <w:t>(i)</w:t>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rPr>
      </w:pPr>
      <w:r>
        <w:rPr>
          <w:sz w:val="24"/>
        </w:rPr>
        <w:tab/>
        <w:t>(k)</w:t>
        <w:tab/>
        <w:t>An Event of Default (as defined in the Hawaii I Facility Agreement) shall occur and be continuing.</w:t>
      </w:r>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keepNext w:val="true"/>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 \l 1 </w:instrText>
      </w:r>
      <w:r>
        <w:rPr>
          <w:sz w:val="24"/>
        </w:rPr>
        <w:fldChar w:fldCharType="separate"/>
      </w:r>
      <w:r>
        <w:rPr>
          <w:sz w:val="24"/>
        </w:rPr>
      </w:r>
      <w:r>
        <w:rPr>
          <w:sz w:val="24"/>
        </w:rPr>
        <w:fldChar w:fldCharType="end"/>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w:t>
        <w:noBreakHyphen/>
        <w:t>Arranger or the Documentation Agent or any of their respective personnel or agents:</w:t>
      </w:r>
    </w:p>
    <w:p>
      <w:pPr>
        <w:pStyle w:val="Normal"/>
        <w:bidi w:val="0"/>
        <w:jc w:val="both"/>
        <w:rPr>
          <w:sz w:val="24"/>
        </w:rPr>
      </w:pPr>
      <w:r>
        <w:rPr>
          <w:sz w:val="24"/>
        </w:rPr>
      </w:r>
    </w:p>
    <w:p>
      <w:pPr>
        <w:pStyle w:val="Normal"/>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rPr>
      </w:pPr>
      <w:r>
        <w:rPr>
          <w:sz w:val="24"/>
        </w:rPr>
        <w:tab/>
        <w:t>(g)</w:t>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bidi w:val="0"/>
        <w:spacing w:before="0" w:after="240"/>
        <w:jc w:val="both"/>
        <w:rPr>
          <w:sz w:val="24"/>
        </w:rPr>
      </w:pPr>
      <w:r>
        <w:rPr>
          <w:sz w:val="24"/>
        </w:rPr>
        <w:tab/>
        <w:t>(b)</w:t>
        <w:tab/>
        <w:t>Each of the Agent, the Co</w:t>
        <w:noBreakHyphen/>
        <w:t>Arrangers, the Syndication Agent, the Arranger and the Documentation Agent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sz w:val="24"/>
        </w:rPr>
        <w:tab/>
      </w:r>
      <w:r>
        <w:fldChar w:fldCharType="begin"/>
      </w:r>
      <w:r>
        <w:rPr>
          <w:sz w:val="24"/>
        </w:rPr>
        <w:instrText xml:space="preserve"> TC "Section  14.7   Non‑Reliance on Agent, Co‑Arrangers, Syndication Agent, Arranger or Documentation Agent " \l 1 </w:instrText>
      </w:r>
      <w:r>
        <w:rPr>
          <w:sz w:val="24"/>
        </w:rPr>
        <w:fldChar w:fldCharType="separate"/>
      </w:r>
      <w:r>
        <w:rPr>
          <w:sz w:val="24"/>
        </w:rPr>
      </w:r>
      <w:r>
        <w:rPr>
          <w:sz w:val="24"/>
        </w:rPr>
        <w:fldChar w:fldCharType="end"/>
      </w:r>
      <w:r>
        <w:rPr>
          <w:sz w:val="24"/>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 the Asset LLCs, the Transferors, the Sponsor, and Enron.</w:t>
      </w:r>
    </w:p>
    <w:p>
      <w:pPr>
        <w:pStyle w:val="Normal"/>
        <w:keepNext w:val="true"/>
        <w:keepLines/>
        <w:bidi w:val="0"/>
        <w:jc w:val="both"/>
        <w:rPr>
          <w:sz w:val="24"/>
        </w:rPr>
      </w:pPr>
      <w:r>
        <w:rPr>
          <w:sz w:val="24"/>
        </w:rPr>
        <w:tab/>
      </w:r>
      <w:r>
        <w:fldChar w:fldCharType="begin"/>
      </w:r>
      <w:r>
        <w:rPr>
          <w:sz w:val="24"/>
        </w:rPr>
        <w:instrText xml:space="preserve"> TC "Section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rPr>
      </w:pPr>
      <w:r>
        <w:rPr>
          <w:sz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 Paolo IMI S.p.A. shall have no rights, obligations or duties solely in their capacity as Co</w:t>
        <w:noBreakHyphen/>
        <w:t>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first, to any unpaid fees and reimbursement of unpaid expenses of the Agent;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Recoveries by Lenders " \l 1 </w:instrText>
      </w:r>
      <w:r>
        <w:rPr>
          <w:sz w:val="24"/>
        </w:rPr>
        <w:fldChar w:fldCharType="separate"/>
      </w:r>
      <w:r>
        <w:rPr>
          <w:sz w:val="24"/>
        </w:rPr>
      </w:r>
      <w:r>
        <w:rPr>
          <w:sz w:val="24"/>
        </w:rPr>
        <w:fldChar w:fldCharType="end"/>
      </w:r>
      <w:r>
        <w:rPr>
          <w:sz w:val="24"/>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Notification to Agent of Recoveries to Lender " \l 1 </w:instrText>
      </w:r>
      <w:r>
        <w:rPr>
          <w:sz w:val="24"/>
        </w:rPr>
        <w:fldChar w:fldCharType="separate"/>
      </w:r>
      <w:r>
        <w:rPr>
          <w:sz w:val="24"/>
        </w:rPr>
      </w:r>
      <w:r>
        <w:rPr>
          <w:sz w:val="24"/>
        </w:rPr>
        <w:fldChar w:fldCharType="end"/>
      </w:r>
      <w:r>
        <w:rPr>
          <w:sz w:val="24"/>
        </w:rPr>
        <w:t>.    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w:t>
      </w:r>
      <w:ins w:id="206" w:author="">
        <w:r>
          <w:rPr>
            <w:strike/>
            <w:sz w:val="24"/>
          </w:rPr>
          <w:t>I</w:t>
        </w:r>
      </w:ins>
      <w:r>
        <w:rPr>
          <w:sz w:val="24"/>
        </w:rPr>
        <w:t xml:space="preserve"> </w:t>
      </w:r>
      <w:ins w:id="207" w:author="">
        <w:r>
          <w:rPr>
            <w:b/>
            <w:sz w:val="24"/>
            <w:u w:val="double"/>
          </w:rPr>
          <w:t>II</w:t>
        </w:r>
      </w:ins>
      <w:r>
        <w:rPr>
          <w:sz w:val="24"/>
        </w:rPr>
        <w:t xml:space="preserve">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except as provided in Section 3.3, any increase in any Commitment of any Lender;</w:t>
      </w:r>
    </w:p>
    <w:p>
      <w:pPr>
        <w:pStyle w:val="Normal"/>
        <w:bidi w:val="0"/>
        <w:spacing w:before="0" w:after="240"/>
        <w:jc w:val="both"/>
        <w:rPr>
          <w:sz w:val="24"/>
        </w:rPr>
      </w:pPr>
      <w:r>
        <w:rPr>
          <w:sz w:val="24"/>
        </w:rPr>
        <w:tab/>
        <w:t>(b)</w:t>
        <w:tab/>
        <w:t>any extension of any scheduled date for payment of any sum due, owing or payable to the Lenders;</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rPr>
      </w:pPr>
      <w:r>
        <w:rPr>
          <w:sz w:val="24"/>
        </w:rPr>
        <w:tab/>
        <w:t>(e)</w:t>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rPr>
      </w:pPr>
      <w:r>
        <w:rPr>
          <w:sz w:val="24"/>
        </w:rPr>
        <w:tab/>
        <w:t>(f)</w:t>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SHALL BE GOVERNED BY AND CONSTRUED IN ACCORDANCE WITH THE LAWS OF THE STATE OF NEW YORK.</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jc w:val="both"/>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208" w:author="">
        <w:r>
          <w:rPr>
            <w:b/>
            <w:strike/>
            <w:sz w:val="24"/>
          </w:rPr>
          <w:t>II</w:t>
        </w:r>
      </w:ins>
      <w:r>
        <w:rPr>
          <w:b/>
          <w:sz w:val="24"/>
        </w:rPr>
        <w:t xml:space="preserve"> </w:t>
      </w:r>
      <w:ins w:id="209" w:author="">
        <w:r>
          <w:rPr>
            <w:b/>
            <w:sz w:val="24"/>
            <w:u w:val="double"/>
          </w:rPr>
          <w:t>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960" w:start="3960"/>
        <w:jc w:val="start"/>
        <w:rPr>
          <w:sz w:val="24"/>
        </w:rPr>
      </w:pPr>
      <w:r>
        <w:rPr>
          <w:sz w:val="24"/>
        </w:rPr>
        <w:tab/>
        <w:tab/>
        <w:tab/>
        <w:tab/>
        <w:tab/>
        <w:tab/>
      </w:r>
      <w:ins w:id="210" w:author="">
        <w:r>
          <w:rPr>
            <w:strike/>
            <w:sz w:val="24"/>
          </w:rPr>
          <w:t>____________________________________________</w:t>
        </w:r>
      </w:ins>
      <w:ins w:id="211" w:author="">
        <w:r>
          <w:rPr>
            <w:b/>
            <w:sz w:val="24"/>
            <w:u w:val="double"/>
          </w:rPr>
          <w:t>__________________________________________</w:t>
        </w:r>
      </w:ins>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in its capacity as Lender</w:t>
      </w:r>
      <w:ins w:id="212" w:author="">
        <w:r>
          <w:rPr>
            <w:b/>
            <w:sz w:val="24"/>
            <w:u w:val="double"/>
          </w:rPr>
          <w:t>,</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t>Facility Agreement, dated as of November [17],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(m)</w:t>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17"/>
          <w:footerReference w:type="even" r:id="rId18"/>
          <w:footerReference w:type="default" r:id="rId19"/>
          <w:footerReference w:type="first" r:id="rId20"/>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 xml:space="preserve">Hawaii </w:t>
      </w:r>
      <w:ins w:id="213" w:author="">
        <w:r>
          <w:rPr>
            <w:strike/>
            <w:sz w:val="24"/>
          </w:rPr>
          <w:t>II</w:t>
        </w:r>
      </w:ins>
      <w:r>
        <w:rPr>
          <w:sz w:val="24"/>
        </w:rPr>
        <w:t xml:space="preserve"> </w:t>
      </w:r>
      <w:ins w:id="214" w:author="">
        <w:r>
          <w:rPr>
            <w:b/>
            <w:sz w:val="24"/>
            <w:u w:val="double"/>
          </w:rPr>
          <w:t>I</w:t>
        </w:r>
      </w:ins>
      <w:r>
        <w:rPr>
          <w:sz w:val="24"/>
        </w:rPr>
        <w:t xml:space="preserve"> 125</w:t>
        <w:noBreakHyphen/>
        <w:t>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r>
        <w:rPr>
          <w:sz w:val="24"/>
        </w:rPr>
        <w:t>November [17],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FOR VALUE RECEIVED, Hawaii </w:t>
      </w:r>
      <w:ins w:id="215" w:author="">
        <w:r>
          <w:rPr>
            <w:strike/>
            <w:sz w:val="24"/>
          </w:rPr>
          <w:t>II</w:t>
        </w:r>
      </w:ins>
      <w:r>
        <w:rPr>
          <w:sz w:val="24"/>
        </w:rPr>
        <w:t xml:space="preserve"> </w:t>
      </w:r>
      <w:ins w:id="216" w:author="">
        <w:r>
          <w:rPr>
            <w:b/>
            <w:sz w:val="24"/>
            <w:u w:val="double"/>
          </w:rPr>
          <w:t>I</w:t>
        </w:r>
      </w:ins>
      <w:r>
        <w:rPr>
          <w:sz w:val="24"/>
        </w:rPr>
        <w:t xml:space="preserve"> 125</w:t>
        <w:noBreakHyphen/>
        <w:t xml:space="preserve">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w:t>
      </w:r>
      <w:ins w:id="217" w:author="">
        <w:r>
          <w:rPr>
            <w:strike/>
            <w:sz w:val="24"/>
          </w:rPr>
          <w:t>November [16]</w:t>
        </w:r>
      </w:ins>
      <w:r>
        <w:rPr>
          <w:sz w:val="24"/>
        </w:rPr>
        <w:t xml:space="preserve"> </w:t>
      </w:r>
      <w:ins w:id="218" w:author="">
        <w:r>
          <w:rPr>
            <w:b/>
            <w:sz w:val="24"/>
            <w:u w:val="double"/>
          </w:rPr>
          <w:t>July [17]</w:t>
        </w:r>
      </w:ins>
      <w:r>
        <w:rPr>
          <w:sz w:val="24"/>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[17],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 xml:space="preserve">HAWAII </w:t>
      </w:r>
      <w:ins w:id="219" w:author="">
        <w:r>
          <w:rPr>
            <w:b/>
            <w:strike/>
            <w:sz w:val="24"/>
          </w:rPr>
          <w:t>II</w:t>
        </w:r>
      </w:ins>
      <w:r>
        <w:rPr>
          <w:b/>
          <w:sz w:val="24"/>
        </w:rPr>
        <w:t xml:space="preserve"> </w:t>
      </w:r>
      <w:ins w:id="220" w:author="">
        <w:r>
          <w:rPr>
            <w:b/>
            <w:sz w:val="24"/>
            <w:u w:val="double"/>
          </w:rPr>
          <w:t>I</w:t>
        </w:r>
      </w:ins>
      <w:r>
        <w:rPr>
          <w:b/>
          <w:sz w:val="24"/>
        </w:rPr>
        <w:t xml:space="preserve"> 125</w:t>
        <w:noBreakHyphen/>
        <w:t>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Facility Agreement, dated as of November [17],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w:t>
      </w:r>
      <w:ins w:id="221" w:author="">
        <w:r>
          <w:rPr>
            <w:strike/>
            <w:sz w:val="24"/>
          </w:rPr>
          <w:t>II</w:t>
        </w:r>
      </w:ins>
      <w:r>
        <w:rPr>
          <w:sz w:val="24"/>
        </w:rPr>
        <w:t xml:space="preserve"> </w:t>
      </w:r>
      <w:ins w:id="222" w:author="">
        <w:r>
          <w:rPr>
            <w:b/>
            <w:sz w:val="24"/>
            <w:u w:val="double"/>
          </w:rPr>
          <w:t>I</w:t>
        </w:r>
      </w:ins>
      <w:r>
        <w:rPr>
          <w:sz w:val="24"/>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0"/>
          <w:footerReference w:type="default" r:id="rId41"/>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2"/>
          <w:headerReference w:type="first" r:id="rId43"/>
          <w:footerReference w:type="default" r:id="rId44"/>
          <w:footerReference w:type="first" r:id="rId45"/>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Danno Assets</w:t>
      </w:r>
      <w:r>
        <w:rPr>
          <w:sz w:val="24"/>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assets.    The long</w:t>
        <w:noBreakHyphen/>
        <w:t>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Governor Assets</w:t>
      </w:r>
      <w:r>
        <w:rPr>
          <w:sz w:val="24"/>
        </w:rPr>
        <w:t xml:space="preserve"> </w:t>
        <w:noBreakHyphen/>
        <w:t xml:space="preserve">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McGarret Assets</w:t>
      </w:r>
      <w:r>
        <w:rPr>
          <w:sz w:val="24"/>
        </w:rPr>
        <w:t xml:space="preserve"> </w:t>
        <w:noBreakHyphen/>
        <w:t xml:space="preserve">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for assets which constitute non</w:t>
        <w:noBreakHyphen/>
        <w:t>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w:t>
        <w:noBreakHyphen/>
        <w:t>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r>
      <w:r>
        <w:rPr>
          <w:sz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46"/>
          <w:footerReference w:type="even" r:id="rId47"/>
          <w:footerReference w:type="default" r:id="rId48"/>
          <w:footerReference w:type="first" r:id="rId4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 xml:space="preserve">An Underlying Asset will not conform with the Model Structure if (a) following Drawdown of the Tranche requested in the related Asset Notice, more than </w:t>
      </w:r>
      <w:ins w:id="223" w:author="">
        <w:r>
          <w:rPr>
            <w:strike/>
            <w:sz w:val="24"/>
          </w:rPr>
          <w:t>$145,500,000</w:t>
        </w:r>
      </w:ins>
      <w:r>
        <w:rPr>
          <w:sz w:val="24"/>
        </w:rPr>
        <w:t xml:space="preserve"> </w:t>
      </w:r>
      <w:ins w:id="224" w:author="">
        <w:r>
          <w:rPr>
            <w:b/>
            <w:sz w:val="24"/>
            <w:u w:val="double"/>
          </w:rPr>
          <w:t>$145,000,000</w:t>
        </w:r>
      </w:ins>
      <w:r>
        <w:rPr>
          <w:sz w:val="24"/>
        </w:rPr>
        <w:t xml:space="preserve"> in aggregate (including all Hawaii </w:t>
      </w:r>
      <w:ins w:id="225" w:author="">
        <w:r>
          <w:rPr>
            <w:strike/>
            <w:sz w:val="24"/>
          </w:rPr>
          <w:t>I</w:t>
        </w:r>
      </w:ins>
      <w:r>
        <w:rPr>
          <w:sz w:val="24"/>
        </w:rPr>
        <w:t xml:space="preserve"> </w:t>
      </w:r>
      <w:ins w:id="226" w:author="">
        <w:r>
          <w:rPr>
            <w:b/>
            <w:sz w:val="24"/>
            <w:u w:val="double"/>
          </w:rPr>
          <w:t>II</w:t>
        </w:r>
      </w:ins>
      <w:r>
        <w:rPr>
          <w:sz w:val="24"/>
        </w:rPr>
        <w:t xml:space="preserve"> Tranches) would have been drawn down under the Facility Agreement and the Hawaii </w:t>
      </w:r>
      <w:ins w:id="227" w:author="">
        <w:r>
          <w:rPr>
            <w:strike/>
            <w:sz w:val="24"/>
          </w:rPr>
          <w:t>I</w:t>
        </w:r>
      </w:ins>
      <w:r>
        <w:rPr>
          <w:sz w:val="24"/>
        </w:rPr>
        <w:t xml:space="preserve"> </w:t>
      </w:r>
      <w:ins w:id="228" w:author="">
        <w:r>
          <w:rPr>
            <w:b/>
            <w:sz w:val="24"/>
            <w:u w:val="double"/>
          </w:rPr>
          <w:t>II</w:t>
        </w:r>
      </w:ins>
      <w:r>
        <w:rPr>
          <w:sz w:val="24"/>
        </w:rPr>
        <w:t xml:space="preserve"> Facility Agreement in the aggregate with respect to    Underlying Assets consisting of the obligations of or ownership interests in a single Person; or (b) the Tranche requested in the related Asset Notice is greater than </w:t>
      </w:r>
      <w:ins w:id="229" w:author="">
        <w:r>
          <w:rPr>
            <w:strike/>
            <w:sz w:val="24"/>
          </w:rPr>
          <w:t>$145,500,000</w:t>
        </w:r>
      </w:ins>
      <w:r>
        <w:rPr>
          <w:sz w:val="24"/>
        </w:rPr>
        <w:t xml:space="preserve"> </w:t>
      </w:r>
      <w:ins w:id="230" w:author="">
        <w:r>
          <w:rPr>
            <w:b/>
            <w:sz w:val="24"/>
            <w:u w:val="double"/>
          </w:rPr>
          <w:t>$97,000,000</w:t>
        </w:r>
      </w:ins>
      <w:r>
        <w:rPr>
          <w:sz w:val="24"/>
        </w:rPr>
        <w:t xml:space="preserve"> or less than $9,700,000.    The foregoing is not a limitation on any other reason why an Underlying Asset might not conform with the Model Structure.</w:t>
      </w:r>
      <w:r>
        <w:br w:type="page"/>
      </w:r>
    </w:p>
    <w:p>
      <w:pPr>
        <w:pStyle w:val="Normal"/>
        <w:bidi w:val="0"/>
        <w:jc w:val="start"/>
        <w:rPr>
          <w:sz w:val="24"/>
        </w:rPr>
      </w:pPr>
      <w:r>
        <w:rPr>
          <w:sz w:val="24"/>
        </w:rPr>
      </w:r>
    </w:p>
    <w:p>
      <w:pPr>
        <w:sectPr>
          <w:headerReference w:type="default" r:id="rId50"/>
          <w:headerReference w:type="first" r:id="rId51"/>
          <w:footerReference w:type="even" r:id="rId52"/>
          <w:footerReference w:type="default" r:id="rId53"/>
          <w:footerReference w:type="first" r:id="rId5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55"/>
          <w:footerReference w:type="even" r:id="rId56"/>
          <w:footerReference w:type="default" r:id="rId57"/>
          <w:footerReference w:type="first" r:id="rId5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Transfer and Auction Agreement</w:t>
      </w:r>
    </w:p>
    <w:p>
      <w:pPr>
        <w:sectPr>
          <w:headerReference w:type="default" r:id="rId59"/>
          <w:headerReference w:type="firs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[Hawaii </w:t>
      </w:r>
      <w:ins w:id="231" w:author="">
        <w:r>
          <w:rPr>
            <w:strike/>
            <w:sz w:val="24"/>
          </w:rPr>
          <w:t>II</w:t>
        </w:r>
      </w:ins>
      <w:r>
        <w:rPr>
          <w:sz w:val="24"/>
        </w:rPr>
        <w:t xml:space="preserve"> </w:t>
      </w:r>
      <w:ins w:id="232" w:author="">
        <w:r>
          <w:rPr>
            <w:b/>
            <w:sz w:val="24"/>
            <w:u w:val="double"/>
          </w:rPr>
          <w:t>I</w:t>
        </w:r>
      </w:ins>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Notice referred to in Section 5.1 of the Facility Agreement dated November [17], 2000 (the </w:t>
      </w:r>
      <w:r>
        <w:rPr>
          <w:b/>
          <w:sz w:val="24"/>
        </w:rPr>
        <w:t>“</w:t>
      </w:r>
      <w:r>
        <w:rPr>
          <w:b/>
          <w:sz w:val="24"/>
          <w:u w:val="single"/>
        </w:rPr>
        <w:t>Facility Agreement</w:t>
      </w:r>
      <w:r>
        <w:rPr>
          <w:b/>
          <w:sz w:val="24"/>
        </w:rPr>
        <w:t>”</w:t>
      </w:r>
      <w:r>
        <w:rPr>
          <w:sz w:val="24"/>
        </w:rPr>
        <w:t xml:space="preserve">) made between Hawaii </w:t>
      </w:r>
      <w:ins w:id="233" w:author="">
        <w:r>
          <w:rPr>
            <w:strike/>
            <w:sz w:val="24"/>
          </w:rPr>
          <w:t>II</w:t>
        </w:r>
      </w:ins>
      <w:r>
        <w:rPr>
          <w:sz w:val="24"/>
        </w:rPr>
        <w:t xml:space="preserve"> </w:t>
      </w:r>
      <w:ins w:id="234" w:author="">
        <w:r>
          <w:rPr>
            <w:b/>
            <w:sz w:val="24"/>
            <w:u w:val="double"/>
          </w:rPr>
          <w:t>I</w:t>
        </w:r>
      </w:ins>
      <w:r>
        <w:rPr>
          <w:sz w:val="24"/>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ab/>
        <w:t>of Entity</w:t>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b/>
          <w:i/>
          <w:i/>
          <w:sz w:val="24"/>
        </w:rPr>
      </w:pPr>
      <w:r>
        <w:rPr>
          <w:sz w:val="24"/>
        </w:rPr>
        <w:tab/>
        <w:t>10.</w:t>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5.1(a)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1(c)(i) of the Subscription Agreement dated November [17], 2000 between the Subscriber and the Trust as amended or restated after such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CIBC INC.,</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Summary referred to in Section 5.1 of the Facility Agreement dated November [17], 2000 (the </w:t>
      </w:r>
      <w:r>
        <w:rPr>
          <w:b/>
          <w:sz w:val="24"/>
        </w:rPr>
        <w:t>“</w:t>
      </w:r>
      <w:r>
        <w:rPr>
          <w:b/>
          <w:sz w:val="24"/>
          <w:u w:val="single"/>
        </w:rPr>
        <w:t>Facility Agreement</w:t>
      </w:r>
      <w:r>
        <w:rPr>
          <w:b/>
          <w:sz w:val="24"/>
        </w:rPr>
        <w:t>”</w:t>
      </w:r>
      <w:r>
        <w:rPr>
          <w:sz w:val="24"/>
        </w:rPr>
        <w:t xml:space="preserve">) made between Hawaii </w:t>
      </w:r>
      <w:ins w:id="235" w:author="">
        <w:r>
          <w:rPr>
            <w:strike/>
            <w:sz w:val="24"/>
          </w:rPr>
          <w:t>II</w:t>
        </w:r>
      </w:ins>
      <w:r>
        <w:rPr>
          <w:sz w:val="24"/>
        </w:rPr>
        <w:t xml:space="preserve"> </w:t>
      </w:r>
      <w:ins w:id="236" w:author="">
        <w:r>
          <w:rPr>
            <w:b/>
            <w:sz w:val="24"/>
            <w:u w:val="double"/>
          </w:rPr>
          <w:t>I</w:t>
        </w:r>
      </w:ins>
      <w:r>
        <w:rPr>
          <w:sz w:val="24"/>
        </w:rPr>
        <w:t xml:space="preserve"> 125</w:t>
        <w:noBreakHyphen/>
        <w:t xml:space="preserve">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both"/>
        <w:rPr>
          <w:b/>
          <w:sz w:val="24"/>
        </w:rPr>
      </w:pPr>
      <w:r>
        <w:rPr>
          <w:b/>
          <w:sz w:val="24"/>
        </w:rPr>
        <w:tab/>
        <w:tab/>
        <w:tab/>
        <w:tab/>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 xml:space="preserve">Hawaii </w:t>
      </w:r>
      <w:ins w:id="237" w:author="">
        <w:r>
          <w:rPr>
            <w:strike/>
            <w:sz w:val="24"/>
          </w:rPr>
          <w:t>II</w:t>
        </w:r>
      </w:ins>
      <w:r>
        <w:rPr>
          <w:sz w:val="24"/>
        </w:rPr>
        <w:t xml:space="preserve"> </w:t>
      </w:r>
      <w:ins w:id="238" w:author="">
        <w:r>
          <w:rPr>
            <w:b/>
            <w:sz w:val="24"/>
            <w:u w:val="double"/>
          </w:rPr>
          <w:t>I</w:t>
        </w:r>
      </w:ins>
      <w:r>
        <w:rPr>
          <w:sz w:val="24"/>
        </w:rPr>
        <w:t xml:space="preserve"> 125</w:t>
        <w:noBreakHyphen/>
        <w:t xml:space="preserve">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Facility Agreement, dated as of November </w:t>
      </w:r>
      <w:r>
        <w:rPr>
          <w:b/>
          <w:sz w:val="24"/>
        </w:rPr>
        <w:t>[</w:t>
      </w:r>
      <w:r>
        <w:rPr>
          <w:sz w:val="24"/>
        </w:rPr>
        <w:t>17</w:t>
      </w:r>
      <w:r>
        <w:rPr>
          <w:b/>
          <w:sz w:val="24"/>
        </w:rPr>
        <w:t>]</w:t>
      </w:r>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To:</w:t>
        <w:tab/>
        <w:t xml:space="preserve">Hawaii </w:t>
      </w:r>
      <w:ins w:id="239" w:author="">
        <w:r>
          <w:rPr>
            <w:strike/>
            <w:sz w:val="24"/>
          </w:rPr>
          <w:t>II</w:t>
        </w:r>
      </w:ins>
      <w:r>
        <w:rPr>
          <w:sz w:val="24"/>
        </w:rPr>
        <w:t xml:space="preserve"> </w:t>
      </w:r>
      <w:ins w:id="240" w:author="">
        <w:r>
          <w:rPr>
            <w:b/>
            <w:sz w:val="24"/>
            <w:u w:val="double"/>
          </w:rPr>
          <w:t>I</w:t>
        </w:r>
      </w:ins>
      <w:r>
        <w:rPr>
          <w:sz w:val="24"/>
        </w:rPr>
        <w:t xml:space="preserve"> 125</w:t>
        <w:noBreakHyphen/>
        <w:t>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Date:</w:t>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Trust, the Agent and certain other financial institutions have entered into that certain Facility Agreement, dated as of November [17],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Title:</w:t>
      </w:r>
      <w:r>
        <w:rPr>
          <w:sz w:val="24"/>
          <w:u w:val="single"/>
        </w:rPr>
        <w:tab/>
      </w:r>
    </w:p>
    <w:p>
      <w:pPr>
        <w:sectPr>
          <w:headerReference w:type="default" r:id="rId94"/>
          <w:headerReference w:type="first" r:id="rId95"/>
          <w:footerReference w:type="even" r:id="rId96"/>
          <w:footerReference w:type="default" r:id="rId97"/>
          <w:footerReference w:type="first" r:id="rId9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EXHIBIT 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OMNIBUS AMENDMENT</w:t>
      </w:r>
      <w:r>
        <w:br w:type="page"/>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DAL: </w:t>
      </w:r>
      <w:ins w:id="241" w:author="">
        <w:r>
          <w:rPr>
            <w:strike/>
            <w:sz w:val="24"/>
          </w:rPr>
          <w:t>265273.4</w:t>
        </w:r>
      </w:ins>
      <w:r>
        <w:rPr>
          <w:sz w:val="24"/>
        </w:rPr>
        <w:t xml:space="preserve"> </w:t>
      </w:r>
      <w:ins w:id="242" w:author="">
        <w:r>
          <w:rPr>
            <w:b/>
            <w:sz w:val="24"/>
            <w:u w:val="double"/>
          </w:rPr>
          <w:t>266253.2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2</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Project Hawaii </w:t>
      </w:r>
      <w:ins w:id="243" w:author="">
        <w:r>
          <w:rPr>
            <w:strike/>
            <w:sz w:val="24"/>
          </w:rPr>
          <w:t>II/Facility</w:t>
        </w:r>
      </w:ins>
      <w:r>
        <w:rPr>
          <w:sz w:val="24"/>
        </w:rPr>
        <w:t xml:space="preserve"> </w:t>
      </w:r>
      <w:ins w:id="244" w:author="">
        <w:r>
          <w:rPr>
            <w:b/>
            <w:sz w:val="24"/>
            <w:u w:val="double"/>
          </w:rPr>
          <w:t>I/Facility</w:t>
        </w:r>
      </w:ins>
      <w:r>
        <w:rPr>
          <w:sz w:val="24"/>
        </w:rPr>
        <w:t xml:space="preserve"> Agreement </w:t>
        <w:noBreakHyphen/>
        <w:t xml:space="preserve">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noBreakHyphen/>
      </w:r>
      <w:r>
        <w:rPr>
          <w:sz w:val="24"/>
        </w:rPr>
        <w:t>FOOTER 3</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Footer Discontinued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original document      : C:\WINDOWS\TEMP\DAL_265273_4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and revised document: C:\WINDOWS\TEMP\DAL_266253.2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132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CompareRite found        2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Additions appear as Bold+Dbl Underline text </w:t>
      </w:r>
    </w:p>
    <w:sectPr>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footer" Target="footer25.xml"/><Relationship Id="rId42" Type="http://schemas.openxmlformats.org/officeDocument/2006/relationships/header" Target="header16.xml"/><Relationship Id="rId43" Type="http://schemas.openxmlformats.org/officeDocument/2006/relationships/header" Target="header17.xml"/><Relationship Id="rId44" Type="http://schemas.openxmlformats.org/officeDocument/2006/relationships/footer" Target="footer26.xml"/><Relationship Id="rId45" Type="http://schemas.openxmlformats.org/officeDocument/2006/relationships/footer" Target="footer27.xml"/><Relationship Id="rId46" Type="http://schemas.openxmlformats.org/officeDocument/2006/relationships/header" Target="header18.xml"/><Relationship Id="rId47" Type="http://schemas.openxmlformats.org/officeDocument/2006/relationships/footer" Target="footer28.xml"/><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header" Target="header22.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header" Target="header36.xml"/><Relationship Id="rId95" Type="http://schemas.openxmlformats.org/officeDocument/2006/relationships/header" Target="header37.xml"/><Relationship Id="rId96" Type="http://schemas.openxmlformats.org/officeDocument/2006/relationships/footer" Target="footer58.xml"/><Relationship Id="rId97" Type="http://schemas.openxmlformats.org/officeDocument/2006/relationships/footer" Target="footer59.xml"/><Relationship Id="rId98" Type="http://schemas.openxmlformats.org/officeDocument/2006/relationships/footer" Target="footer60.xml"/><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footer" Target="footer61.xml"/><Relationship Id="rId102" Type="http://schemas.openxmlformats.org/officeDocument/2006/relationships/footer" Target="footer62.xml"/><Relationship Id="rId103" Type="http://schemas.openxmlformats.org/officeDocument/2006/relationships/footer" Target="footer63.xml"/><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