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embeddings/oleObject1.bin" ContentType="application/vnd.openxmlformats-officedocument.oleObject"/>
  <Override PartName="/word/media/image1.wmf" ContentType="image/x-wmf"/>
  <Override PartName="/word/media/image2.wmf" ContentType="image/x-wmf"/>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
        <w:rPr>
          <w:rFonts w:ascii="Arial" w:hAnsi="Arial" w:cs="Arial"/>
          <w:sz w:val="20"/>
          <w:u w:val="single"/>
        </w:rPr>
      </w:pPr>
      <w:r>
        <w:rPr>
          <w:rFonts w:cs="Arial" w:ascii="Arial" w:hAnsi="Arial"/>
          <w:sz w:val="20"/>
          <w:u w:val="single"/>
        </w:rPr>
        <w:t>Hawaii Asset Description</w:t>
      </w:r>
    </w:p>
    <w:p>
      <w:pPr>
        <w:pStyle w:val="BodyText"/>
        <w:rPr>
          <w:rFonts w:ascii="Arial" w:hAnsi="Arial" w:cs="Arial"/>
          <w:sz w:val="20"/>
          <w:u w:val="single"/>
        </w:rPr>
      </w:pPr>
      <w:r>
        <w:rPr>
          <w:rFonts w:cs="Arial" w:ascii="Arial" w:hAnsi="Arial"/>
          <w:sz w:val="20"/>
          <w:u w:val="single"/>
        </w:rPr>
      </w:r>
    </w:p>
    <w:p>
      <w:pPr>
        <w:pStyle w:val="BodyText"/>
        <w:jc w:val="both"/>
        <w:rPr>
          <w:rFonts w:ascii="Arial" w:hAnsi="Arial" w:cs="Arial"/>
          <w:sz w:val="20"/>
        </w:rPr>
      </w:pPr>
      <w:r>
        <w:rPr>
          <w:rFonts w:cs="Arial" w:ascii="Arial" w:hAnsi="Arial"/>
          <w:sz w:val="20"/>
        </w:rPr>
        <w:t xml:space="preserve">Enron Corp and its wholly owned direct or indirect subsidiaries will use the Hawaii structure to monetize various cash flows and investments relating to core businesses (see chart and description of core businesses).  Assets monetized by the structure will receive true issuance treatment for financial accounting purposes under FASB 125 and sale treatment under GAAP.  </w:t>
      </w:r>
    </w:p>
    <w:p>
      <w:pPr>
        <w:pStyle w:val="BodyText"/>
        <w:jc w:val="both"/>
        <w:rPr>
          <w:rFonts w:ascii="Arial" w:hAnsi="Arial" w:cs="Arial"/>
          <w:sz w:val="20"/>
        </w:rPr>
      </w:pPr>
      <w:r>
        <w:rPr>
          <w:rFonts w:cs="Arial" w:ascii="Arial" w:hAnsi="Arial"/>
          <w:sz w:val="20"/>
        </w:rPr>
      </w:r>
    </w:p>
    <w:p>
      <w:pPr>
        <w:pStyle w:val="BodyText"/>
        <w:jc w:val="both"/>
        <w:rPr>
          <w:rFonts w:ascii="Arial" w:hAnsi="Arial" w:cs="Arial"/>
          <w:sz w:val="20"/>
        </w:rPr>
      </w:pPr>
      <w:r>
        <w:rPr>
          <w:rFonts w:cs="Arial" w:ascii="Arial" w:hAnsi="Arial"/>
          <w:sz w:val="20"/>
        </w:rPr>
        <w:t>All assets entering the Hawaii structure will fall into one of the following three category descriptions: 1) “Danno” Assets - Assets that represent cash flows related to a contractual obligation by a third party to an Enron entity, 2)  “Governor” Assets - Assets that represent cash flows related to the ongoing business of an asset, 3)  “McGarrett” Assets - Financial assets that represent investments made by Enron entities.</w:t>
      </w:r>
    </w:p>
    <w:p>
      <w:pPr>
        <w:pStyle w:val="BodyText"/>
        <w:jc w:val="both"/>
        <w:rPr>
          <w:rFonts w:ascii="Arial" w:hAnsi="Arial" w:cs="Arial"/>
          <w:sz w:val="20"/>
        </w:rPr>
      </w:pPr>
      <w:r>
        <w:rPr>
          <w:rFonts w:cs="Arial" w:ascii="Arial" w:hAnsi="Arial"/>
          <w:sz w:val="20"/>
        </w:rPr>
      </w:r>
    </w:p>
    <w:p>
      <w:pPr>
        <w:pStyle w:val="BodyText"/>
        <w:jc w:val="both"/>
        <w:rPr>
          <w:rFonts w:ascii="Arial" w:hAnsi="Arial" w:cs="Arial"/>
          <w:sz w:val="20"/>
          <w:u w:val="single"/>
        </w:rPr>
      </w:pPr>
      <w:r>
        <w:rPr>
          <w:rFonts w:cs="Arial" w:ascii="Arial" w:hAnsi="Arial"/>
          <w:sz w:val="20"/>
          <w:u w:val="single"/>
        </w:rPr>
        <w:t>Valuation Process</w:t>
      </w:r>
    </w:p>
    <w:p>
      <w:pPr>
        <w:pStyle w:val="BodyText"/>
        <w:jc w:val="both"/>
        <w:rPr>
          <w:rFonts w:ascii="Arial" w:hAnsi="Arial" w:cs="Arial"/>
          <w:sz w:val="20"/>
          <w:u w:val="single"/>
        </w:rPr>
      </w:pPr>
      <w:r>
        <w:rPr>
          <w:rFonts w:cs="Arial" w:ascii="Arial" w:hAnsi="Arial"/>
          <w:sz w:val="20"/>
          <w:u w:val="single"/>
        </w:rPr>
      </w:r>
    </w:p>
    <w:p>
      <w:pPr>
        <w:pStyle w:val="BodyText"/>
        <w:jc w:val="both"/>
        <w:rPr>
          <w:rFonts w:ascii="Arial" w:hAnsi="Arial" w:cs="Arial"/>
          <w:sz w:val="20"/>
        </w:rPr>
      </w:pPr>
      <w:r>
        <w:rPr>
          <w:rFonts w:cs="Arial" w:ascii="Arial" w:hAnsi="Arial"/>
          <w:sz w:val="20"/>
        </w:rPr>
        <w:t xml:space="preserve">Enron’s Risk Analytics group is charged with independently analyzing and evaluating all material capital investments by identifying and modeling transaction risks, establishing valuation processes, and validating key assumptions.  Enron marks to market all publicly traded investments while privately traded investments are subject to valuation methodology identified by the Risk Analytics group through research, evaluation of industry practices, consultation with auditors and external sources, and consideration of consistency and common practices across Enron.  Risk Analytics cross checks investment valuations using different processes such as discounted cash flow, comparable transactions/companies, and asset values.  </w:t>
      </w:r>
    </w:p>
    <w:p>
      <w:pPr>
        <w:pStyle w:val="BodyText"/>
        <w:jc w:val="both"/>
        <w:rPr>
          <w:rFonts w:ascii="Arial" w:hAnsi="Arial" w:cs="Arial"/>
          <w:sz w:val="20"/>
        </w:rPr>
      </w:pPr>
      <w:r>
        <w:rPr>
          <w:rFonts w:cs="Arial" w:ascii="Arial" w:hAnsi="Arial"/>
          <w:sz w:val="20"/>
        </w:rPr>
      </w:r>
    </w:p>
    <w:p>
      <w:pPr>
        <w:pStyle w:val="BodyText"/>
        <w:jc w:val="both"/>
        <w:rPr>
          <w:rFonts w:ascii="Arial" w:hAnsi="Arial" w:cs="Arial"/>
          <w:sz w:val="20"/>
        </w:rPr>
      </w:pPr>
      <w:r>
        <w:rPr>
          <w:rFonts w:cs="Arial" w:ascii="Arial" w:hAnsi="Arial"/>
          <w:sz w:val="20"/>
        </w:rPr>
        <w:t xml:space="preserve">Merchant assets are valued based on cash flows to Enron plus a terminal value at the expected time of exit.  Risk Analytics works to apply an appropriate discount rate to the investment’s cash flows and calculates the terminal value using EBITDA multiples of market comparables.  </w:t>
      </w:r>
    </w:p>
    <w:p>
      <w:pPr>
        <w:pStyle w:val="BodyText"/>
        <w:jc w:val="both"/>
        <w:rPr>
          <w:rFonts w:ascii="Arial" w:hAnsi="Arial" w:cs="Arial"/>
          <w:sz w:val="20"/>
        </w:rPr>
      </w:pPr>
      <w:r>
        <w:rPr>
          <w:rFonts w:cs="Arial" w:ascii="Arial" w:hAnsi="Arial"/>
          <w:sz w:val="20"/>
        </w:rPr>
      </w:r>
    </w:p>
    <w:p>
      <w:pPr>
        <w:pStyle w:val="BodyText"/>
        <w:jc w:val="both"/>
        <w:rPr>
          <w:rFonts w:ascii="Arial" w:hAnsi="Arial" w:cs="Arial"/>
          <w:sz w:val="20"/>
        </w:rPr>
      </w:pPr>
      <w:r>
        <w:rPr>
          <w:rFonts w:cs="Arial" w:ascii="Arial" w:hAnsi="Arial"/>
          <w:sz w:val="20"/>
        </w:rPr>
        <w:t xml:space="preserve">Risk Analytics begins by auditing the investment model to ensure that it reflects the transaction dynamics and documentation.  The reasonableness of the forecasts are then evaluated based on review of historical performance, common-size financial statements, industry and financial ratio analysis, stress testing key assumptions, cross checking valuations, and probabilistic modeling.  Key issues considered throughout these evaluation processes are the project’s upside potential, exit strategy, terminal or continuing value, marketability, foreign exchange issues, capital structure, working capital, liquidity, capital expenditures, credit exposures, and issues relating to trapped cash.  </w:t>
      </w:r>
    </w:p>
    <w:p>
      <w:pPr>
        <w:pStyle w:val="BodyText"/>
        <w:jc w:val="both"/>
        <w:rPr>
          <w:rFonts w:ascii="Arial" w:hAnsi="Arial" w:cs="Arial"/>
          <w:sz w:val="20"/>
        </w:rPr>
      </w:pPr>
      <w:r>
        <w:rPr>
          <w:rFonts w:cs="Arial" w:ascii="Arial" w:hAnsi="Arial"/>
          <w:sz w:val="20"/>
        </w:rPr>
      </w:r>
    </w:p>
    <w:p>
      <w:pPr>
        <w:pStyle w:val="BodyText"/>
        <w:jc w:val="both"/>
        <w:rPr>
          <w:rFonts w:ascii="Arial" w:hAnsi="Arial" w:cs="Arial"/>
          <w:sz w:val="20"/>
        </w:rPr>
      </w:pPr>
      <w:r>
        <w:rPr>
          <w:rFonts w:cs="Arial" w:ascii="Arial" w:hAnsi="Arial"/>
          <w:sz w:val="20"/>
        </w:rPr>
        <w:t xml:space="preserve">Probabilistic Analysis assigns probability distributions to material risk variables.  These probability assignments capture many different “cases” in one simulation.  Enron believes that this process reflects a deal’s “portfolio effect” of offsetting risks within a transaction, probability of upside and downside events, and value of embedded options.     </w:t>
      </w:r>
    </w:p>
    <w:p>
      <w:pPr>
        <w:pStyle w:val="BodyText"/>
        <w:jc w:val="both"/>
        <w:rPr>
          <w:rFonts w:ascii="Arial" w:hAnsi="Arial" w:cs="Arial"/>
          <w:sz w:val="20"/>
          <w:u w:val="single"/>
        </w:rPr>
      </w:pPr>
      <w:r>
        <w:rPr>
          <w:rFonts w:cs="Arial" w:ascii="Arial" w:hAnsi="Arial"/>
          <w:sz w:val="20"/>
          <w:u w:val="single"/>
        </w:rPr>
      </w:r>
    </w:p>
    <w:p>
      <w:pPr>
        <w:pStyle w:val="BodyText"/>
        <w:jc w:val="both"/>
        <w:rPr>
          <w:b/>
        </w:rPr>
      </w:pPr>
      <w:r>
        <w:rPr>
          <w:rFonts w:cs="Arial" w:ascii="Arial" w:hAnsi="Arial"/>
          <w:sz w:val="20"/>
        </w:rPr>
        <w:t>The Agent will review the valuation of any proposed asset and represent to the syndicate each incoming asset’s conformance with the asset classes described above and Enron’s Risk Analytics valuation procedures.</w:t>
      </w:r>
      <w:r>
        <w:rPr>
          <w:rFonts w:cs="Arial" w:ascii="Arial" w:hAnsi="Arial"/>
        </w:rPr>
        <w:t xml:space="preserve">  </w:t>
      </w:r>
    </w:p>
    <w:p>
      <w:pPr>
        <w:pStyle w:val="Normal"/>
        <w:rPr>
          <w:b/>
        </w:rPr>
      </w:pPr>
      <w:r>
        <w:rPr>
          <w:b/>
        </w:rPr>
      </w:r>
    </w:p>
    <w:p>
      <w:pPr>
        <w:pStyle w:val="Normal"/>
        <w:rPr/>
      </w:pPr>
      <w:r>
        <w:rPr/>
      </w:r>
    </w:p>
    <w:p>
      <w:pPr>
        <w:pStyle w:val="Heading1"/>
        <w:ind w:hanging="0" w:start="0"/>
        <w:rPr>
          <w:b/>
        </w:rPr>
      </w:pPr>
      <w:r>
        <w:rPr>
          <w:b/>
        </w:rPr>
      </w:r>
    </w:p>
    <w:p>
      <w:pPr>
        <w:pStyle w:val="Heading1"/>
        <w:ind w:hanging="0" w:start="0"/>
        <w:rPr>
          <w:b/>
        </w:rPr>
      </w:pPr>
      <w:r>
        <w:rPr>
          <w:b/>
        </w:rPr>
        <w:t>Enron Corporate Overview</w:t>
      </w:r>
    </w:p>
    <w:p>
      <w:pPr>
        <w:pStyle w:val="Normal"/>
        <w:rPr>
          <w:b/>
        </w:rPr>
      </w:pPr>
      <w:r>
        <w:rPr>
          <w:b/>
        </w:rPr>
      </w:r>
    </w:p>
    <w:p>
      <w:pPr>
        <w:pStyle w:val="BodyText3"/>
        <w:tabs>
          <w:tab w:val="clear" w:pos="5220"/>
          <w:tab w:val="clear" w:pos="6210"/>
          <w:tab w:val="clear" w:pos="7920"/>
        </w:tabs>
        <w:ind w:hanging="2520" w:start="2520" w:end="0"/>
        <w:rPr/>
      </w:pPr>
      <w:r>
        <w:rPr>
          <w:b/>
        </w:rPr>
        <w:t>Enron Corp.</w:t>
        <w:tab/>
      </w:r>
      <w:r>
        <w:rPr>
          <w:lang w:eastAsia="en-US"/>
        </w:rPr>
        <w:t>Enron is one of the world's leading international integrated natural gas and electricity companies. Enron's activities are conducted through its subsidiaries and affiliates which are principally engaged in the transportation of natural gas through pipelines to markets throughout the United States; marketing of natural gas, electricity and other commodities and related risk management and finance services worldwide; the development, construction and operation of power plants, pipelines and other energy related assets worldwide; and the delivery of high bandwidth communication applications throughout the United States. Enron has a proven track record of creating value in markets that are deregulating and privatizing in North America, Europe and other areas worldwide.</w:t>
      </w:r>
    </w:p>
    <w:p>
      <w:pPr>
        <w:pStyle w:val="BodyText3"/>
        <w:tabs>
          <w:tab w:val="clear" w:pos="5220"/>
          <w:tab w:val="clear" w:pos="6210"/>
          <w:tab w:val="clear" w:pos="7920"/>
        </w:tabs>
        <w:ind w:hanging="2520" w:start="2520" w:end="0"/>
        <w:rPr>
          <w:lang w:eastAsia="en-US"/>
        </w:rPr>
      </w:pPr>
      <w:r>
        <w:rPr>
          <w:lang w:eastAsia="en-US"/>
        </w:rPr>
      </w:r>
    </w:p>
    <w:p>
      <w:pPr>
        <w:pStyle w:val="BodyText3"/>
        <w:tabs>
          <w:tab w:val="clear" w:pos="5220"/>
          <w:tab w:val="clear" w:pos="6210"/>
          <w:tab w:val="clear" w:pos="7920"/>
        </w:tabs>
        <w:ind w:hanging="2520" w:start="2520" w:end="0"/>
        <w:rPr>
          <w:lang w:eastAsia="en-US"/>
        </w:rPr>
      </w:pPr>
      <w:r>
        <w:rPr>
          <w:lang w:eastAsia="en-US"/>
        </w:rPr>
      </w:r>
    </w:p>
    <w:p>
      <w:pPr>
        <w:pStyle w:val="Normal"/>
        <w:jc w:val="both"/>
        <w:rPr>
          <w:lang w:eastAsia="en-US"/>
        </w:rPr>
      </w:pPr>
      <w:r>
        <w:rPr>
          <w:rFonts w:cs="Arial" w:ascii="Arial" w:hAnsi="Arial"/>
          <w:b/>
        </w:rPr>
        <w:t>Core Businesses</w:t>
      </w:r>
      <w:r>
        <w:rPr>
          <w:b/>
        </w:rPr>
        <w:t xml:space="preserve"> </w:t>
        <w:tab/>
      </w:r>
      <w:r>
        <w:rPr>
          <w:rFonts w:cs="Arial" w:ascii="Arial" w:hAnsi="Arial"/>
          <w:lang w:eastAsia="en-US"/>
        </w:rPr>
        <w:t xml:space="preserve">      </w:t>
      </w:r>
      <w:r>
        <w:rPr>
          <w:rFonts w:cs="Arial" w:ascii="Arial" w:hAnsi="Arial"/>
          <w:i/>
          <w:sz w:val="22"/>
          <w:lang w:eastAsia="en-US"/>
        </w:rPr>
        <w:t>Wholesale Energy Operations and Services</w:t>
      </w:r>
    </w:p>
    <w:p>
      <w:pPr>
        <w:pStyle w:val="BodyText"/>
        <w:ind w:start="2520" w:end="0"/>
        <w:jc w:val="both"/>
        <w:rPr>
          <w:rFonts w:ascii="Arial" w:hAnsi="Arial" w:cs="Arial"/>
          <w:sz w:val="20"/>
          <w:lang w:eastAsia="en-US"/>
        </w:rPr>
      </w:pPr>
      <w:r>
        <w:rPr>
          <w:rFonts w:cs="Arial" w:ascii="Arial" w:hAnsi="Arial"/>
          <w:sz w:val="20"/>
          <w:lang w:eastAsia="en-US"/>
        </w:rPr>
        <w:t>Enron's wholesale energy operations and services businesses operate in North America, Europe and evolving energy markets in developing countries. These businesses provide integrated energy-related products and services to wholesale customers worldwide. Wholesale energy operations and services can be categorized into two business lines: (a) Worldwide Energy Commodity Marketing and Price Risk Management Services (b) Energy Assets and Investments.</w:t>
      </w:r>
    </w:p>
    <w:p>
      <w:pPr>
        <w:pStyle w:val="Normal"/>
        <w:ind w:start="2520" w:end="0"/>
        <w:jc w:val="both"/>
        <w:rPr>
          <w:rFonts w:ascii="Arial" w:hAnsi="Arial" w:cs="Arial"/>
          <w:sz w:val="20"/>
          <w:u w:val="single"/>
          <w:lang w:eastAsia="en-US"/>
        </w:rPr>
      </w:pPr>
      <w:r>
        <w:rPr>
          <w:rFonts w:cs="Arial" w:ascii="Arial" w:hAnsi="Arial"/>
          <w:sz w:val="20"/>
          <w:u w:val="single"/>
          <w:lang w:eastAsia="en-US"/>
        </w:rPr>
      </w:r>
    </w:p>
    <w:p>
      <w:pPr>
        <w:pStyle w:val="Normal"/>
        <w:ind w:start="2520" w:end="0"/>
        <w:jc w:val="both"/>
        <w:rPr/>
      </w:pPr>
      <w:r>
        <w:rPr>
          <w:rFonts w:cs="Arial" w:ascii="Arial" w:hAnsi="Arial"/>
          <w:u w:val="single"/>
          <w:lang w:eastAsia="en-US"/>
        </w:rPr>
        <w:t>Worldwide Energy Commodity Marketing</w:t>
      </w:r>
      <w:r>
        <w:rPr>
          <w:rFonts w:cs="Arial" w:ascii="Arial" w:hAnsi="Arial"/>
          <w:i/>
          <w:lang w:eastAsia="en-US"/>
        </w:rPr>
        <w:t xml:space="preserve"> </w:t>
      </w:r>
    </w:p>
    <w:p>
      <w:pPr>
        <w:pStyle w:val="Normal"/>
        <w:ind w:start="2520" w:end="0"/>
        <w:jc w:val="both"/>
        <w:rPr>
          <w:rFonts w:ascii="Arial" w:hAnsi="Arial" w:cs="Arial"/>
          <w:i/>
          <w:i/>
          <w:lang w:eastAsia="en-US"/>
        </w:rPr>
      </w:pPr>
      <w:r>
        <w:rPr>
          <w:rFonts w:cs="Arial" w:ascii="Arial" w:hAnsi="Arial"/>
          <w:i/>
          <w:lang w:eastAsia="en-US"/>
        </w:rPr>
      </w:r>
    </w:p>
    <w:p>
      <w:pPr>
        <w:pStyle w:val="Normal"/>
        <w:ind w:start="2520" w:end="0"/>
        <w:jc w:val="both"/>
        <w:rPr>
          <w:rFonts w:ascii="Arial" w:hAnsi="Arial" w:cs="Arial"/>
          <w:lang w:eastAsia="en-US"/>
        </w:rPr>
      </w:pPr>
      <w:r>
        <w:rPr>
          <w:rFonts w:cs="Arial" w:ascii="Arial" w:hAnsi="Arial"/>
          <w:lang w:eastAsia="en-US"/>
        </w:rPr>
        <w:t>Enron's commodity marketing operations include:</w:t>
      </w:r>
    </w:p>
    <w:p>
      <w:pPr>
        <w:pStyle w:val="Normal"/>
        <w:numPr>
          <w:ilvl w:val="0"/>
          <w:numId w:val="2"/>
        </w:numPr>
        <w:tabs>
          <w:tab w:val="clear" w:pos="720"/>
          <w:tab w:val="left" w:pos="2970" w:leader="none"/>
        </w:tabs>
        <w:ind w:hanging="270" w:start="2970" w:end="0"/>
        <w:jc w:val="both"/>
        <w:rPr>
          <w:rFonts w:ascii="Arial" w:hAnsi="Arial" w:cs="Arial"/>
          <w:lang w:eastAsia="en-US"/>
        </w:rPr>
      </w:pPr>
      <w:r>
        <w:rPr>
          <w:rFonts w:cs="Arial" w:ascii="Arial" w:hAnsi="Arial"/>
          <w:lang w:eastAsia="en-US"/>
        </w:rPr>
        <w:t>the purchase, sale, marketing and delivery of natural gas, electricity, liquids and other commodities;</w:t>
      </w:r>
    </w:p>
    <w:p>
      <w:pPr>
        <w:pStyle w:val="Normal"/>
        <w:numPr>
          <w:ilvl w:val="0"/>
          <w:numId w:val="2"/>
        </w:numPr>
        <w:tabs>
          <w:tab w:val="clear" w:pos="720"/>
        </w:tabs>
        <w:ind w:hanging="270" w:start="2970" w:end="0"/>
        <w:jc w:val="both"/>
        <w:rPr>
          <w:rFonts w:ascii="Arial" w:hAnsi="Arial" w:cs="Arial"/>
          <w:lang w:eastAsia="en-US"/>
        </w:rPr>
      </w:pPr>
      <w:r>
        <w:rPr>
          <w:rFonts w:eastAsia="Arial" w:cs="Arial" w:ascii="Arial" w:hAnsi="Arial"/>
          <w:lang w:eastAsia="en-US"/>
        </w:rPr>
        <w:t xml:space="preserve"> </w:t>
      </w:r>
      <w:r>
        <w:rPr>
          <w:rFonts w:cs="Arial" w:ascii="Arial" w:hAnsi="Arial"/>
          <w:lang w:eastAsia="en-US"/>
        </w:rPr>
        <w:t xml:space="preserve">the restructuring of existing long-term contracts; and </w:t>
      </w:r>
    </w:p>
    <w:p>
      <w:pPr>
        <w:pStyle w:val="BodyTextIndent"/>
        <w:numPr>
          <w:ilvl w:val="0"/>
          <w:numId w:val="2"/>
        </w:numPr>
        <w:tabs>
          <w:tab w:val="clear" w:pos="720"/>
        </w:tabs>
        <w:ind w:hanging="270" w:start="2970" w:end="0"/>
        <w:rPr>
          <w:lang w:eastAsia="en-US"/>
        </w:rPr>
      </w:pPr>
      <w:r>
        <w:rPr>
          <w:rFonts w:eastAsia="Arial"/>
          <w:lang w:eastAsia="en-US"/>
        </w:rPr>
        <w:t xml:space="preserve"> </w:t>
      </w:r>
      <w:r>
        <w:rPr>
          <w:lang w:eastAsia="en-US"/>
        </w:rPr>
        <w:t xml:space="preserve">the management of Enron's commodity portfolios. </w:t>
      </w:r>
    </w:p>
    <w:p>
      <w:pPr>
        <w:pStyle w:val="BodyTextIndent2"/>
        <w:spacing w:before="240" w:after="0"/>
        <w:jc w:val="both"/>
        <w:rPr/>
      </w:pPr>
      <w:r>
        <w:rPr>
          <w:u w:val="single"/>
          <w:lang w:eastAsia="en-US"/>
        </w:rPr>
        <w:t>Price Risk Management Services</w:t>
      </w:r>
      <w:r>
        <w:rPr>
          <w:lang w:eastAsia="en-US"/>
        </w:rPr>
        <w:t xml:space="preserve"> </w:t>
      </w:r>
    </w:p>
    <w:p>
      <w:pPr>
        <w:pStyle w:val="BodyTextIndent2"/>
        <w:spacing w:before="240" w:after="0"/>
        <w:jc w:val="both"/>
        <w:rPr>
          <w:lang w:eastAsia="en-US"/>
        </w:rPr>
      </w:pPr>
      <w:r>
        <w:rPr>
          <w:lang w:eastAsia="en-US"/>
        </w:rPr>
        <w:t>In addition, Enron provides risk management products and services to energy customers that hedge movements in price and location-based price differentials. Enron's risk management products and services are designed to provide stability to customers in markets impacted by commodity price volatility. Also included in this business is the management of certain operating assets that directly relate to this business, including domestic intrastate pipeline and storage facilities.</w:t>
      </w:r>
    </w:p>
    <w:p>
      <w:pPr>
        <w:pStyle w:val="BodyTextIndent2"/>
        <w:spacing w:before="240" w:after="0"/>
        <w:jc w:val="both"/>
        <w:rPr>
          <w:u w:val="single"/>
          <w:lang w:eastAsia="en-US"/>
        </w:rPr>
      </w:pPr>
      <w:r>
        <w:rPr>
          <w:u w:val="single"/>
          <w:lang w:eastAsia="en-US"/>
        </w:rPr>
        <w:t>Energy Assets and Investments.</w:t>
      </w:r>
    </w:p>
    <w:p>
      <w:pPr>
        <w:pStyle w:val="BodyTextIndent2"/>
        <w:spacing w:before="240" w:after="0"/>
        <w:jc w:val="both"/>
        <w:rPr>
          <w:lang w:eastAsia="en-US"/>
        </w:rPr>
      </w:pPr>
      <w:r>
        <w:rPr>
          <w:lang w:eastAsia="en-US"/>
        </w:rPr>
        <w:t>In the energy assets and investments business, Enron manages and operates a large portfolio of assets related to natural gas, electricity and communications and offers financing alternatives to customers. Activities include developing, constructing, operating and managing a large portfolio of energy assets, including power plants and natural gas pipelines. Enron also provides capital to energy and communication customers seeking debt or equity financing.</w:t>
      </w:r>
    </w:p>
    <w:p>
      <w:pPr>
        <w:pStyle w:val="Heading3"/>
        <w:ind w:hanging="0" w:start="2520" w:end="0"/>
        <w:jc w:val="both"/>
        <w:rPr>
          <w:sz w:val="20"/>
          <w:lang w:eastAsia="en-US"/>
        </w:rPr>
      </w:pPr>
      <w:r>
        <w:rPr>
          <w:sz w:val="20"/>
        </w:rPr>
        <w:t>Transportation and Distribution</w:t>
      </w:r>
    </w:p>
    <w:p>
      <w:pPr>
        <w:pStyle w:val="BodyTextIndent2"/>
        <w:spacing w:before="240" w:after="0"/>
        <w:jc w:val="both"/>
        <w:rPr>
          <w:lang w:eastAsia="en-US"/>
        </w:rPr>
      </w:pPr>
      <w:r>
        <w:rPr>
          <w:lang w:eastAsia="en-US"/>
        </w:rPr>
        <w:t>Included in Enron's domestic interstate natural gas pipeline operations are Northern Natural Gas Company, Transwestern Pipeline Company and Florida Gas Transmission Company (indirectly 50% owned by Enron). Northern, Transwestern and Florida Gas are interstate pipelines and are subject to the regulatory jurisdiction of the Federal Energy Regulatory Commission. Each pipeline serves customers in a specific geographical area. Northern serves the upper Midwest, Transwestern serves principally the California market and pipeline interconnects on the east end of the Transwestern system, and Florida Gas serves the State of Florida. In addition, Enron holds an interest in Northern Border Partners, L.P., which owns a 70% interest in the Northern Border Pipeline system. One of Enron's subsidiaries operates the Northern Border Pipeline system, which transports gas from western Canada to delivery points in the midwestern United States.</w:t>
      </w:r>
    </w:p>
    <w:p>
      <w:pPr>
        <w:pStyle w:val="Normal"/>
        <w:jc w:val="both"/>
        <w:rPr>
          <w:rFonts w:ascii="Arial" w:hAnsi="Arial" w:cs="Arial"/>
          <w:lang w:eastAsia="en-US"/>
        </w:rPr>
      </w:pPr>
      <w:r>
        <w:rPr>
          <w:rFonts w:cs="Arial" w:ascii="Arial" w:hAnsi="Arial"/>
          <w:lang w:eastAsia="en-US"/>
        </w:rPr>
      </w:r>
    </w:p>
    <w:p>
      <w:pPr>
        <w:pStyle w:val="Normal"/>
        <w:ind w:hanging="2520" w:start="2520" w:end="0"/>
        <w:jc w:val="both"/>
        <w:rPr>
          <w:rFonts w:ascii="Arial" w:hAnsi="Arial" w:cs="Arial"/>
          <w:lang w:eastAsia="en-US"/>
        </w:rPr>
      </w:pPr>
      <w:r>
        <w:rPr>
          <w:rFonts w:cs="Arial" w:ascii="Arial" w:hAnsi="Arial"/>
          <w:lang w:eastAsia="en-US"/>
        </w:rPr>
      </w:r>
    </w:p>
    <w:p>
      <w:pPr>
        <w:pStyle w:val="text"/>
        <w:spacing w:lineRule="auto" w:line="240" w:before="0" w:after="0"/>
        <w:ind w:start="2520" w:end="0"/>
        <w:jc w:val="both"/>
        <w:outlineLvl w:val="0"/>
        <w:rPr>
          <w:rFonts w:ascii="Arial" w:hAnsi="Arial" w:cs="Arial"/>
          <w:i/>
          <w:i/>
          <w:sz w:val="22"/>
          <w:lang w:eastAsia="en-US"/>
        </w:rPr>
      </w:pPr>
      <w:r>
        <w:rPr>
          <w:rFonts w:cs="Arial" w:ascii="Arial" w:hAnsi="Arial"/>
          <w:i/>
          <w:sz w:val="22"/>
          <w:lang w:eastAsia="en-US"/>
        </w:rPr>
        <w:t>Retail Energy Services</w:t>
      </w:r>
    </w:p>
    <w:p>
      <w:pPr>
        <w:pStyle w:val="Normal"/>
        <w:ind w:start="2520" w:end="0"/>
        <w:jc w:val="both"/>
        <w:rPr>
          <w:rFonts w:ascii="Arial" w:hAnsi="Arial" w:cs="Arial"/>
          <w:lang w:eastAsia="en-US"/>
        </w:rPr>
      </w:pPr>
      <w:r>
        <w:rPr>
          <w:rFonts w:cs="Arial" w:ascii="Arial" w:hAnsi="Arial"/>
          <w:lang w:eastAsia="en-US"/>
        </w:rPr>
        <w:t>Enron Energy Services is a nationwide provider of energy outsource products to U.S. business customers. These products include sales of natural gas and electricity and energy management services directly to commercial and industrial customers, as well as investments in related businesses. Enron Energy Services provides end-users with a broad range of energy products and services at competitive prices. These products and services include energy tariff and information management, demand-side services and financial services.</w:t>
      </w:r>
    </w:p>
    <w:p>
      <w:pPr>
        <w:pStyle w:val="BodyText"/>
        <w:ind w:start="2520" w:end="0"/>
        <w:jc w:val="both"/>
        <w:rPr>
          <w:rFonts w:ascii="Arial" w:hAnsi="Arial" w:cs="Arial"/>
          <w:sz w:val="20"/>
          <w:lang w:eastAsia="en-US"/>
        </w:rPr>
      </w:pPr>
      <w:r>
        <w:rPr>
          <w:rFonts w:cs="Arial" w:ascii="Arial" w:hAnsi="Arial"/>
          <w:sz w:val="20"/>
          <w:lang w:eastAsia="en-US"/>
        </w:rPr>
      </w:r>
    </w:p>
    <w:p>
      <w:pPr>
        <w:pStyle w:val="BodyText"/>
        <w:ind w:start="2520" w:end="0"/>
        <w:jc w:val="both"/>
        <w:rPr>
          <w:rFonts w:ascii="Arial" w:hAnsi="Arial" w:cs="Arial"/>
          <w:sz w:val="20"/>
          <w:lang w:eastAsia="en-US"/>
        </w:rPr>
      </w:pPr>
      <w:r>
        <w:rPr>
          <w:rFonts w:cs="Arial" w:ascii="Arial" w:hAnsi="Arial"/>
          <w:sz w:val="20"/>
          <w:lang w:eastAsia="en-US"/>
        </w:rPr>
      </w:r>
    </w:p>
    <w:p>
      <w:pPr>
        <w:pStyle w:val="BodyText"/>
        <w:ind w:start="2520" w:end="0"/>
        <w:jc w:val="both"/>
        <w:rPr>
          <w:rFonts w:ascii="Arial" w:hAnsi="Arial" w:cs="Arial"/>
          <w:i/>
          <w:i/>
          <w:lang w:eastAsia="en-US"/>
        </w:rPr>
      </w:pPr>
      <w:r>
        <w:rPr>
          <w:rFonts w:cs="Arial" w:ascii="Arial" w:hAnsi="Arial"/>
          <w:i/>
          <w:lang w:eastAsia="en-US"/>
        </w:rPr>
        <w:t>Communications</w:t>
      </w:r>
    </w:p>
    <w:p>
      <w:pPr>
        <w:pStyle w:val="BodyText"/>
        <w:ind w:start="2520" w:end="0"/>
        <w:jc w:val="both"/>
        <w:rPr>
          <w:rFonts w:ascii="Arial" w:hAnsi="Arial" w:cs="Arial"/>
          <w:sz w:val="20"/>
          <w:lang w:eastAsia="en-US"/>
        </w:rPr>
      </w:pPr>
      <w:r>
        <w:rPr>
          <w:rFonts w:cs="Arial" w:ascii="Arial" w:hAnsi="Arial"/>
          <w:sz w:val="20"/>
          <w:lang w:eastAsia="en-US"/>
        </w:rPr>
        <w:t>Enron is developing a broadband services business, which includes the Enron Intelligent Network (“EIN”), bandwidth intermediation and content services.  Enabled with a software control layer, the EIN provides a bandwidth-on-demand platform to deliver data, applications and streaming rich media to the desktop.  Enron is minimizing capital deployed in the development of the EIN through strategic alliances with industry technology leaders whose presence, customer access, market share and content enable Enron to efficiently enter this new, emerging marketplace.  Enron is extending the market making and risk management skills from its energy businesses to develop the bandwidth intermediation business. Content services include premium broadband content delivery, such as video streaming, high capacity data transport and video conferencing, that leverage off the EIN platform.</w:t>
      </w:r>
    </w:p>
    <w:p>
      <w:pPr>
        <w:pStyle w:val="BodyText"/>
        <w:ind w:start="2520" w:end="0"/>
        <w:jc w:val="both"/>
        <w:rPr>
          <w:rFonts w:ascii="Arial" w:hAnsi="Arial" w:cs="Arial"/>
          <w:sz w:val="20"/>
          <w:lang w:eastAsia="en-US"/>
        </w:rPr>
      </w:pPr>
      <w:r>
        <w:rPr>
          <w:rFonts w:cs="Arial" w:ascii="Arial" w:hAnsi="Arial"/>
          <w:sz w:val="20"/>
          <w:lang w:eastAsia="en-US"/>
        </w:rPr>
      </w:r>
    </w:p>
    <w:p>
      <w:pPr>
        <w:pStyle w:val="BodyText"/>
        <w:ind w:start="2520" w:end="0"/>
        <w:rPr>
          <w:rFonts w:ascii="Arial" w:hAnsi="Arial" w:cs="Arial"/>
          <w:sz w:val="20"/>
          <w:lang w:eastAsia="en-US"/>
        </w:rPr>
      </w:pPr>
      <w:r>
        <w:rPr>
          <w:rFonts w:cs="Arial" w:ascii="Arial" w:hAnsi="Arial"/>
          <w:sz w:val="20"/>
          <w:lang w:eastAsia="en-US"/>
        </w:rPr>
      </w:r>
    </w:p>
    <w:p>
      <w:pPr>
        <w:pStyle w:val="BodyText"/>
        <w:ind w:start="2520" w:end="0"/>
        <w:rPr>
          <w:rFonts w:ascii="Arial" w:hAnsi="Arial" w:cs="Arial"/>
          <w:sz w:val="20"/>
          <w:lang w:eastAsia="en-US"/>
        </w:rPr>
      </w:pPr>
      <w:r>
        <w:rPr>
          <w:rFonts w:cs="Arial" w:ascii="Arial" w:hAnsi="Arial"/>
          <w:sz w:val="20"/>
          <w:lang w:eastAsia="en-US"/>
        </w:rPr>
      </w:r>
    </w:p>
    <w:p>
      <w:pPr>
        <w:pStyle w:val="BodyText"/>
        <w:ind w:start="2520" w:end="0"/>
        <w:rPr>
          <w:rFonts w:ascii="Arial" w:hAnsi="Arial" w:cs="Arial"/>
          <w:sz w:val="20"/>
          <w:lang w:eastAsia="en-US"/>
        </w:rPr>
      </w:pPr>
      <w:r>
        <w:rPr>
          <w:rFonts w:cs="Arial" w:ascii="Arial" w:hAnsi="Arial"/>
          <w:sz w:val="20"/>
          <w:lang w:eastAsia="en-US"/>
        </w:rPr>
      </w:r>
    </w:p>
    <w:p>
      <w:pPr>
        <w:pStyle w:val="BodyText"/>
        <w:ind w:start="2520" w:end="0"/>
        <w:rPr>
          <w:rFonts w:ascii="Arial" w:hAnsi="Arial" w:cs="Arial"/>
          <w:sz w:val="20"/>
          <w:lang w:eastAsia="en-US"/>
        </w:rPr>
      </w:pPr>
      <w:r>
        <w:rPr>
          <w:rFonts w:cs="Arial" w:ascii="Arial" w:hAnsi="Arial"/>
          <w:sz w:val="20"/>
          <w:lang w:eastAsia="en-US"/>
        </w:rPr>
      </w:r>
    </w:p>
    <w:p>
      <w:pPr>
        <w:pStyle w:val="BodyText"/>
        <w:ind w:start="2520" w:end="0"/>
        <w:rPr>
          <w:rFonts w:ascii="Arial" w:hAnsi="Arial" w:cs="Arial"/>
          <w:sz w:val="20"/>
          <w:lang w:eastAsia="en-US"/>
        </w:rPr>
      </w:pPr>
      <w:r>
        <w:rPr>
          <w:rFonts w:cs="Arial" w:ascii="Arial" w:hAnsi="Arial"/>
          <w:sz w:val="20"/>
          <w:lang w:eastAsia="en-US"/>
        </w:rPr>
      </w:r>
    </w:p>
    <w:p>
      <w:pPr>
        <w:pStyle w:val="BodyText"/>
        <w:ind w:start="2520" w:end="0"/>
        <w:rPr>
          <w:rFonts w:ascii="Arial" w:hAnsi="Arial" w:cs="Arial"/>
          <w:sz w:val="20"/>
          <w:lang w:eastAsia="en-US"/>
        </w:rPr>
      </w:pPr>
      <w:r>
        <w:rPr>
          <w:rFonts w:cs="Arial" w:ascii="Arial" w:hAnsi="Arial"/>
          <w:sz w:val="20"/>
          <w:lang w:eastAsia="en-US"/>
        </w:rPr>
      </w:r>
    </w:p>
    <w:p>
      <w:pPr>
        <w:pStyle w:val="BodyText"/>
        <w:ind w:start="2520" w:end="0"/>
        <w:rPr>
          <w:rFonts w:ascii="Arial" w:hAnsi="Arial" w:cs="Arial"/>
          <w:sz w:val="20"/>
          <w:lang w:eastAsia="en-US"/>
        </w:rPr>
      </w:pPr>
      <w:r>
        <w:rPr>
          <w:rFonts w:cs="Arial" w:ascii="Arial" w:hAnsi="Arial"/>
          <w:sz w:val="20"/>
          <w:lang w:eastAsia="en-US"/>
        </w:rPr>
      </w:r>
    </w:p>
    <w:p>
      <w:pPr>
        <w:pStyle w:val="BodyText"/>
        <w:ind w:start="2520" w:end="0"/>
        <w:rPr>
          <w:rFonts w:ascii="Arial" w:hAnsi="Arial" w:cs="Arial"/>
          <w:sz w:val="20"/>
          <w:lang w:eastAsia="en-US"/>
        </w:rPr>
      </w:pPr>
      <w:r>
        <w:rPr>
          <w:rFonts w:cs="Arial" w:ascii="Arial" w:hAnsi="Arial"/>
          <w:sz w:val="20"/>
          <w:lang w:eastAsia="en-US"/>
        </w:rPr>
      </w:r>
    </w:p>
    <w:p>
      <w:pPr>
        <w:pStyle w:val="BodyText"/>
        <w:ind w:start="2520" w:end="0"/>
        <w:rPr>
          <w:rFonts w:ascii="Arial" w:hAnsi="Arial" w:cs="Arial"/>
          <w:sz w:val="20"/>
          <w:lang w:eastAsia="en-US"/>
        </w:rPr>
      </w:pPr>
      <w:r>
        <w:rPr>
          <w:rFonts w:cs="Arial" w:ascii="Arial" w:hAnsi="Arial"/>
          <w:sz w:val="20"/>
          <w:lang w:eastAsia="en-US"/>
        </w:rPr>
      </w:r>
    </w:p>
    <w:p>
      <w:pPr>
        <w:pStyle w:val="BodyText"/>
        <w:ind w:start="2520" w:end="0"/>
        <w:rPr>
          <w:rFonts w:ascii="Arial" w:hAnsi="Arial" w:cs="Arial"/>
          <w:sz w:val="20"/>
          <w:lang w:eastAsia="en-US"/>
        </w:rPr>
      </w:pPr>
      <w:r>
        <w:rPr>
          <w:rFonts w:cs="Arial" w:ascii="Arial" w:hAnsi="Arial"/>
          <w:sz w:val="20"/>
          <w:lang w:eastAsia="en-US"/>
        </w:rPr>
      </w:r>
    </w:p>
    <w:p>
      <w:pPr>
        <w:pStyle w:val="BodyText"/>
        <w:ind w:start="2520" w:end="0"/>
        <w:rPr>
          <w:rFonts w:ascii="Arial" w:hAnsi="Arial" w:cs="Arial"/>
          <w:sz w:val="20"/>
          <w:lang w:eastAsia="en-US"/>
        </w:rPr>
      </w:pPr>
      <w:r>
        <w:rPr>
          <w:rFonts w:cs="Arial" w:ascii="Arial" w:hAnsi="Arial"/>
          <w:sz w:val="20"/>
          <w:lang w:eastAsia="en-US"/>
        </w:rPr>
      </w:r>
    </w:p>
    <w:p>
      <w:pPr>
        <w:pStyle w:val="BodyText"/>
        <w:ind w:start="2520" w:end="0"/>
        <w:rPr>
          <w:rFonts w:ascii="Arial" w:hAnsi="Arial" w:cs="Arial"/>
          <w:sz w:val="20"/>
          <w:lang w:eastAsia="en-US"/>
        </w:rPr>
      </w:pPr>
      <w:r>
        <w:rPr>
          <w:rFonts w:cs="Arial" w:ascii="Arial" w:hAnsi="Arial"/>
          <w:sz w:val="20"/>
          <w:lang w:eastAsia="en-US"/>
        </w:rPr>
      </w:r>
    </w:p>
    <w:p>
      <w:pPr>
        <w:pStyle w:val="Normal"/>
        <w:rPr>
          <w:rFonts w:ascii="Arial" w:hAnsi="Arial" w:cs="Arial"/>
          <w:sz w:val="20"/>
          <w:lang w:eastAsia="en-US"/>
        </w:rPr>
      </w:pPr>
      <w:r>
        <w:rPr>
          <w:rFonts w:cs="Arial" w:ascii="Arial" w:hAnsi="Arial"/>
          <w:sz w:val="20"/>
          <w:lang w:eastAsia="en-US"/>
        </w:rPr>
      </w:r>
    </w:p>
    <w:p>
      <w:pPr>
        <w:pStyle w:val="Normal"/>
        <w:rPr>
          <w:lang w:val="en-CA"/>
        </w:rPr>
      </w:pPr>
      <w:r>
        <w:rPr>
          <w:lang w:val="en-CA"/>
        </w:rPr>
      </w:r>
    </w:p>
    <w:p>
      <w:pPr>
        <w:pStyle w:val="Normal"/>
        <w:rPr>
          <w:lang w:val="en-CA"/>
        </w:rPr>
      </w:pPr>
      <w:r>
        <w:rPr>
          <w:lang w:val="en-CA"/>
        </w:rPr>
        <w:object w:dxaOrig="8636" w:dyaOrig="5245">
          <v:shapetype id="_x0000_tole_rId2" coordsize="21600,21600" o:spt="ole_rId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 type="_x0000_tole_rId2" style="position:absolute;margin-left:-18pt;margin-top:-5.6pt;width:431.8pt;height:262.25pt;mso-wrap-distance-left:9.05pt;mso-wrap-distance-right:9.05pt;mso-position-horizontal-relative:text;mso-position-vertical-relative:text" filled="f" o:ole="">
            <v:imagedata r:id="rId3" o:title=""/>
            <w10:wrap type="topAndBottom"/>
          </v:shape>
          <o:OLEObject Type="Embed" ProgID="" ShapeID="ole_rId2" DrawAspect="Content" ObjectID="_888725460" r:id="rId2"/>
        </w:object>
      </w:r>
    </w:p>
    <w:p>
      <w:pPr>
        <w:pStyle w:val="Normal"/>
        <w:tabs>
          <w:tab w:val="left" w:pos="-1440" w:leader="none"/>
          <w:tab w:val="left" w:pos="-720" w:leader="none"/>
          <w:tab w:val="left" w:pos="0" w:leader="none"/>
          <w:tab w:val="left" w:pos="720" w:leader="none"/>
          <w:tab w:val="left" w:pos="1440" w:leader="none"/>
          <w:tab w:val="left" w:pos="2160" w:leader="none"/>
          <w:tab w:val="left" w:pos="3168"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2"/>
          <w:u w:val="single"/>
        </w:rPr>
      </w:pPr>
      <w:r>
        <w:rPr>
          <w:sz w:val="22"/>
          <w:u w:val="single"/>
        </w:rPr>
      </w:r>
    </w:p>
    <w:p>
      <w:pPr>
        <w:pStyle w:val="Normal"/>
        <w:tabs>
          <w:tab w:val="left" w:pos="-1440" w:leader="none"/>
          <w:tab w:val="left" w:pos="-720" w:leader="none"/>
          <w:tab w:val="left" w:pos="0" w:leader="none"/>
          <w:tab w:val="left" w:pos="720" w:leader="none"/>
          <w:tab w:val="left" w:pos="1440" w:leader="none"/>
          <w:tab w:val="left" w:pos="2160" w:leader="none"/>
          <w:tab w:val="left" w:pos="3168"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2"/>
          <w:u w:val="single"/>
        </w:rPr>
      </w:pPr>
      <w:r>
        <w:rPr>
          <w:sz w:val="22"/>
          <w:u w:val="single"/>
        </w:rPr>
      </w:r>
    </w:p>
    <w:p>
      <w:pPr>
        <w:pStyle w:val="Normal"/>
        <w:tabs>
          <w:tab w:val="left" w:pos="-1440" w:leader="none"/>
          <w:tab w:val="left" w:pos="-720" w:leader="none"/>
          <w:tab w:val="left" w:pos="0" w:leader="none"/>
          <w:tab w:val="left" w:pos="720" w:leader="none"/>
          <w:tab w:val="left" w:pos="1440" w:leader="none"/>
          <w:tab w:val="left" w:pos="2160" w:leader="none"/>
          <w:tab w:val="left" w:pos="3168"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2"/>
          <w:u w:val="single"/>
        </w:rPr>
      </w:pPr>
      <w:r>
        <w:rPr>
          <w:sz w:val="22"/>
          <w:u w:val="single"/>
        </w:rPr>
      </w:r>
    </w:p>
    <w:p>
      <w:pPr>
        <w:pStyle w:val="BodyText"/>
        <w:ind w:start="120" w:end="0"/>
        <w:jc w:val="both"/>
        <w:rPr/>
      </w:pPr>
      <w:r>
        <w:rPr/>
        <w:t xml:space="preserve"> </w:t>
      </w:r>
    </w:p>
    <w:p>
      <w:pPr>
        <w:pStyle w:val="BodyText"/>
        <w:rPr/>
      </w:pPr>
      <w:r>
        <w:rPr/>
        <w:drawing>
          <wp:anchor behindDoc="0" distT="0" distB="0" distL="114935" distR="114935" simplePos="0" locked="0" layoutInCell="0" allowOverlap="1" relativeHeight="3">
            <wp:simplePos x="0" y="0"/>
            <wp:positionH relativeFrom="column">
              <wp:posOffset>0</wp:posOffset>
            </wp:positionH>
            <wp:positionV relativeFrom="paragraph">
              <wp:posOffset>635</wp:posOffset>
            </wp:positionV>
            <wp:extent cx="5485765" cy="4067810"/>
            <wp:effectExtent l="0" t="0" r="0" b="0"/>
            <wp:wrapTopAndBottom/>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4"/>
                    <a:srcRect l="-4" t="-5" r="-4" b="-5"/>
                    <a:stretch>
                      <a:fillRect/>
                    </a:stretch>
                  </pic:blipFill>
                  <pic:spPr bwMode="auto">
                    <a:xfrm>
                      <a:off x="0" y="0"/>
                      <a:ext cx="5485765" cy="4067810"/>
                    </a:xfrm>
                    <a:prstGeom prst="rect">
                      <a:avLst/>
                    </a:prstGeom>
                    <a:noFill/>
                  </pic:spPr>
                </pic:pic>
              </a:graphicData>
            </a:graphic>
          </wp:anchor>
        </w:drawing>
      </w:r>
    </w:p>
    <w:p>
      <w:pPr>
        <w:pStyle w:val="Normal"/>
        <w:tabs>
          <w:tab w:val="left" w:pos="-1440" w:leader="none"/>
          <w:tab w:val="left" w:pos="-720" w:leader="none"/>
          <w:tab w:val="left" w:pos="0" w:leader="none"/>
          <w:tab w:val="left" w:pos="720" w:leader="none"/>
          <w:tab w:val="left" w:pos="1440" w:leader="none"/>
          <w:tab w:val="left" w:pos="2160" w:leader="none"/>
          <w:tab w:val="left" w:pos="3168"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2"/>
        </w:rPr>
      </w:pPr>
      <w:r>
        <w:rPr>
          <w:sz w:val="22"/>
        </w:rPr>
      </w:r>
    </w:p>
    <w:p>
      <w:pPr>
        <w:pStyle w:val="Normal"/>
        <w:tabs>
          <w:tab w:val="left" w:pos="-1440" w:leader="none"/>
          <w:tab w:val="left" w:pos="-720" w:leader="none"/>
          <w:tab w:val="left" w:pos="0" w:leader="none"/>
          <w:tab w:val="left" w:pos="720" w:leader="none"/>
          <w:tab w:val="left" w:pos="1440" w:leader="none"/>
          <w:tab w:val="left" w:pos="2160" w:leader="none"/>
          <w:tab w:val="left" w:pos="3168"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2"/>
        </w:rPr>
      </w:pPr>
      <w:r>
        <w:rPr>
          <w:sz w:val="22"/>
        </w:rPr>
      </w:r>
    </w:p>
    <w:p>
      <w:pPr>
        <w:sectPr>
          <w:type w:val="nextPage"/>
          <w:pgSz w:w="12240" w:h="15840"/>
          <w:pgMar w:left="1440" w:right="1440" w:gutter="0" w:header="0" w:top="1440" w:footer="0" w:bottom="475"/>
          <w:pgNumType w:fmt="decimal"/>
          <w:formProt w:val="false"/>
          <w:textDirection w:val="lrTb"/>
          <w:docGrid w:type="default" w:linePitch="360" w:charSpace="0"/>
        </w:sectPr>
        <w:pStyle w:val="Normal"/>
        <w:tabs>
          <w:tab w:val="left" w:pos="-1440" w:leader="none"/>
          <w:tab w:val="left" w:pos="-720" w:leader="none"/>
          <w:tab w:val="left" w:pos="0" w:leader="none"/>
          <w:tab w:val="left" w:pos="720" w:leader="none"/>
          <w:tab w:val="left" w:pos="1440" w:leader="none"/>
          <w:tab w:val="left" w:pos="2160" w:leader="none"/>
          <w:tab w:val="left" w:pos="3168"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2"/>
          <w:u w:val="single"/>
        </w:rPr>
      </w:pPr>
      <w:r>
        <w:rPr>
          <w:sz w:val="22"/>
          <w:u w:val="single"/>
        </w:rPr>
      </w:r>
    </w:p>
    <w:p>
      <w:pPr>
        <w:pStyle w:val="Normal"/>
        <w:rPr>
          <w:sz w:val="22"/>
          <w:u w:val="single"/>
        </w:rPr>
      </w:pPr>
      <w:r>
        <w:rPr>
          <w:sz w:val="22"/>
          <w:u w:val="single"/>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60"/>
        </w:tabs>
        <w:ind w:start="360" w:hanging="360"/>
      </w:pPr>
      <w:rPr>
        <w:rFonts w:ascii="Symbol" w:hAnsi="Symbol" w:cs="Symbol" w:hint="default"/>
      </w:rPr>
    </w:lvl>
  </w:abstractNum>
  <w:num w:numId="1">
    <w:abstractNumId w:val="1"/>
  </w:num>
  <w:num w:numId="2">
    <w:abstractNumId w:val="2"/>
  </w:num>
</w:numbering>
</file>

<file path=word/settings.xml><?xml version="1.0" encoding="utf-8"?>
<w:settings xmlns:w="http://schemas.openxmlformats.org/wordprocessingml/2006/main">
  <w:zoom w:val="bestFit" w:percent="2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tabs>
        <w:tab w:val="left" w:pos="-1440" w:leader="none"/>
        <w:tab w:val="left" w:pos="-720" w:leader="none"/>
        <w:tab w:val="left" w:pos="0" w:leader="none"/>
        <w:tab w:val="left" w:pos="720" w:leader="none"/>
        <w:tab w:val="left" w:pos="1440" w:leader="none"/>
        <w:tab w:val="left" w:pos="2160" w:leader="none"/>
        <w:tab w:val="left" w:pos="3168"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outlineLvl w:val="0"/>
    </w:pPr>
    <w:rPr>
      <w:sz w:val="22"/>
      <w:u w:val="single"/>
    </w:rPr>
  </w:style>
  <w:style w:type="paragraph" w:styleId="Heading2">
    <w:name w:val="heading 2"/>
    <w:basedOn w:val="Normal"/>
    <w:next w:val="Normal"/>
    <w:qFormat/>
    <w:pPr>
      <w:keepNext w:val="true"/>
      <w:numPr>
        <w:ilvl w:val="1"/>
        <w:numId w:val="1"/>
      </w:numPr>
      <w:outlineLvl w:val="1"/>
    </w:pPr>
    <w:rPr>
      <w:b/>
      <w:u w:val="single"/>
    </w:rPr>
  </w:style>
  <w:style w:type="paragraph" w:styleId="Heading3">
    <w:name w:val="heading 3"/>
    <w:next w:val="BodyText"/>
    <w:qFormat/>
    <w:pPr>
      <w:keepNext w:val="true"/>
      <w:widowControl/>
      <w:numPr>
        <w:ilvl w:val="2"/>
        <w:numId w:val="1"/>
      </w:numPr>
      <w:bidi w:val="0"/>
      <w:spacing w:lineRule="atLeast" w:line="240" w:before="240" w:after="0"/>
      <w:outlineLvl w:val="2"/>
    </w:pPr>
    <w:rPr>
      <w:rFonts w:ascii="Arial" w:hAnsi="Arial" w:eastAsia="Times New Roman" w:cs="Arial"/>
      <w:color w:val="auto"/>
      <w:sz w:val="24"/>
      <w:szCs w:val="20"/>
      <w:u w:val="single"/>
      <w:lang w:val="en-US" w:eastAsia="zh-CN" w:bidi="hi-IN"/>
    </w:rPr>
  </w:style>
  <w:style w:type="character" w:styleId="WW8Num1z0">
    <w:name w:val="WW8Num1z0"/>
    <w:qFormat/>
    <w:rPr>
      <w:rFonts w:ascii="Symbol" w:hAnsi="Symbol" w:cs="Symbol"/>
    </w:rPr>
  </w:style>
  <w:style w:type="character" w:styleId="WW8Num2z0">
    <w:name w:val="WW8Num2z0"/>
    <w:qFormat/>
    <w:rPr>
      <w:rFonts w:ascii="Symbol" w:hAnsi="Symbol" w:cs="Symbol"/>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tabs>
        <w:tab w:val="left" w:pos="-1440" w:leader="none"/>
        <w:tab w:val="left" w:pos="-720" w:leader="none"/>
        <w:tab w:val="left" w:pos="0" w:leader="none"/>
        <w:tab w:val="left" w:pos="720" w:leader="none"/>
        <w:tab w:val="left" w:pos="1440" w:leader="none"/>
        <w:tab w:val="left" w:pos="2160" w:leader="none"/>
        <w:tab w:val="left" w:pos="3168"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pPr>
    <w:rPr>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text">
    <w:name w:val="text"/>
    <w:basedOn w:val="Heading1"/>
    <w:qFormat/>
    <w:pPr>
      <w:numPr>
        <w:ilvl w:val="0"/>
        <w:numId w:val="0"/>
      </w:numPr>
      <w:tabs>
        <w:tab w:val="clear" w:pos="0"/>
        <w:tab w:val="clear" w:pos="720"/>
        <w:tab w:val="clear" w:pos="1440"/>
        <w:tab w:val="clear" w:pos="2160"/>
        <w:tab w:val="clear" w:pos="3168"/>
        <w:tab w:val="clear" w:pos="3600"/>
        <w:tab w:val="clear" w:pos="4320"/>
        <w:tab w:val="clear" w:pos="5040"/>
        <w:tab w:val="clear" w:pos="5760"/>
        <w:tab w:val="clear" w:pos="6480"/>
        <w:tab w:val="clear" w:pos="7200"/>
        <w:tab w:val="clear" w:pos="7920"/>
        <w:tab w:val="clear" w:pos="8640"/>
        <w:tab w:val="clear" w:pos="9360"/>
        <w:tab w:val="left" w:pos="-1440" w:leader="none"/>
        <w:tab w:val="left" w:pos="-720" w:leader="none"/>
      </w:tabs>
      <w:spacing w:lineRule="atLeast" w:line="240" w:before="240" w:after="0"/>
      <w:outlineLvl w:val="9"/>
    </w:pPr>
    <w:rPr>
      <w:sz w:val="24"/>
      <w:u w:val="none"/>
    </w:rPr>
  </w:style>
  <w:style w:type="paragraph" w:styleId="BodyTextIndent">
    <w:name w:val="Body Text Indent"/>
    <w:basedOn w:val="Normal"/>
    <w:pPr>
      <w:spacing w:lineRule="atLeast" w:line="240"/>
      <w:ind w:hanging="2520" w:start="2520" w:end="0"/>
      <w:jc w:val="both"/>
    </w:pPr>
    <w:rPr>
      <w:rFonts w:ascii="Arial" w:hAnsi="Arial" w:cs="Arial"/>
    </w:rPr>
  </w:style>
  <w:style w:type="paragraph" w:styleId="BodyTextIndent2">
    <w:name w:val="Body Text Indent 2"/>
    <w:basedOn w:val="Normal"/>
    <w:qFormat/>
    <w:pPr>
      <w:spacing w:lineRule="atLeast" w:line="240"/>
      <w:ind w:hanging="0" w:start="2520" w:end="0"/>
    </w:pPr>
    <w:rPr>
      <w:rFonts w:ascii="Arial" w:hAnsi="Arial" w:cs="Arial"/>
    </w:rPr>
  </w:style>
  <w:style w:type="paragraph" w:styleId="BodyText3">
    <w:name w:val="Body Text 3"/>
    <w:basedOn w:val="Normal"/>
    <w:qFormat/>
    <w:pPr>
      <w:tabs>
        <w:tab w:val="clear" w:pos="720"/>
        <w:tab w:val="left" w:pos="5220" w:leader="none"/>
        <w:tab w:val="left" w:pos="6210" w:leader="none"/>
        <w:tab w:val="left" w:pos="7920" w:leader="none"/>
      </w:tabs>
      <w:jc w:val="both"/>
    </w:pPr>
    <w:rPr>
      <w:rFonts w:ascii="Arial" w:hAnsi="Arial" w:cs="Arial"/>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oleObject" Target="embeddings/oleObject1.bin"/><Relationship Id="rId3" Type="http://schemas.openxmlformats.org/officeDocument/2006/relationships/image" Target="media/image1.wmf"/><Relationship Id="rId4" Type="http://schemas.openxmlformats.org/officeDocument/2006/relationships/image" Target="media/image2.wmf"/><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2000-02-25T21:04:00Z</dcterms:created>
  <dc:creator>aroman</dc:creator>
  <dc:description/>
  <dc:language>en-CA</dc:language>
  <cp:lastModifiedBy>aroman</cp:lastModifiedBy>
  <cp:lastPrinted>2000-02-25T17:33:00Z</cp:lastPrinted>
  <dcterms:modified xsi:type="dcterms:W3CDTF">2000-02-25T21:04:00Z</dcterms:modified>
  <cp:revision>2</cp:revision>
  <dc:subject/>
  <dc:title>Hawaii Asset Description</dc:title>
</cp:coreProperties>
</file>