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sz w:val="22"/>
          <w:u w:val="single"/>
        </w:rPr>
      </w:pPr>
      <w:r>
        <w:rPr>
          <w:rFonts w:cs="Arial" w:ascii="Arial" w:hAnsi="Arial"/>
          <w:b/>
          <w:sz w:val="22"/>
          <w:u w:val="single"/>
        </w:rPr>
        <w:t>Attachment A</w:t>
      </w:r>
    </w:p>
    <w:p>
      <w:pPr>
        <w:pStyle w:val="Normal"/>
        <w:rPr>
          <w:rFonts w:ascii="Arial" w:hAnsi="Arial" w:cs="Arial"/>
          <w:b/>
          <w:sz w:val="22"/>
          <w:u w:val="single"/>
        </w:rPr>
      </w:pPr>
      <w:r>
        <w:rPr>
          <w:rFonts w:cs="Arial" w:ascii="Arial" w:hAnsi="Arial"/>
          <w:b/>
          <w:sz w:val="22"/>
          <w:u w:val="single"/>
        </w:rPr>
      </w:r>
    </w:p>
    <w:p>
      <w:pPr>
        <w:pStyle w:val="Normal"/>
        <w:rPr/>
      </w:pPr>
      <w:r>
        <w:rPr>
          <w:rFonts w:cs="Arial" w:ascii="Arial" w:hAnsi="Arial"/>
          <w:b/>
          <w:sz w:val="22"/>
        </w:rPr>
        <w:t xml:space="preserve">Organizations that join NERC in urging passage of S. 2071, </w:t>
      </w:r>
      <w:r>
        <w:rPr>
          <w:rFonts w:cs="Arial" w:ascii="Arial" w:hAnsi="Arial"/>
          <w:b/>
          <w:i/>
          <w:sz w:val="22"/>
        </w:rPr>
        <w:t xml:space="preserve">The Electric Reliability 2000 Act, </w:t>
      </w:r>
      <w:r>
        <w:rPr>
          <w:rFonts w:cs="Arial" w:ascii="Arial" w:hAnsi="Arial"/>
          <w:b/>
          <w:sz w:val="22"/>
        </w:rPr>
        <w:t>and associated RTO coordination amendments.</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t>American Public Power Association (APPA)</w:t>
      </w:r>
    </w:p>
    <w:p>
      <w:pPr>
        <w:pStyle w:val="Normal"/>
        <w:rPr>
          <w:rFonts w:ascii="Arial" w:hAnsi="Arial" w:cs="Arial"/>
          <w:sz w:val="22"/>
        </w:rPr>
      </w:pPr>
      <w:r>
        <w:rPr>
          <w:rFonts w:cs="Arial" w:ascii="Arial" w:hAnsi="Arial"/>
          <w:sz w:val="22"/>
        </w:rPr>
        <w:t>California Independent System Operator (CAISO)</w:t>
      </w:r>
    </w:p>
    <w:p>
      <w:pPr>
        <w:pStyle w:val="Normal"/>
        <w:rPr>
          <w:rFonts w:ascii="Arial" w:hAnsi="Arial" w:cs="Arial"/>
          <w:sz w:val="22"/>
        </w:rPr>
      </w:pPr>
      <w:r>
        <w:rPr>
          <w:rFonts w:cs="Arial" w:ascii="Arial" w:hAnsi="Arial"/>
          <w:sz w:val="22"/>
        </w:rPr>
        <w:t>Canadian Electricity Association (CEA)</w:t>
      </w:r>
    </w:p>
    <w:p>
      <w:pPr>
        <w:pStyle w:val="Normal"/>
        <w:rPr>
          <w:rFonts w:ascii="Arial" w:hAnsi="Arial" w:cs="Arial"/>
          <w:sz w:val="22"/>
        </w:rPr>
      </w:pPr>
      <w:r>
        <w:rPr>
          <w:rFonts w:cs="Arial" w:ascii="Arial" w:hAnsi="Arial"/>
          <w:sz w:val="22"/>
        </w:rPr>
        <w:t>Edison Electric Institute (EEI)</w:t>
      </w:r>
    </w:p>
    <w:p>
      <w:pPr>
        <w:pStyle w:val="Normal"/>
        <w:rPr>
          <w:rFonts w:ascii="Arial" w:hAnsi="Arial" w:cs="Arial"/>
          <w:sz w:val="22"/>
        </w:rPr>
      </w:pPr>
      <w:r>
        <w:rPr>
          <w:rFonts w:cs="Arial" w:ascii="Arial" w:hAnsi="Arial"/>
          <w:sz w:val="22"/>
        </w:rPr>
        <w:t>Large Public Power Council (LPPC)</w:t>
      </w:r>
    </w:p>
    <w:p>
      <w:pPr>
        <w:pStyle w:val="BodyText"/>
        <w:rPr/>
      </w:pPr>
      <w:r>
        <w:rPr/>
        <w:t>National Association of Regulatory Utility Commissioners (NARUC)</w:t>
      </w:r>
    </w:p>
    <w:p>
      <w:pPr>
        <w:pStyle w:val="Normal"/>
        <w:rPr>
          <w:rFonts w:ascii="Arial" w:hAnsi="Arial" w:cs="Arial"/>
          <w:sz w:val="22"/>
        </w:rPr>
      </w:pPr>
      <w:r>
        <w:rPr>
          <w:rFonts w:cs="Arial" w:ascii="Arial" w:hAnsi="Arial"/>
          <w:sz w:val="22"/>
        </w:rPr>
        <w:t>National Association of State Utility Consumer Advocates (NASUCA)</w:t>
      </w:r>
    </w:p>
    <w:p>
      <w:pPr>
        <w:pStyle w:val="Normal"/>
        <w:rPr>
          <w:rFonts w:ascii="Arial" w:hAnsi="Arial" w:cs="Arial"/>
          <w:sz w:val="22"/>
        </w:rPr>
      </w:pPr>
      <w:r>
        <w:rPr>
          <w:rFonts w:cs="Arial" w:ascii="Arial" w:hAnsi="Arial"/>
          <w:sz w:val="22"/>
        </w:rPr>
        <w:t>National Electrical Manufacturers Association (NEMA)</w:t>
      </w:r>
    </w:p>
    <w:p>
      <w:pPr>
        <w:pStyle w:val="Normal"/>
        <w:rPr>
          <w:rFonts w:ascii="Arial" w:hAnsi="Arial" w:cs="Arial"/>
          <w:sz w:val="22"/>
        </w:rPr>
      </w:pPr>
      <w:r>
        <w:rPr>
          <w:rFonts w:cs="Arial" w:ascii="Arial" w:hAnsi="Arial"/>
          <w:sz w:val="22"/>
        </w:rPr>
        <w:t>National Rural Electric Cooperative Association (NRECA)</w:t>
      </w:r>
    </w:p>
    <w:p>
      <w:pPr>
        <w:pStyle w:val="Normal"/>
        <w:rPr>
          <w:rFonts w:ascii="Arial" w:hAnsi="Arial" w:cs="Arial"/>
          <w:sz w:val="22"/>
        </w:rPr>
      </w:pPr>
      <w:r>
        <w:rPr>
          <w:rFonts w:cs="Arial" w:ascii="Arial" w:hAnsi="Arial"/>
          <w:sz w:val="22"/>
        </w:rPr>
        <w:t>PJM Interconnection LLC (PJM)</w:t>
      </w:r>
    </w:p>
    <w:p>
      <w:pPr>
        <w:pStyle w:val="Normal"/>
        <w:rPr>
          <w:rFonts w:ascii="Arial" w:hAnsi="Arial" w:cs="Arial"/>
          <w:sz w:val="22"/>
        </w:rPr>
      </w:pPr>
      <w:r>
        <w:rPr>
          <w:rFonts w:cs="Arial" w:ascii="Arial" w:hAnsi="Arial"/>
          <w:sz w:val="22"/>
        </w:rPr>
        <w:t>Transmission Access Policy Study Group (TAPS)</w:t>
      </w:r>
    </w:p>
    <w:p>
      <w:pPr>
        <w:pStyle w:val="Normal"/>
        <w:rPr>
          <w:rFonts w:ascii="Arial" w:hAnsi="Arial" w:cs="Arial"/>
          <w:sz w:val="22"/>
        </w:rPr>
      </w:pPr>
      <w:r>
        <w:rPr>
          <w:rFonts w:cs="Arial" w:ascii="Arial" w:hAnsi="Arial"/>
          <w:sz w:val="22"/>
        </w:rPr>
        <w:t>Western Interconnection Coordination Forum (WICF)</w:t>
      </w:r>
      <w:r>
        <w:br w:type="page"/>
      </w:r>
    </w:p>
    <w:p>
      <w:pPr>
        <w:pStyle w:val="Normal"/>
        <w:rPr>
          <w:rFonts w:ascii="Arial" w:hAnsi="Arial" w:cs="Arial"/>
          <w:b/>
          <w:sz w:val="22"/>
          <w:u w:val="single"/>
        </w:rPr>
      </w:pPr>
      <w:r>
        <w:rPr>
          <w:rFonts w:cs="Arial" w:ascii="Arial" w:hAnsi="Arial"/>
          <w:b/>
          <w:sz w:val="22"/>
          <w:u w:val="single"/>
        </w:rPr>
        <w:t>Attachment B</w:t>
      </w:r>
    </w:p>
    <w:p>
      <w:pPr>
        <w:pStyle w:val="Heading2"/>
        <w:ind w:hanging="0" w:start="0"/>
        <w:rPr/>
      </w:pPr>
      <w:r>
        <w:rPr/>
        <w:t>RTO Coordination Amendments to S. 2071</w:t>
      </w:r>
      <w:r>
        <w:rPr>
          <w:rStyle w:val="FootnoteCharacters"/>
          <w:rStyle w:val="FootnoteReference"/>
          <w:b/>
        </w:rPr>
        <w:footnoteReference w:id="2"/>
      </w:r>
    </w:p>
    <w:p>
      <w:pPr>
        <w:pStyle w:val="Normal"/>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 xml:space="preserve">[These amendments make the changes in S. 2071 needed incorporate certain RTO coordination amendments, and other technical corrections.] </w:t>
      </w:r>
    </w:p>
    <w:p>
      <w:pPr>
        <w:pStyle w:val="Normal"/>
        <w:jc w:val="center"/>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p>
      <w:pPr>
        <w:pStyle w:val="Normal"/>
        <w:numPr>
          <w:ilvl w:val="0"/>
          <w:numId w:val="2"/>
        </w:numPr>
        <w:rPr>
          <w:rFonts w:ascii="Arial" w:hAnsi="Arial" w:cs="Arial"/>
          <w:sz w:val="22"/>
        </w:rPr>
      </w:pPr>
      <w:r>
        <w:rPr>
          <w:rFonts w:cs="Arial" w:ascii="Arial" w:hAnsi="Arial"/>
          <w:sz w:val="22"/>
        </w:rPr>
        <w:t>Page 2, lines 19-20, change the commas to semicolons after the words “transmission lines;” “substations;” and “control centers;” and add the word “and” after “control centers;”.</w:t>
      </w:r>
    </w:p>
    <w:p>
      <w:pPr>
        <w:pStyle w:val="Normal"/>
        <w:ind w:start="720" w:end="0"/>
        <w:rPr>
          <w:rFonts w:ascii="Arial" w:hAnsi="Arial" w:cs="Arial"/>
          <w:sz w:val="22"/>
        </w:rPr>
      </w:pPr>
      <w:r>
        <w:rPr>
          <w:rFonts w:cs="Arial" w:ascii="Arial" w:hAnsi="Arial"/>
          <w:sz w:val="22"/>
        </w:rPr>
        <w:t>.</w:t>
      </w:r>
    </w:p>
    <w:p>
      <w:pPr>
        <w:pStyle w:val="Normal"/>
        <w:numPr>
          <w:ilvl w:val="0"/>
          <w:numId w:val="2"/>
        </w:numPr>
        <w:rPr>
          <w:rFonts w:ascii="Arial" w:hAnsi="Arial" w:cs="Arial"/>
          <w:sz w:val="22"/>
        </w:rPr>
      </w:pPr>
      <w:r>
        <w:rPr>
          <w:rFonts w:cs="Arial" w:ascii="Arial" w:hAnsi="Arial"/>
          <w:sz w:val="22"/>
        </w:rPr>
        <w:t>Page 6, insert after line 25 the following new section:</w:t>
      </w:r>
    </w:p>
    <w:p>
      <w:pPr>
        <w:pStyle w:val="Style11"/>
        <w:tabs>
          <w:tab w:val="clear" w:pos="720"/>
          <w:tab w:val="left" w:pos="-1440" w:leader="none"/>
        </w:tabs>
        <w:ind w:hanging="0" w:start="0" w:end="0"/>
        <w:rPr>
          <w:rFonts w:ascii="Arial" w:hAnsi="Arial" w:cs="Arial"/>
          <w:sz w:val="22"/>
        </w:rPr>
      </w:pPr>
      <w:r>
        <w:rPr>
          <w:rFonts w:cs="Arial" w:ascii="Arial" w:hAnsi="Arial"/>
          <w:sz w:val="22"/>
        </w:rPr>
      </w:r>
    </w:p>
    <w:p>
      <w:pPr>
        <w:pStyle w:val="Style11"/>
        <w:tabs>
          <w:tab w:val="clear" w:pos="720"/>
          <w:tab w:val="left" w:pos="-1440" w:leader="none"/>
        </w:tabs>
        <w:rPr>
          <w:rFonts w:ascii="Arial" w:hAnsi="Arial" w:cs="Arial"/>
          <w:sz w:val="22"/>
        </w:rPr>
      </w:pPr>
      <w:r>
        <w:rPr>
          <w:rFonts w:cs="Arial" w:ascii="Arial" w:hAnsi="Arial"/>
          <w:sz w:val="22"/>
        </w:rPr>
        <w:tab/>
        <w:tab/>
        <w:t>“(2) COMPLIANCE - Compliance with any entity rule, organization standard, or Commission order under this section shall not make an electric utility or other entity subject to the jurisdiction of the Commission for any purposes other than the purposes specified in this section.”</w:t>
      </w:r>
    </w:p>
    <w:p>
      <w:pPr>
        <w:pStyle w:val="Normal"/>
        <w:ind w:start="720" w:end="0"/>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Page 6, line 2, after “includes” insert “, but is not limited to”.</w:t>
      </w:r>
    </w:p>
    <w:p>
      <w:pPr>
        <w:pStyle w:val="Normal"/>
        <w:ind w:start="720" w:end="0"/>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Page 6, immediately after line 6, insert: “(v) a regional transmission organization;” and renumber remaining subparagraph accordingly.</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Page 7, immediately after line 4, insert the following:</w:t>
      </w:r>
    </w:p>
    <w:p>
      <w:pPr>
        <w:pStyle w:val="Normal"/>
        <w:rPr>
          <w:rFonts w:ascii="Arial" w:hAnsi="Arial" w:cs="Arial"/>
          <w:sz w:val="22"/>
        </w:rPr>
      </w:pPr>
      <w:r>
        <w:rPr>
          <w:rFonts w:cs="Arial" w:ascii="Arial" w:hAnsi="Arial"/>
          <w:sz w:val="22"/>
        </w:rPr>
      </w:r>
    </w:p>
    <w:p>
      <w:pPr>
        <w:pStyle w:val="BlockText"/>
        <w:ind w:firstLine="720" w:start="720" w:end="720"/>
        <w:rPr/>
      </w:pPr>
      <w:r>
        <w:rPr/>
        <w:t>“</w:t>
      </w:r>
      <w:r>
        <w:rPr/>
        <w:t>(3) Not later than 90 days after the date of enactment, the Commission shall issue a proposed rule for implementing the requirements of this section.  The Commission shall provide notice and opportunity for comment on the proposed rule.  The Commission shall issue a final rule under this subsection within 180 days after the date of enactment of this section.</w:t>
      </w:r>
    </w:p>
    <w:p>
      <w:pPr>
        <w:pStyle w:val="BlockText"/>
        <w:ind w:firstLine="720" w:start="720" w:end="720"/>
        <w:rPr/>
      </w:pPr>
      <w:r>
        <w:rPr/>
      </w:r>
    </w:p>
    <w:p>
      <w:pPr>
        <w:pStyle w:val="BlockText"/>
        <w:ind w:firstLine="720" w:start="720" w:end="720"/>
        <w:rPr/>
      </w:pPr>
      <w:r>
        <w:rPr/>
        <w:t>“</w:t>
      </w:r>
      <w:r>
        <w:rPr/>
        <w:t>(4) Nothing in this section shall be construed as limiting or impairing any authority of the Commission under any other provision of this Act, including its exclusive authority to determine rates, terms, and conditions of transmission services subject to its jurisdiction.”</w:t>
      </w:r>
    </w:p>
    <w:p>
      <w:pPr>
        <w:pStyle w:val="BlockText"/>
        <w:ind w:start="0" w:end="720"/>
        <w:rPr/>
      </w:pPr>
      <w:r>
        <w:rPr/>
      </w:r>
    </w:p>
    <w:p>
      <w:pPr>
        <w:pStyle w:val="BlockText"/>
        <w:numPr>
          <w:ilvl w:val="0"/>
          <w:numId w:val="2"/>
        </w:numPr>
        <w:rPr/>
      </w:pPr>
      <w:r>
        <w:rPr/>
        <w:t>Page 7, line 8, delete “person” and insert in lieu thereof “entity”.</w:t>
      </w:r>
    </w:p>
    <w:p>
      <w:pPr>
        <w:pStyle w:val="BlockText"/>
        <w:ind w:start="720" w:end="720"/>
        <w:rPr/>
      </w:pPr>
      <w:r>
        <w:rPr/>
      </w:r>
    </w:p>
    <w:p>
      <w:pPr>
        <w:pStyle w:val="BlockText"/>
        <w:numPr>
          <w:ilvl w:val="0"/>
          <w:numId w:val="2"/>
        </w:numPr>
        <w:rPr/>
      </w:pPr>
      <w:r>
        <w:rPr/>
        <w:t>Page 7, line 13, delete “person” and insert in lieu thereof “entity”.</w:t>
      </w:r>
    </w:p>
    <w:p>
      <w:pPr>
        <w:pStyle w:val="BlockText"/>
        <w:ind w:start="0" w:end="720"/>
        <w:rPr/>
      </w:pPr>
      <w:r>
        <w:rPr/>
      </w:r>
    </w:p>
    <w:p>
      <w:pPr>
        <w:pStyle w:val="BlockText"/>
        <w:numPr>
          <w:ilvl w:val="0"/>
          <w:numId w:val="2"/>
        </w:numPr>
        <w:rPr/>
      </w:pPr>
      <w:r>
        <w:rPr/>
        <w:t>Page 7, line 16, delete “interested persons”.</w:t>
      </w:r>
    </w:p>
    <w:p>
      <w:pPr>
        <w:pStyle w:val="BlockText"/>
        <w:ind w:start="0" w:end="720"/>
        <w:rPr/>
      </w:pPr>
      <w:r>
        <w:rPr/>
      </w:r>
    </w:p>
    <w:p>
      <w:pPr>
        <w:pStyle w:val="BlockText"/>
        <w:numPr>
          <w:ilvl w:val="0"/>
          <w:numId w:val="2"/>
        </w:numPr>
        <w:rPr/>
      </w:pPr>
      <w:r>
        <w:rPr/>
        <w:t xml:space="preserve">Page 8, beginning on line 20, delete (1) and all thereafter on that page and page 9, through and including line 9. </w:t>
      </w:r>
    </w:p>
    <w:p>
      <w:pPr>
        <w:pStyle w:val="BlockText"/>
        <w:ind w:start="0" w:end="720"/>
        <w:rPr/>
      </w:pPr>
      <w:r>
        <w:rPr/>
      </w:r>
    </w:p>
    <w:p>
      <w:pPr>
        <w:pStyle w:val="BlockText"/>
        <w:numPr>
          <w:ilvl w:val="0"/>
          <w:numId w:val="2"/>
        </w:numPr>
        <w:rPr/>
      </w:pPr>
      <w:r>
        <w:rPr/>
        <w:t>Page 9, line 12, delete “paragraph (1)” and insert in lieu thereof “subsection (b)(3)”.</w:t>
      </w:r>
    </w:p>
    <w:p>
      <w:pPr>
        <w:pStyle w:val="BlockText"/>
        <w:ind w:start="720" w:end="720"/>
        <w:rPr/>
      </w:pPr>
      <w:r>
        <w:rPr/>
      </w:r>
    </w:p>
    <w:p>
      <w:pPr>
        <w:pStyle w:val="BlockText"/>
        <w:numPr>
          <w:ilvl w:val="0"/>
          <w:numId w:val="2"/>
        </w:numPr>
        <w:rPr/>
      </w:pPr>
      <w:r>
        <w:rPr/>
        <w:t>Page 14, line 5, delete “persons” and insert in lieu thereof “entities”.</w:t>
      </w:r>
    </w:p>
    <w:p>
      <w:pPr>
        <w:pStyle w:val="BlockText"/>
        <w:ind w:start="0" w:end="720"/>
        <w:rPr/>
      </w:pPr>
      <w:r>
        <w:rPr/>
      </w:r>
    </w:p>
    <w:p>
      <w:pPr>
        <w:pStyle w:val="BlockText"/>
        <w:numPr>
          <w:ilvl w:val="0"/>
          <w:numId w:val="2"/>
        </w:numPr>
        <w:rPr/>
      </w:pPr>
      <w:r>
        <w:rPr/>
        <w:t>Page 34, line 10, delete “of any person”.</w:t>
      </w:r>
    </w:p>
    <w:p>
      <w:pPr>
        <w:pStyle w:val="BlockText"/>
        <w:ind w:start="0" w:end="720"/>
        <w:rPr/>
      </w:pPr>
      <w:r>
        <w:rPr/>
      </w:r>
    </w:p>
    <w:p>
      <w:pPr>
        <w:pStyle w:val="BlockText"/>
        <w:numPr>
          <w:ilvl w:val="0"/>
          <w:numId w:val="2"/>
        </w:numPr>
        <w:rPr/>
      </w:pPr>
      <w:r>
        <w:rPr/>
        <w:t xml:space="preserve">Page 40, immediately after line 6, insert the following: </w:t>
      </w:r>
    </w:p>
    <w:p>
      <w:pPr>
        <w:pStyle w:val="Normal"/>
        <w:rPr>
          <w:rFonts w:ascii="Arial" w:hAnsi="Arial" w:cs="Arial"/>
          <w:sz w:val="22"/>
        </w:rPr>
      </w:pPr>
      <w:r>
        <w:rPr>
          <w:rFonts w:cs="Arial" w:ascii="Arial" w:hAnsi="Arial"/>
          <w:sz w:val="22"/>
        </w:rPr>
      </w:r>
    </w:p>
    <w:p>
      <w:pPr>
        <w:pStyle w:val="Normal"/>
        <w:ind w:firstLine="720" w:end="0"/>
        <w:rPr/>
      </w:pPr>
      <w:r>
        <w:rPr>
          <w:rFonts w:cs="Arial" w:ascii="Arial" w:hAnsi="Arial"/>
          <w:sz w:val="22"/>
        </w:rPr>
        <w:t xml:space="preserve">"(r) </w:t>
      </w:r>
      <w:r>
        <w:rPr>
          <w:rFonts w:cs="Arial" w:ascii="Arial" w:hAnsi="Arial"/>
          <w:smallCaps/>
          <w:sz w:val="22"/>
        </w:rPr>
        <w:t>Coordination with Regional Transmission Organizations</w:t>
      </w:r>
      <w:r>
        <w:rPr>
          <w:rFonts w:cs="Arial" w:ascii="Arial" w:hAnsi="Arial"/>
          <w:sz w:val="22"/>
        </w:rPr>
        <w:t>. –</w:t>
      </w:r>
    </w:p>
    <w:p>
      <w:pPr>
        <w:pStyle w:val="Normal"/>
        <w:ind w:firstLine="720" w:end="0"/>
        <w:rPr>
          <w:rFonts w:ascii="Arial" w:hAnsi="Arial" w:cs="Arial"/>
          <w:sz w:val="22"/>
        </w:rPr>
      </w:pPr>
      <w:r>
        <w:rPr>
          <w:rFonts w:cs="Arial" w:ascii="Arial" w:hAnsi="Arial"/>
          <w:sz w:val="22"/>
        </w:rPr>
        <w:t>“</w:t>
      </w:r>
      <w:r>
        <w:rPr>
          <w:rFonts w:cs="Arial" w:ascii="Arial" w:hAnsi="Arial"/>
          <w:sz w:val="22"/>
        </w:rPr>
        <w:t>(1) Each regional transmission organization authorized by the Commission shall be responsible for maintaining the short-term reliability of the bulk-power system that it operates, consistent with organization standards.</w:t>
      </w:r>
    </w:p>
    <w:p>
      <w:pPr>
        <w:pStyle w:val="Normal"/>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t>“</w:t>
      </w:r>
      <w:r>
        <w:rPr>
          <w:rFonts w:cs="Arial" w:ascii="Arial" w:hAnsi="Arial"/>
          <w:sz w:val="22"/>
        </w:rPr>
        <w:t>(2) Except as provided in paragraph (5), in connection with a proceeding under subsection (e) to consider a proposed organization standard, each regional transmission organization authorized by the Commission shall report to the Commission, and notify the electric reliability organization and any applicable affiliated regional reliability entity, regarding whether the proposed organization standard hinders or conflicts with that regional transmission organization’s ability to fulfill the requirements of any Commission-accepted, approved, or ordered rule, regulation, order, tariff, rate schedule, or agreement.  Where such hindrance or conflict is identified, the Commission shall address such hindrance or conflict, and the need for any changes to such Commission-accepted, approved, or ordered rule, order, tariff, rate schedule, or agreement in its order under subsection (e) regarding the proposed standard.  Where such hindrance or conflict is identified between a proposed organization standard and a provision of any rule, order, tariff, rate schedule or agreement accepted, approved or ordered by the Commission applicable to a regional transmission organization, nothing in this section shall require a change in the regional transmission organization’s obligation to comply with such provision unless the Commission orders such a change and the change becomes effective.  If the Commission finds that the tariff, rate schedule, or agreement needs to be changed, the regional transmission organization must expeditiously make a Section 205 filing to reflect the change.  If the Commission finds that the proposed organization standard needs to be changed, it shall remand the proposed organization standard to the electric reliability organization under subsection (e)(2)(E).</w:t>
      </w:r>
    </w:p>
    <w:p>
      <w:pPr>
        <w:pStyle w:val="Normal"/>
        <w:ind w:firstLine="720" w:end="0"/>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t>“</w:t>
      </w:r>
      <w:r>
        <w:rPr>
          <w:rFonts w:cs="Arial" w:ascii="Arial" w:hAnsi="Arial"/>
          <w:sz w:val="22"/>
        </w:rPr>
        <w:t>(3) Except as provided in paragraph (5), to the extent hindrances or conflicts arise after approval of a reliability standard under subsection (c) or organization standard under subsection (e), each regional transmission organization authorized by the Commission shall report to the Commission, and notify the electric reliability organization and any applicable affiliated regional reliability entity, regarding any reliability standard approved under subsection (c) or organization standard that hinders or conflicts with that regional transmission organization’s ability to fulfill the requirements of any Commission-accepted, approved, or ordered rule, regulation, order, tariff, rate schedule, or agreement.  The Commission shall seek to assure that such hindrances or conflicts are resolved promptly.  Where a hindrance or conflict is identified between a reliability standard or an organization standard and a provision of any rule, order, tariff, rate schedule or agreement accepted, approved or ordered by the Commission applicable to a regional transmission organization, nothing in this section shall require a change in the regional transmission organization’s obligation to comply with such provision unless the Commission orders such a change and the change becomes effective.  If the Commission finds that the tariff, rate schedule or agreement needs to be changed, the regional transmission organization must expeditiously make a Section 205 filing to reflect the change.  If the Commission finds that an organization standard needs to be changed, it shall order the electric reliability organization to develop and submit a modified organization standard under subsection (e)(3).</w:t>
      </w:r>
    </w:p>
    <w:p>
      <w:pPr>
        <w:pStyle w:val="Normal"/>
        <w:ind w:firstLine="720" w:end="0"/>
        <w:rPr>
          <w:rFonts w:ascii="Arial" w:hAnsi="Arial" w:cs="Arial"/>
          <w:sz w:val="22"/>
        </w:rPr>
      </w:pPr>
      <w:r>
        <w:rPr>
          <w:rFonts w:cs="Arial" w:ascii="Arial" w:hAnsi="Arial"/>
          <w:sz w:val="22"/>
        </w:rPr>
      </w:r>
    </w:p>
    <w:p>
      <w:pPr>
        <w:pStyle w:val="Normal"/>
        <w:ind w:firstLine="720" w:end="0"/>
        <w:rPr>
          <w:rFonts w:ascii="Arial" w:hAnsi="Arial" w:cs="Arial"/>
          <w:sz w:val="22"/>
        </w:rPr>
      </w:pPr>
      <w:r>
        <w:rPr>
          <w:rFonts w:eastAsia="Arial" w:cs="Arial" w:ascii="Arial" w:hAnsi="Arial"/>
          <w:sz w:val="22"/>
        </w:rPr>
        <w:t xml:space="preserve"> </w:t>
      </w:r>
      <w:r>
        <w:rPr>
          <w:rFonts w:cs="Arial" w:ascii="Arial" w:hAnsi="Arial"/>
          <w:sz w:val="22"/>
        </w:rPr>
        <w:t>“</w:t>
      </w:r>
      <w:r>
        <w:rPr>
          <w:rFonts w:cs="Arial" w:ascii="Arial" w:hAnsi="Arial"/>
          <w:sz w:val="22"/>
        </w:rPr>
        <w:t>(4) An affiliated regional reliability entity and a regional transmission organization operating in the same geographic area shall cooperate to avoid conflicts between implementation and enforcement of organization standards by the affiliated regional reliability entity and implementation and enforcement of Commission-accepted tariffs, rate schedules, and agreements by the regional transmission organization. In areas without an affiliated regional reliability entity, the electric reliability organization shall act as the affiliated regional reliability entity for purposes of this paragraph.</w:t>
      </w:r>
    </w:p>
    <w:p>
      <w:pPr>
        <w:pStyle w:val="BodyTextIndent2"/>
        <w:ind w:hanging="0" w:start="0" w:end="0"/>
        <w:rPr>
          <w:rFonts w:ascii="Arial" w:hAnsi="Arial" w:cs="Arial"/>
          <w:sz w:val="22"/>
        </w:rPr>
      </w:pPr>
      <w:r>
        <w:rPr>
          <w:rFonts w:cs="Arial"/>
          <w:sz w:val="22"/>
        </w:rPr>
      </w:r>
    </w:p>
    <w:p>
      <w:pPr>
        <w:pStyle w:val="BodyTextIndent3"/>
        <w:rPr>
          <w:sz w:val="22"/>
        </w:rPr>
      </w:pPr>
      <w:r>
        <w:rPr>
          <w:sz w:val="22"/>
        </w:rPr>
        <w:t>“</w:t>
      </w:r>
      <w:r>
        <w:rPr>
          <w:sz w:val="22"/>
        </w:rPr>
        <w:t>(5) Until 6 months after approval of applicable subsection (h)(3)(A) procedures, any reliability standard, guidance, or practice contained in Commission-accepted tariffs, rate schedules, or agreements in effect of any Commission-authorized independent system operator or regional transmission organization shall continue to apply unless the Commission accepts an amendment thereto by the applicable operator or organization, or upon complaint finds them to be unjust, unreasonable, unduly discriminatory or preferential, or not in the public interest. At the conclusion of such transition period, any such reliability standard, guidance, practice, or amendment thereto that the Commission determines is inconsistent with organization standards shall no longer apply.”</w:t>
      </w:r>
    </w:p>
    <w:p>
      <w:pPr>
        <w:pStyle w:val="BodyTextIndent2"/>
        <w:ind w:start="0" w:end="0"/>
        <w:rPr>
          <w:sz w:val="22"/>
        </w:rPr>
      </w:pPr>
      <w:r>
        <w:rPr>
          <w:sz w:val="22"/>
        </w:rPr>
      </w:r>
    </w:p>
    <w:p>
      <w:pPr>
        <w:pStyle w:val="Normal"/>
        <w:rPr>
          <w:rFonts w:ascii="Arial" w:hAnsi="Arial" w:cs="Arial"/>
          <w:sz w:val="22"/>
        </w:rPr>
      </w:pPr>
      <w:r>
        <w:rPr>
          <w:rFonts w:cs="Arial" w:ascii="Arial" w:hAnsi="Arial"/>
          <w:sz w:val="22"/>
        </w:rPr>
      </w:r>
    </w:p>
    <w:p>
      <w:pPr>
        <w:pStyle w:val="Footer"/>
        <w:tabs>
          <w:tab w:val="clear" w:pos="4320"/>
          <w:tab w:val="clear" w:pos="8640"/>
        </w:tabs>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MathA">
    <w:charset w:val="00" w:characterSet="windows-1252"/>
    <w:family w:val="auto"/>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Page and line number references are to S. 2071 (Gorton, as engrossed), as it passed the Senate on June 30, 2000.</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sz w:val="22"/>
    </w:rPr>
  </w:style>
  <w:style w:type="paragraph" w:styleId="Heading2">
    <w:name w:val="heading 2"/>
    <w:basedOn w:val="Normal"/>
    <w:next w:val="Normal"/>
    <w:qFormat/>
    <w:pPr>
      <w:keepNext w:val="true"/>
      <w:numPr>
        <w:ilvl w:val="1"/>
        <w:numId w:val="1"/>
      </w:numPr>
      <w:jc w:val="center"/>
      <w:outlineLvl w:val="1"/>
    </w:pPr>
    <w:rPr>
      <w:rFonts w:ascii="Arial" w:hAnsi="Arial" w:cs="Arial"/>
      <w:b/>
      <w:bCs/>
      <w:sz w:val="22"/>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Cs w:val="20"/>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St4z0">
    <w:name w:val="WW8NumSt4z0"/>
    <w:qFormat/>
    <w:rPr>
      <w:rFonts w:ascii="WP MathA" w:hAnsi="WP MathA" w:cs="WP MathA"/>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szCs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Style11">
    <w:name w:val="_"/>
    <w:basedOn w:val="Normal"/>
    <w:qFormat/>
    <w:pPr>
      <w:widowControl w:val="false"/>
      <w:ind w:hanging="720" w:start="720" w:end="0"/>
    </w:pPr>
    <w:rPr>
      <w:szCs w:val="20"/>
    </w:rPr>
  </w:style>
  <w:style w:type="paragraph" w:styleId="BodyTextIndent">
    <w:name w:val="Body Text Indent"/>
    <w:basedOn w:val="Normal"/>
    <w:pPr>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pPr>
    <w:rPr>
      <w:b/>
      <w:i/>
      <w:szCs w:val="20"/>
    </w:rPr>
  </w:style>
  <w:style w:type="paragraph" w:styleId="BodyTextIndent2">
    <w:name w:val="Body Text Indent 2"/>
    <w:basedOn w:val="Normal"/>
    <w:qFormat/>
    <w:pPr>
      <w:ind w:firstLine="720" w:start="720" w:end="0"/>
    </w:pPr>
    <w:rPr>
      <w:rFonts w:ascii="Arial" w:hAnsi="Arial" w:cs="Arial"/>
    </w:rPr>
  </w:style>
  <w:style w:type="paragraph" w:styleId="BlockText">
    <w:name w:val="Block Text"/>
    <w:basedOn w:val="Normal"/>
    <w:qFormat/>
    <w:pPr>
      <w:ind w:hanging="0" w:start="1440" w:end="720"/>
    </w:pPr>
    <w:rPr>
      <w:rFonts w:ascii="Arial" w:hAnsi="Arial" w:cs="Arial"/>
      <w:sz w:val="22"/>
    </w:rPr>
  </w:style>
  <w:style w:type="paragraph" w:styleId="BodyTextIndent3">
    <w:name w:val="Body Text Indent 3"/>
    <w:basedOn w:val="Normal"/>
    <w:qFormat/>
    <w:pPr>
      <w:ind w:firstLine="720" w:start="0" w:end="0"/>
    </w:pPr>
    <w:rPr>
      <w:rFonts w:ascii="Arial" w:hAnsi="Arial"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2000-09-12T18:20:00Z</dcterms:created>
  <dc:creator>David R. Nevius</dc:creator>
  <dc:description/>
  <dc:language>en-CA</dc:language>
  <cp:lastModifiedBy>August</cp:lastModifiedBy>
  <cp:lastPrinted>2000-09-12T09:55:00Z</cp:lastPrinted>
  <dcterms:modified xsi:type="dcterms:W3CDTF">2000-09-12T18:20:00Z</dcterms:modified>
  <cp:revision>2</cp:revision>
  <dc:subject/>
  <dc:title>- DRAFT -</dc:title>
</cp:coreProperties>
</file>