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111" w:after="0"/>
        <w:ind w:start="198" w:end="198"/>
        <w:rPr>
          <w:rFonts w:ascii="Arial Narrow" w:hAnsi="Arial Narrow" w:cs="Arial Narrow"/>
        </w:rPr>
      </w:pPr>
      <w:r>
        <w:rPr/>
        <w:drawing>
          <wp:inline distT="0" distB="0" distL="0" distR="0">
            <wp:extent cx="906780" cy="90678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15" t="-15" r="-15" b="-15"/>
                    <a:stretch>
                      <a:fillRect/>
                    </a:stretch>
                  </pic:blipFill>
                  <pic:spPr bwMode="auto">
                    <a:xfrm>
                      <a:off x="0" y="0"/>
                      <a:ext cx="906780" cy="906780"/>
                    </a:xfrm>
                    <a:prstGeom prst="rect">
                      <a:avLst/>
                    </a:prstGeom>
                    <a:noFill/>
                  </pic:spPr>
                </pic:pic>
              </a:graphicData>
            </a:graphic>
          </wp:inline>
        </w:drawing>
      </w:r>
    </w:p>
    <w:p>
      <w:pPr>
        <w:pStyle w:val="Normal"/>
        <w:rPr>
          <w:rFonts w:ascii="Arial Narrow" w:hAnsi="Arial Narrow" w:cs="Arial Narrow"/>
        </w:rPr>
      </w:pPr>
      <w:r>
        <w:rPr>
          <w:rFonts w:cs="Arial Narrow" w:ascii="Arial Narrow" w:hAnsi="Arial Narrow"/>
        </w:rPr>
      </w:r>
    </w:p>
    <w:p>
      <w:pPr>
        <w:pStyle w:val="Normal"/>
        <w:pBdr>
          <w:bottom w:val="single" w:sz="6" w:space="1" w:color="000000"/>
        </w:pBdr>
        <w:tabs>
          <w:tab w:val="clear" w:pos="720"/>
          <w:tab w:val="left" w:pos="1260" w:leader="none"/>
          <w:tab w:val="left" w:pos="4320" w:leader="none"/>
          <w:tab w:val="left" w:pos="6480" w:leader="none"/>
        </w:tabs>
        <w:jc w:val="center"/>
        <w:rPr>
          <w:b/>
          <w:smallCaps/>
          <w:spacing w:val="40"/>
          <w:sz w:val="26"/>
        </w:rPr>
      </w:pPr>
      <w:r>
        <w:rPr>
          <w:b/>
          <w:smallCaps/>
          <w:spacing w:val="40"/>
          <w:sz w:val="36"/>
        </w:rPr>
        <w:t>N</w:t>
      </w:r>
      <w:r>
        <w:rPr>
          <w:smallCaps/>
          <w:spacing w:val="40"/>
          <w:sz w:val="33"/>
        </w:rPr>
        <w:t>orth American</w:t>
      </w:r>
      <w:r>
        <w:rPr>
          <w:b/>
          <w:smallCaps/>
          <w:spacing w:val="40"/>
          <w:sz w:val="33"/>
        </w:rPr>
        <w:t xml:space="preserve"> </w:t>
      </w:r>
      <w:r>
        <w:rPr>
          <w:b/>
          <w:smallCaps/>
          <w:spacing w:val="40"/>
          <w:sz w:val="36"/>
        </w:rPr>
        <w:t>E</w:t>
      </w:r>
      <w:r>
        <w:rPr>
          <w:smallCaps/>
          <w:spacing w:val="40"/>
          <w:sz w:val="33"/>
        </w:rPr>
        <w:t>lectric</w:t>
      </w:r>
      <w:r>
        <w:rPr>
          <w:b/>
          <w:smallCaps/>
          <w:spacing w:val="40"/>
          <w:sz w:val="33"/>
        </w:rPr>
        <w:t xml:space="preserve"> </w:t>
      </w:r>
      <w:r>
        <w:rPr>
          <w:b/>
          <w:smallCaps/>
          <w:spacing w:val="40"/>
          <w:sz w:val="36"/>
        </w:rPr>
        <w:t>R</w:t>
      </w:r>
      <w:r>
        <w:rPr>
          <w:smallCaps/>
          <w:spacing w:val="40"/>
          <w:sz w:val="33"/>
        </w:rPr>
        <w:t>eliability</w:t>
      </w:r>
      <w:r>
        <w:rPr>
          <w:b/>
          <w:smallCaps/>
          <w:spacing w:val="40"/>
          <w:sz w:val="33"/>
        </w:rPr>
        <w:t xml:space="preserve"> </w:t>
      </w:r>
      <w:r>
        <w:rPr>
          <w:b/>
          <w:smallCaps/>
          <w:spacing w:val="40"/>
          <w:sz w:val="36"/>
        </w:rPr>
        <w:t>C</w:t>
      </w:r>
      <w:r>
        <w:rPr>
          <w:smallCaps/>
          <w:spacing w:val="40"/>
          <w:sz w:val="33"/>
        </w:rPr>
        <w:t>ouncil</w:t>
      </w:r>
    </w:p>
    <w:p>
      <w:pPr>
        <w:pStyle w:val="Heading2"/>
        <w:spacing w:before="40" w:after="0"/>
        <w:ind w:hanging="0" w:start="0"/>
        <w:rPr>
          <w:b w:val="false"/>
          <w:spacing w:val="20"/>
        </w:rPr>
      </w:pPr>
      <w:r>
        <w:rPr>
          <w:b w:val="false"/>
          <w:spacing w:val="20"/>
        </w:rPr>
        <w:t>Princeton Forrestal Village, 116-390 Village Boulevard, Princeton, New Jersey 08540-5731</w:t>
      </w:r>
    </w:p>
    <w:p>
      <w:pPr>
        <w:pStyle w:val="Normal"/>
        <w:jc w:val="end"/>
        <w:rPr>
          <w:rFonts w:ascii="Arial" w:hAnsi="Arial" w:cs="Arial"/>
          <w:b/>
          <w:spacing w:val="20"/>
        </w:rPr>
      </w:pPr>
      <w:r>
        <w:rPr>
          <w:rFonts w:cs="Arial" w:ascii="Arial" w:hAnsi="Arial"/>
          <w:b/>
          <w:spacing w:val="20"/>
        </w:rPr>
      </w:r>
    </w:p>
    <w:p>
      <w:pPr>
        <w:pStyle w:val="Normal"/>
        <w:jc w:val="end"/>
        <w:rPr>
          <w:rFonts w:ascii="Arial" w:hAnsi="Arial" w:cs="Arial"/>
        </w:rPr>
      </w:pPr>
      <w:r>
        <w:rPr>
          <w:rFonts w:cs="Arial" w:ascii="Arial" w:hAnsi="Arial"/>
        </w:rPr>
      </w:r>
    </w:p>
    <w:p>
      <w:pPr>
        <w:pStyle w:val="Normal"/>
        <w:jc w:val="end"/>
        <w:rPr>
          <w:rFonts w:ascii="Arial" w:hAnsi="Arial" w:cs="Arial"/>
        </w:rPr>
      </w:pPr>
      <w:r>
        <w:rPr>
          <w:rFonts w:cs="Arial" w:ascii="Arial" w:hAnsi="Arial"/>
        </w:rPr>
      </w:r>
    </w:p>
    <w:p>
      <w:pPr>
        <w:pStyle w:val="Normal"/>
        <w:jc w:val="end"/>
        <w:rPr>
          <w:rFonts w:ascii="Arial" w:hAnsi="Arial" w:cs="Arial"/>
        </w:rPr>
      </w:pPr>
      <w:r>
        <w:rPr>
          <w:rFonts w:cs="Arial" w:ascii="Arial" w:hAnsi="Arial"/>
        </w:rPr>
        <w:t>September 12, 2000</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The Honorable J. Dennis Hastert</w:t>
      </w:r>
    </w:p>
    <w:p>
      <w:pPr>
        <w:pStyle w:val="Normal"/>
        <w:rPr>
          <w:rFonts w:ascii="Arial" w:hAnsi="Arial" w:cs="Arial"/>
        </w:rPr>
      </w:pPr>
      <w:r>
        <w:rPr>
          <w:rFonts w:cs="Arial" w:ascii="Arial" w:hAnsi="Arial"/>
        </w:rPr>
        <w:t>Speaker</w:t>
      </w:r>
    </w:p>
    <w:p>
      <w:pPr>
        <w:pStyle w:val="Normal"/>
        <w:rPr>
          <w:rFonts w:ascii="Arial" w:hAnsi="Arial" w:cs="Arial"/>
        </w:rPr>
      </w:pPr>
      <w:r>
        <w:rPr>
          <w:rFonts w:cs="Arial" w:ascii="Arial" w:hAnsi="Arial"/>
        </w:rPr>
        <w:t>United States House of Representatives</w:t>
      </w:r>
    </w:p>
    <w:p>
      <w:pPr>
        <w:pStyle w:val="Normal"/>
        <w:rPr>
          <w:rFonts w:ascii="Arial" w:hAnsi="Arial" w:cs="Arial"/>
        </w:rPr>
      </w:pPr>
      <w:r>
        <w:rPr>
          <w:rFonts w:cs="Arial" w:ascii="Arial" w:hAnsi="Arial"/>
        </w:rPr>
        <w:t>H-232</w:t>
      </w:r>
    </w:p>
    <w:p>
      <w:pPr>
        <w:pStyle w:val="Normal"/>
        <w:rPr>
          <w:rFonts w:ascii="Arial" w:hAnsi="Arial" w:cs="Arial"/>
        </w:rPr>
      </w:pPr>
      <w:r>
        <w:rPr>
          <w:rFonts w:cs="Arial" w:ascii="Arial" w:hAnsi="Arial"/>
        </w:rPr>
        <w:t>Washington, DC 20515</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Dear Mr. Speaker:</w:t>
      </w:r>
    </w:p>
    <w:p>
      <w:pPr>
        <w:pStyle w:val="Normal"/>
        <w:rPr>
          <w:rFonts w:ascii="Arial" w:hAnsi="Arial" w:cs="Arial"/>
        </w:rPr>
      </w:pPr>
      <w:r>
        <w:rPr>
          <w:rFonts w:cs="Arial" w:ascii="Arial" w:hAnsi="Arial"/>
        </w:rPr>
      </w:r>
    </w:p>
    <w:p>
      <w:pPr>
        <w:pStyle w:val="Heading1"/>
        <w:rPr/>
      </w:pPr>
      <w:r>
        <w:rPr/>
        <w:t>RE:</w:t>
        <w:tab/>
        <w:t>High-Voltage Electric System Reliability Legislation</w:t>
      </w:r>
    </w:p>
    <w:p>
      <w:pPr>
        <w:pStyle w:val="Normal"/>
        <w:rPr>
          <w:rFonts w:ascii="Arial" w:hAnsi="Arial" w:cs="Arial"/>
        </w:rPr>
      </w:pPr>
      <w:r>
        <w:rPr>
          <w:rFonts w:cs="Arial" w:ascii="Arial" w:hAnsi="Arial"/>
        </w:rPr>
      </w:r>
    </w:p>
    <w:p>
      <w:pPr>
        <w:pStyle w:val="Normal"/>
        <w:rPr/>
      </w:pPr>
      <w:r>
        <w:rPr>
          <w:rFonts w:cs="Arial" w:ascii="Arial" w:hAnsi="Arial"/>
        </w:rPr>
        <w:t>The North American Electric Reliability Council (NERC)</w:t>
      </w:r>
      <w:r>
        <w:rPr>
          <w:rStyle w:val="FootnoteCharacters"/>
          <w:rFonts w:cs="Arial" w:ascii="Arial" w:hAnsi="Arial"/>
        </w:rPr>
        <w:t xml:space="preserve"> </w:t>
      </w:r>
      <w:r>
        <w:rPr>
          <w:rStyle w:val="FootnoteCharacters"/>
          <w:rStyle w:val="FootnoteReference"/>
          <w:rFonts w:cs="Arial" w:ascii="Arial" w:hAnsi="Arial"/>
        </w:rPr>
        <w:footnoteReference w:id="2"/>
      </w:r>
      <w:r>
        <w:rPr>
          <w:rFonts w:cs="Arial" w:ascii="Arial" w:hAnsi="Arial"/>
        </w:rPr>
        <w:t xml:space="preserve">, on behalf of a broad-based list of electric industry and state organizations (Attachment A), is writing to urge your support for prompt House passage of federal legislation in this session of Congress to promote and ensure the continued reliability of high-voltage electric transmission systems in the United States and throughout North America. This international transmission grid – the backbone of our electricity infrastructure – is critical to public health, safety, welfare, and national security, while enabling robust competition in electricity markets. </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On June 30, the Senate passed S. 2071, the Gorton bill, which we understand is being held “at the desk” in the House. It is critically important for the House to act on this legislation as discussed below before adjourning in October. It will take many months after legislation is enacted for the Federal Energy Regulatory Commission (FERC) to adopt implementing rules and designate the new electric reliability organization that the legislation provides for.  In the meantime, consumers are exposed to increased risk of failure of the transmission grid as more and more demands are placed upon it.</w:t>
      </w:r>
    </w:p>
    <w:p>
      <w:pPr>
        <w:pStyle w:val="Normal"/>
        <w:rPr>
          <w:rFonts w:ascii="Arial" w:hAnsi="Arial" w:cs="Arial"/>
        </w:rPr>
      </w:pPr>
      <w:r>
        <w:rPr>
          <w:rFonts w:cs="Arial" w:ascii="Arial" w:hAnsi="Arial"/>
        </w:rPr>
      </w:r>
    </w:p>
    <w:p>
      <w:pPr>
        <w:pStyle w:val="BodyText"/>
        <w:rPr/>
      </w:pPr>
      <w:r>
        <w:rPr/>
        <w:t xml:space="preserve">For three decades, NERC and its member Regional Reliability Councils have worked cooperatively and voluntarily to set reliability standards for high voltage transmission systems so that customers could enjoy reliable electric service. As electricity markets become increasingly competitive, this voluntary arrangement will no longer suffice and needs to be transformed into a mandatory system to assure a continued reliable supply of electricity to America’s homes and businesses. </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The essence of S. 2071 is the creation of an independent, industry self-regulatory reliability organization to establish and enforce compliance with mandatory rules for the reliable operation of the high voltage electric transmission system. Such rules must be fairly developed and fairly applied to all operators and users, under the oversight within the United States of FERC. The proposal follows the model of securities industry self-regulatory organizations (the stock exchanges and NASD) and enjoys broad, bipartisan support.</w:t>
      </w:r>
    </w:p>
    <w:p>
      <w:pPr>
        <w:pStyle w:val="Normal"/>
        <w:rPr>
          <w:rFonts w:ascii="Arial" w:hAnsi="Arial" w:cs="Arial"/>
        </w:rPr>
      </w:pPr>
      <w:r>
        <w:rPr>
          <w:rFonts w:cs="Arial" w:ascii="Arial" w:hAnsi="Arial"/>
        </w:rPr>
      </w:r>
    </w:p>
    <w:p>
      <w:pPr>
        <w:pStyle w:val="Normal"/>
        <w:rPr/>
      </w:pPr>
      <w:r>
        <w:rPr>
          <w:rFonts w:cs="Arial" w:ascii="Arial" w:hAnsi="Arial"/>
        </w:rPr>
        <w:t xml:space="preserve">Since the Senate passed the Gorton bill, language has been developed to address concerns regarding the role of regional transmission organizations, as prescribed in FERC Order 2000, in maintaining reliability of transmission facilities subject to their control. Most of this language (Attachment B) has been incorporated in H.R. 4941- </w:t>
      </w:r>
      <w:r>
        <w:rPr>
          <w:rFonts w:cs="Arial" w:ascii="Arial" w:hAnsi="Arial"/>
          <w:i/>
        </w:rPr>
        <w:t>The National Electric Reliability Act</w:t>
      </w:r>
      <w:r>
        <w:rPr>
          <w:rFonts w:cs="Arial" w:ascii="Arial" w:hAnsi="Arial"/>
        </w:rPr>
        <w:t xml:space="preserve"> - introduced by Mr. Wynn and co-sponsored by Mr. Bilbray, Ms. Eshoo, Mr. Pallone, and Mr. Shadegg.</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 xml:space="preserve">NERC and the other supporting organizations urge you to call up S. 2071, incorporate the RTO coordination amendments as shown on Attachment B to this letter, and approve S. 2071 as amended.  Having Congress enact this legislation now, with the RTO coordination amendments, is an important step to ensure the continued reliability of the nation’s high-voltage electricity system, and one that should not wait. </w:t>
      </w:r>
      <w:r>
        <w:rPr>
          <w:rFonts w:cs="Arial" w:ascii="Arial" w:hAnsi="Arial"/>
          <w:u w:val="single"/>
        </w:rPr>
        <w:t>Please understand that these organizations would oppose the bill if any other provisions are added.</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BodyText"/>
        <w:rPr/>
      </w:pPr>
      <w:r>
        <w:rPr/>
        <w:t>Thank you for your support.</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 xml:space="preserve">Sincerely, </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Michehl R. Gent</w:t>
      </w:r>
    </w:p>
    <w:p>
      <w:pPr>
        <w:pStyle w:val="Normal"/>
        <w:rPr>
          <w:rFonts w:ascii="Arial" w:hAnsi="Arial" w:cs="Arial"/>
        </w:rPr>
      </w:pPr>
      <w:r>
        <w:rPr>
          <w:rFonts w:cs="Arial" w:ascii="Arial" w:hAnsi="Arial"/>
        </w:rPr>
        <w:t>President</w:t>
      </w:r>
    </w:p>
    <w:p>
      <w:pPr>
        <w:pStyle w:val="Normal"/>
        <w:rPr>
          <w:rFonts w:ascii="Arial" w:hAnsi="Arial" w:cs="Arial"/>
        </w:rPr>
      </w:pPr>
      <w:r>
        <w:rPr>
          <w:rFonts w:cs="Arial" w:ascii="Arial" w:hAnsi="Arial"/>
        </w:rPr>
        <w:t>North American Electric Reliability Council</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Cc</w:t>
        <w:tab/>
        <w:t>Hon. Richard Gephardt</w:t>
      </w:r>
    </w:p>
    <w:p>
      <w:pPr>
        <w:pStyle w:val="Normal"/>
        <w:ind w:firstLine="720" w:end="0"/>
        <w:rPr>
          <w:rFonts w:ascii="Arial" w:hAnsi="Arial" w:cs="Arial"/>
        </w:rPr>
      </w:pPr>
      <w:r>
        <w:rPr>
          <w:rFonts w:cs="Arial" w:ascii="Arial" w:hAnsi="Arial"/>
        </w:rPr>
        <w:t>Hon. Thomas J. Bliley, Jr.</w:t>
      </w:r>
    </w:p>
    <w:p>
      <w:pPr>
        <w:pStyle w:val="Normal"/>
        <w:ind w:firstLine="720" w:end="0"/>
        <w:rPr>
          <w:rFonts w:ascii="Arial" w:hAnsi="Arial" w:cs="Arial"/>
        </w:rPr>
      </w:pPr>
      <w:r>
        <w:rPr>
          <w:rFonts w:cs="Arial" w:ascii="Arial" w:hAnsi="Arial"/>
        </w:rPr>
        <w:t>Hon. John D. Dingell</w:t>
      </w:r>
    </w:p>
    <w:p>
      <w:pPr>
        <w:pStyle w:val="Normal"/>
        <w:ind w:firstLine="720" w:end="0"/>
        <w:rPr>
          <w:rFonts w:ascii="Arial" w:hAnsi="Arial" w:cs="Arial"/>
        </w:rPr>
      </w:pPr>
      <w:r>
        <w:rPr>
          <w:rFonts w:cs="Arial" w:ascii="Arial" w:hAnsi="Arial"/>
        </w:rPr>
        <w:t>Hon. Joe Barton</w:t>
      </w:r>
    </w:p>
    <w:p>
      <w:pPr>
        <w:pStyle w:val="Normal"/>
        <w:ind w:firstLine="720" w:end="0"/>
        <w:rPr>
          <w:rFonts w:ascii="Arial" w:hAnsi="Arial" w:cs="Arial"/>
        </w:rPr>
      </w:pPr>
      <w:r>
        <w:rPr>
          <w:rFonts w:cs="Arial" w:ascii="Arial" w:hAnsi="Arial"/>
        </w:rPr>
        <w:t>Hon. Rick Boucher</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sectPr>
      <w:footerReference w:type="default" r:id="rId3"/>
      <w:footnotePr>
        <w:numFmt w:val="decimal"/>
      </w:footnotePr>
      <w:type w:val="nextPage"/>
      <w:pgSz w:w="12240" w:h="15840"/>
      <w:pgMar w:left="1080" w:right="1224" w:gutter="0" w:header="0" w:top="720"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Narrow">
    <w:charset w:val="00" w:characterSet="windows-1252"/>
    <w:family w:val="swiss"/>
    <w:pitch w:val="variable"/>
  </w:font>
  <w:font w:name="Times New Roman Special G2">
    <w:altName w:val="Webdings"/>
    <w:charset w:val="0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cs="Arial" w:ascii="Arial" w:hAnsi="Arial"/>
        <w:b/>
        <w:sz w:val="18"/>
      </w:rPr>
      <w:t xml:space="preserve">Phone 609-452-8060 </w:t>
    </w:r>
    <w:r>
      <w:rPr>
        <w:rFonts w:eastAsia="Times New Roman Special G2;Webdings" w:cs="Times New Roman Special G2;Webdings" w:ascii="Times New Roman Special G2;Webdings" w:hAnsi="Times New Roman Special G2;Webdings"/>
        <w:b/>
        <w:sz w:val="18"/>
      </w:rPr>
      <w:sym w:font="Times New Roman Special G2;Webdings" w:char="f076"/>
    </w:r>
    <w:r>
      <w:rPr>
        <w:rFonts w:cs="Arial" w:ascii="Arial" w:hAnsi="Arial"/>
        <w:b/>
        <w:sz w:val="18"/>
      </w:rPr>
      <w:t xml:space="preserve"> Fax 609-452-9550 </w:t>
    </w:r>
    <w:r>
      <w:rPr>
        <w:rFonts w:eastAsia="Times New Roman Special G2;Webdings" w:cs="Times New Roman Special G2;Webdings" w:ascii="Times New Roman Special G2;Webdings" w:hAnsi="Times New Roman Special G2;Webdings"/>
        <w:b/>
        <w:sz w:val="18"/>
      </w:rPr>
      <w:sym w:font="Times New Roman Special G2;Webdings" w:char="f076"/>
    </w:r>
    <w:r>
      <w:rPr>
        <w:rFonts w:cs="Arial" w:ascii="Arial" w:hAnsi="Arial"/>
        <w:b/>
        <w:sz w:val="18"/>
      </w:rPr>
      <w:t xml:space="preserve"> URL www.nerc.com</w: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rFonts w:cs="Arial" w:ascii="Arial" w:hAnsi="Arial"/>
        </w:rPr>
        <w:t xml:space="preserve"> </w:t>
      </w:r>
      <w:r>
        <w:rPr>
          <w:rFonts w:cs="Arial" w:ascii="Arial" w:hAnsi="Arial"/>
        </w:rPr>
        <w:t>NERC is a not-for-profit industry group that works with all segments of the electric industry as well as customers to promote reliability of the electric grid system throughout North America. It is comprised of ten regional reliability councils that account for virtually all the electricity supplied in the United States, Canada, and a portion of Baja California Norte, Mexico.</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90"/>
  <w:defaultTabStop w:val="720"/>
  <w:autoHyphenation w:val="true"/>
  <w:hyphenationZone w:val="0"/>
  <w:footnotePr>
    <w:numFmt w:val="decimal"/>
    <w:footnote w:id="0"/>
    <w:footnote w:id="1"/>
  </w:footnotePr>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2"/>
      <w:szCs w:val="20"/>
      <w:lang w:val="en-US" w:eastAsia="en-US" w:bidi="hi-IN"/>
    </w:rPr>
  </w:style>
  <w:style w:type="paragraph" w:styleId="Heading1">
    <w:name w:val="heading 1"/>
    <w:basedOn w:val="Normal"/>
    <w:next w:val="Normal"/>
    <w:qFormat/>
    <w:pPr>
      <w:keepNext w:val="true"/>
      <w:numPr>
        <w:ilvl w:val="0"/>
        <w:numId w:val="1"/>
      </w:numPr>
      <w:spacing w:before="111" w:after="0"/>
      <w:ind w:hanging="0" w:start="198" w:end="198"/>
      <w:jc w:val="center"/>
      <w:outlineLvl w:val="0"/>
    </w:pPr>
    <w:rPr>
      <w:b/>
      <w:caps/>
    </w:rPr>
  </w:style>
  <w:style w:type="paragraph" w:styleId="Heading2">
    <w:name w:val="heading 2"/>
    <w:basedOn w:val="Normal"/>
    <w:next w:val="Normal"/>
    <w:qFormat/>
    <w:pPr>
      <w:keepNext w:val="true"/>
      <w:numPr>
        <w:ilvl w:val="1"/>
        <w:numId w:val="1"/>
      </w:numPr>
      <w:tabs>
        <w:tab w:val="clear" w:pos="720"/>
        <w:tab w:val="left" w:pos="1260" w:leader="none"/>
        <w:tab w:val="left" w:pos="4320" w:leader="none"/>
        <w:tab w:val="left" w:pos="6480" w:leader="none"/>
      </w:tabs>
      <w:jc w:val="center"/>
      <w:outlineLvl w:val="1"/>
    </w:pPr>
    <w:rPr>
      <w:b/>
      <w:sz w:val="17"/>
    </w:rPr>
  </w:style>
  <w:style w:type="paragraph" w:styleId="Heading3">
    <w:name w:val="heading 3"/>
    <w:basedOn w:val="Normal"/>
    <w:next w:val="Normal"/>
    <w:qFormat/>
    <w:pPr>
      <w:keepNext w:val="true"/>
      <w:numPr>
        <w:ilvl w:val="2"/>
        <w:numId w:val="1"/>
      </w:numPr>
      <w:jc w:val="center"/>
      <w:outlineLvl w:val="2"/>
    </w:pPr>
    <w:rPr>
      <w:rFonts w:ascii="Arial" w:hAnsi="Arial" w:cs="Arial"/>
      <w:b/>
      <w:sz w:val="22"/>
    </w:rPr>
  </w:style>
  <w:style w:type="paragraph" w:styleId="Heading4">
    <w:name w:val="heading 4"/>
    <w:basedOn w:val="Normal"/>
    <w:next w:val="Normal"/>
    <w:qFormat/>
    <w:pPr>
      <w:keepNext w:val="true"/>
      <w:numPr>
        <w:ilvl w:val="3"/>
        <w:numId w:val="1"/>
      </w:numPr>
      <w:pBdr>
        <w:bottom w:val="single" w:sz="4" w:space="1" w:color="000000"/>
      </w:pBdr>
      <w:outlineLvl w:val="3"/>
    </w:pPr>
    <w:rPr>
      <w:rFonts w:ascii="Arial" w:hAnsi="Arial" w:cs="Arial"/>
      <w:b/>
      <w:sz w:val="22"/>
    </w:rPr>
  </w:style>
  <w:style w:type="paragraph" w:styleId="Heading5">
    <w:name w:val="heading 5"/>
    <w:basedOn w:val="Normal"/>
    <w:next w:val="Normal"/>
    <w:qFormat/>
    <w:pPr>
      <w:keepNext w:val="true"/>
      <w:numPr>
        <w:ilvl w:val="4"/>
        <w:numId w:val="1"/>
      </w:numPr>
      <w:outlineLvl w:val="4"/>
    </w:pPr>
    <w:rPr>
      <w:rFonts w:ascii="Arial" w:hAnsi="Arial" w:cs="Arial"/>
      <w:b/>
      <w:sz w:val="22"/>
    </w:rPr>
  </w:style>
  <w:style w:type="character" w:styleId="WW8Num1z0">
    <w:name w:val="WW8Num1z0"/>
    <w:qFormat/>
    <w:rPr>
      <w:rFonts w:ascii="Times New Roman" w:hAnsi="Times New Roman" w:cs="Times New Roman"/>
      <w:b/>
      <w:i w:val="false"/>
      <w:sz w:val="22"/>
    </w:rPr>
  </w:style>
  <w:style w:type="character" w:styleId="WW8Num1z1">
    <w:name w:val="WW8Num1z1"/>
    <w:qFormat/>
    <w:rPr>
      <w:rFonts w:ascii="Times New Roman" w:hAnsi="Times New Roman" w:cs="Times New Roman"/>
      <w:b w:val="false"/>
      <w:i w:val="false"/>
      <w:sz w:val="22"/>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rFonts w:ascii="Arial" w:hAnsi="Arial" w:cs="Arial"/>
      <w:lang w:eastAsia="en-CA"/>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ootnoteText">
    <w:name w:val="footnote text"/>
    <w:basedOn w:val="Normal"/>
    <w:pPr/>
    <w:rPr>
      <w:sz w:val="20"/>
      <w:lang w:eastAsia="en-CA"/>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footer" Target="footer1.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2000-09-12T18:19:00Z</dcterms:created>
  <dc:creator>Mike Gent</dc:creator>
  <dc:description/>
  <dc:language>en-CA</dc:language>
  <cp:lastModifiedBy>August</cp:lastModifiedBy>
  <cp:lastPrinted>1999-06-21T14:51:00Z</cp:lastPrinted>
  <dcterms:modified xsi:type="dcterms:W3CDTF">2000-09-12T18:19:00Z</dcterms:modified>
  <cp:revision>2</cp:revision>
  <dc:subject/>
  <dc:title> </dc:title>
</cp:coreProperties>
</file>