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emf" ContentType="image/x-emf"/>
  <Override PartName="/word/media/image3.wmf" ContentType="image/x-wmf"/>
  <Override PartName="/word/media/image2.wmf" ContentType="image/x-wmf"/>
  <Override PartName="/word/media/image4.wmf" ContentType="image/x-wmf"/>
  <Override PartName="/word/media/image5.wmf" ContentType="image/x-wmf"/>
  <Override PartName="/word/media/image6.png" ContentType="image/png"/>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embeddings/oleObject1.xlsx" ContentType="application/vnd.openxmlformats-officedocument.spreadsheetml.sheet"/>
  <Override PartName="/word/embeddings/oleObject2.bin" ContentType="application/vnd.openxmlformats-officedocument.oleObject"/>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20.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endnotes.xml" ContentType="application/vnd.openxmlformats-officedocument.wordprocessingml.endnotes+xml"/>
  <Override PartName="/word/header24.xml" ContentType="application/vnd.openxmlformats-officedocument.wordprocessingml.header+xml"/>
  <Override PartName="/word/footnotes.xml" ContentType="application/vnd.openxmlformats-officedocument.wordprocessingml.footnotes+xml"/>
  <Override PartName="/word/footer16.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header21.xml" ContentType="application/vnd.openxmlformats-officedocument.wordprocessingml.header+xml"/>
  <Override PartName="/word/footer13.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20.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720" w:after="240"/>
        <w:rPr/>
      </w:pPr>
      <w:bookmarkStart w:id="0" w:name="ReturnHere"/>
      <w:bookmarkEnd w:id="0"/>
      <w:r>
        <w:rPr/>
        <w:fldChar w:fldCharType="begin"/>
      </w:r>
      <w:r>
        <w:rPr/>
        <w:instrText xml:space="preserve"> TITLE </w:instrText>
      </w:r>
      <w:r>
        <w:rPr/>
        <w:fldChar w:fldCharType="separate"/>
      </w:r>
      <w:r>
        <w:rPr/>
        <w:t>Enron's Transformation:  From Gas Pipelines to New Economy Powerhouse</w:t>
      </w:r>
      <w:r>
        <w:rPr/>
        <w:fldChar w:fldCharType="end"/>
      </w:r>
    </w:p>
    <w:p>
      <w:pPr>
        <w:pStyle w:val="Normal"/>
        <w:rPr/>
      </w:pPr>
      <w:r>
        <w:rPr/>
        <w:t xml:space="preserve">As Enron prepared to enter the new millennium, Chairman and CEO Ken Lay and President and COO Jeff Skilling looked back on the previous decade with pride.  What began in 1986 as a newly-merged, financially-stretched gas pipeline outfit, had just been recognized by </w:t>
      </w:r>
      <w:r>
        <w:rPr>
          <w:i/>
        </w:rPr>
        <w:t>Fortune</w:t>
      </w:r>
      <w:r>
        <w:rPr/>
        <w:t xml:space="preserve"> as the country’s most innovative company—for the fifth consecutive year.  It also ranked first in quality of management.  Over the previous decade, Enron had generated a 704% cumulative total return to shareholders, compared to 432% for the S&amp;P 500 and just 312% for the company’s peer group.</w:t>
      </w:r>
    </w:p>
    <w:p>
      <w:pPr>
        <w:pStyle w:val="Normal"/>
        <w:rPr/>
      </w:pPr>
      <w:r>
        <w:rPr/>
        <w:t xml:space="preserve">But what was its peer group?  As innovative initiatives developed new ventures to supplement Enron’s traditional energy businesses, Lay and Skilling knew that Enron’s vision to become “the world’s leading energy company,” was now inadequate, and even limiting.  For example, EnronOnline, an Internet-based commodity trading platform, extended Enron’s merchant business beyond gas and power trading to coal, plastics, pulp and paper, and a variety of other products.  And Enron Broadband Services, the company’s new broadband business, not only built a fiber optic network capable of streaming entertainment and information over the Internet, but also supported its new business by creating markets for buying and selling bandwidth in much the same way Enron traded other commodities.  </w:t>
      </w:r>
    </w:p>
    <w:p>
      <w:pPr>
        <w:pStyle w:val="Normal"/>
        <w:rPr/>
      </w:pPr>
      <w:r>
        <w:rPr/>
        <w:t>These developments seemed to leave even top management struggling to articulate the nature of Enron’s business in 2000.  In response to one journalist’s persistent questioning, Lay remarked, “We’re an energy and broadband company that also does a lot of other stuff.”</w:t>
      </w:r>
      <w:r>
        <w:rPr>
          <w:rStyle w:val="EndnoteCharacters"/>
          <w:rStyle w:val="EndnoteReference"/>
          <w:sz w:val="22"/>
        </w:rPr>
        <w:endnoteReference w:id="2"/>
      </w:r>
      <w:r>
        <w:rPr/>
        <w:t xml:space="preserve">  (See </w:t>
      </w:r>
      <w:r>
        <w:rPr>
          <w:b/>
        </w:rPr>
        <w:t>Exhibit 1</w:t>
      </w:r>
      <w:r>
        <w:rPr/>
        <w:t xml:space="preserve"> for the portfolio of business units that comprised Enron Corp. in 2000.)  Increasingly, however, those at the top began describing Enron less in terms of its business portfolio and more in terms of its underlying resources and organizational capabilities</w:t>
        <w:softHyphen/>
        <w:t>—its fast and flexible networks, the markets it created, its sophisticated risk management system, and most importantly, its creative and entrepreneurial employees.  Indeed, Lay and Skilling seemed comfortable with this emerging concept, and when one manager asked Lay why Enron had no corporate strategy department, the CEO countered: “</w:t>
      </w:r>
      <w:r>
        <w:rPr>
          <w:i/>
        </w:rPr>
        <w:t>You</w:t>
      </w:r>
      <w:r>
        <w:rPr/>
        <w:t xml:space="preserve"> are our strategy department.  Enron’s future will emerge from your ideas and initiatives.”</w:t>
      </w:r>
    </w:p>
    <w:p>
      <w:pPr>
        <w:pStyle w:val="Normal"/>
        <w:rPr/>
      </w:pPr>
      <w:r>
        <w:rPr/>
        <w:t>As motivating as that challenge was, analysts wondered exactly what Enron was, what it planned to become, and most of all, how it would sustain its enviable performance.</w:t>
      </w:r>
    </w:p>
    <w:p>
      <w:pPr>
        <w:pStyle w:val="Heading1"/>
        <w:ind w:hanging="0" w:start="0"/>
        <w:rPr/>
      </w:pPr>
      <w:r>
        <w:rPr/>
        <w:t>Ken Lay: Enron's Free-Market Visionary</w:t>
      </w:r>
    </w:p>
    <w:p>
      <w:pPr>
        <w:pStyle w:val="Normal"/>
        <w:rPr/>
      </w:pPr>
      <w:r>
        <w:rPr/>
        <w:t>Son of a Baptist minister, Ken Lay grew up on a farm in Missouri.  A lifelong fascination with free markets began when, as a child, he questioned why the government’s market-control program paid farmers in his area not to plant crops.  Having graduated from the University of Missouri with an economics degree, Lay joined a major oil company, but continued studying part time for a Ph.D. in economics.  After a stint in the U.S. Navy, he accepted an appointment at the Interior Department, and, eventually, was named deputy undersecretary for energy.</w:t>
      </w:r>
    </w:p>
    <w:p>
      <w:pPr>
        <w:pStyle w:val="Heading2"/>
        <w:ind w:hanging="0" w:start="0"/>
        <w:rPr/>
      </w:pPr>
      <w:r>
        <w:rPr/>
        <w:t>Birth of Enron</w:t>
      </w:r>
    </w:p>
    <w:p>
      <w:pPr>
        <w:pStyle w:val="Normal"/>
        <w:rPr/>
      </w:pPr>
      <w:r>
        <w:rPr/>
        <w:t xml:space="preserve">Lay returned to the private sector in 1974, working for companies trying to open gas markets.  In 1985, he helped merge two pipeline companies—InterNorth and Houston Natural Gas—to create Enron.  When he was asked to run the merged companies, Lay committed to making Enron “the premier integrated natural gas company in North America.”  His ambition seemed unrealistic for a regional pipeline company financed with junk debt and with a debt-to-capitalization ratio of about 73 percent.  (See </w:t>
      </w:r>
      <w:r>
        <w:rPr>
          <w:b/>
        </w:rPr>
        <w:t>Exhibit 2</w:t>
      </w:r>
      <w:r>
        <w:rPr/>
        <w:t xml:space="preserve"> for Enron’s early financials.)  </w:t>
      </w:r>
    </w:p>
    <w:p>
      <w:pPr>
        <w:pStyle w:val="Normal"/>
        <w:rPr/>
      </w:pPr>
      <w:r>
        <w:rPr/>
        <w:t>Soon after the merger, oil prices collapsed, leading many utilities to switch from natural gas to oil.  Then, the government of Peru expropriated Enron’s offshore Peruvian production operations, resulting in a $200 million write-off.  A year later, faced with a hostile takeover attempt, Enron had to repurchase 16.5% of its common stock at a premium.  And finally, the company was faced with an oil trading scandal that resulted in a further $85 million loss.  Unfazed, Lay continued to leverage his Washington contacts in his fight to deregulate gas.  When federal rules mandated the increase of gas prices in the face of oil price declines, Lay confronted the Federal Energy Regulatory Commission (FERC) and explained that pipeline companies were “going to go belly up.”  Finally, FERC overhauled its regulations, giving utilities and pipeline companies much greater freedom.</w:t>
      </w:r>
    </w:p>
    <w:p>
      <w:pPr>
        <w:pStyle w:val="Normal"/>
        <w:rPr/>
      </w:pPr>
      <w:r>
        <w:rPr/>
        <w:t xml:space="preserve">As Enron’s CEO, Lay proved to be an intense competitor who set goals with “a lot of stretch in them.”  He was a delegator who understood the importance of hiring first-class people.  “My goal when I came into this business was to try to get a superstar in every key position,” he said.  “You must have the very best talent, then let them develop a good strategy.”  One early example of Lay’s ability to recognize and grow talent was Rebecca Mark, who later went on to head Enron’s global expansion.  Hired out of the treasury department of an acquired pipeline company, she became finance chief of a unit Enron was forming to build power plants.  When she went to Harvard to get an MBA, in Enron’s “stretching” style, she kept working on a company project.  </w:t>
      </w:r>
    </w:p>
    <w:p>
      <w:pPr>
        <w:pStyle w:val="Normal"/>
        <w:rPr/>
      </w:pPr>
      <w:r>
        <w:rPr/>
        <w:t>Lay also sought outside expertise.  One of the key advisers through Enron’s difficult early years was Jeff Skilling, a McKinsey &amp; Co. partner in charge of the firm’s worldwide energy practice.  Skilling’s background in financial markets and experience in the energy industry immediately aligned him with Lay’s belief in free markets.  However, in his work with Enron, Skilling often found it difficult to get a diverse management group, engaged in complex internal adjustments and external competitive challenges, to focus on the larger implications of industry deregulation.  Skilling characterized the post-merger environment as “people running around with their hair on fire”:</w:t>
      </w:r>
    </w:p>
    <w:p>
      <w:pPr>
        <w:pStyle w:val="QUOTE"/>
        <w:rPr/>
      </w:pPr>
      <w:r>
        <w:rPr/>
        <w:t>There were three fundamentally different cultures in the organization: InterNorth’s regulated utility culture, Houston Natural Gas’s “good-ol’-boy” Texas-oil-patch culture, and Ken Lay’s deregulated industry culture, supported by people—largely outsiders from academia, government and industry professionals—who believed in free markets.  So there wasn’t a clear view of what deregulation meant to this business.  The regulated guys viewed it as a temporary aberration, while some of us from the outside were saying that there was a one-time opportunity here.</w:t>
      </w:r>
    </w:p>
    <w:p>
      <w:pPr>
        <w:pStyle w:val="Heading2"/>
        <w:ind w:hanging="0" w:start="0"/>
        <w:rPr/>
      </w:pPr>
      <w:r>
        <w:rPr/>
        <w:t>Confronting Deregulation</w:t>
      </w:r>
    </w:p>
    <w:p>
      <w:pPr>
        <w:pStyle w:val="Normal"/>
        <w:rPr/>
      </w:pPr>
      <w:r>
        <w:rPr/>
        <w:t>In 1988, Ken Lay convened what Skilling dubbed the “Come-to-Jesus” meeting.  The agenda was to confront the organization with two choices: to continue their approach and go bankrupt, or to create an entirely new way of doing business.  The meeting marked a turning point, and while some still “didn’t get it,” most started viewing deregulation as an opportunity, not a problem.</w:t>
      </w:r>
    </w:p>
    <w:p>
      <w:pPr>
        <w:pStyle w:val="BodyTextIndent"/>
        <w:spacing w:lineRule="auto" w:line="240"/>
        <w:rPr/>
      </w:pPr>
      <w:r>
        <w:rPr/>
        <w:t xml:space="preserve">After the “Come-to-Jesus” meeting, Enron Gas Marketing was established to focus on the merchant function—the buying and selling activities that many other pipeline companies were relinquishing in the emerging “re-regulated” environment.  Then, Enron’s international unit was created to seek out attractive power projects and trading opportunities abroad.  Within this restructured organization, Lay wanted to build a culture where people were not afraid to take intelligent risks, with an attitude he described as “do it right, do it now, do it better.” </w:t>
      </w:r>
    </w:p>
    <w:p>
      <w:pPr>
        <w:pStyle w:val="Normal"/>
        <w:rPr/>
      </w:pPr>
      <w:r>
        <w:rPr/>
        <w:t>Through this transitional period, Lay and his then-COO, Rich Kinder, continued to rely on Skilling to provide his outside perspective to challenge the organization.  In a cash-strapped company in a deregulating industry, Skilling began pushing a new business idea.  He elaborated:</w:t>
      </w:r>
    </w:p>
    <w:p>
      <w:pPr>
        <w:pStyle w:val="QUOTE"/>
        <w:rPr/>
      </w:pPr>
      <w:r>
        <w:rPr/>
        <w:t>Enron was financially constrained, but after being regulated for 100 years, the industry was awash in capital</w:t>
      </w:r>
      <w:r>
        <w:rPr>
          <w:b/>
        </w:rPr>
        <w:t xml:space="preserve"> </w:t>
      </w:r>
      <w:r>
        <w:rPr/>
        <w:t xml:space="preserve">investment.  By being clever, we felt we could optimize the existing infrastructure to make money.  We could use our brain power to create value out of this industry mess.  I felt that the solution lay in new ways of creating portfolios of natural gas, which would allow us to eliminate our need to own all the assets and use other people’s assets to provide a reliable delivery service.  This germ of an idea later became our Gas Bank concept. </w:t>
      </w:r>
    </w:p>
    <w:p>
      <w:pPr>
        <w:pStyle w:val="BodyTextIndent"/>
        <w:spacing w:lineRule="auto" w:line="240"/>
        <w:rPr/>
      </w:pPr>
      <w:r>
        <w:rPr/>
        <w:t>In 1989, Skilling made a 10-minute, one-chart presentation of his Gas Bank concept to Enron’s management committee.  His insight was to create a portfolio of long- and short-term fixed-price purchase and supply contracts, which would eliminate supply risk and minimize the wide price fluctuations that the spot market implied.  Despite the committee’s unanimous rejection of Skilling’s idea, Lay and Kinder saw its merits.  Kinder asked Skilling to help him communicate the benefits of a liquid marketplace for trading gas to industry executives.  In only a week and a half on the road, Skilling and Kinder sold about $1 billion of their first non-regulated portfolio of products.</w:t>
      </w:r>
    </w:p>
    <w:p>
      <w:pPr>
        <w:pStyle w:val="Normal"/>
        <w:rPr/>
      </w:pPr>
      <w:r>
        <w:rPr/>
        <w:t>Unfortunately, however, others in the company had little knowledge of or enthusiasm for the program, and six months after it had been handed over to Gas Marketing, the Gas Bank idea died.  Ken Lay decided that the only way to revive the business and to develop other financially linked products was to convince Skilling to join Enron.  “I had just been made a director at McKinsey, but I knew this thing was big,” said Skilling.  “I had to show how it could work.”</w:t>
      </w:r>
    </w:p>
    <w:p>
      <w:pPr>
        <w:pStyle w:val="Heading1"/>
        <w:ind w:hanging="0" w:start="0"/>
        <w:rPr/>
      </w:pPr>
      <w:r>
        <w:rPr/>
        <w:t>Entering the '90s: Pipeline Company to Gas Major</w:t>
      </w:r>
    </w:p>
    <w:p>
      <w:pPr>
        <w:pStyle w:val="Normal"/>
        <w:rPr/>
      </w:pPr>
      <w:r>
        <w:rPr/>
        <w:t xml:space="preserve">When Skilling came on board in 1990, Enron’s worst post-merger years were behind it.  After disposing of non-core assets and enduring painful layoffs, profitability was restored and its debt was reduced from 73% to 59% of capitalization.  (See </w:t>
      </w:r>
      <w:r>
        <w:rPr>
          <w:b/>
        </w:rPr>
        <w:t>Exhibit 2</w:t>
      </w:r>
      <w:r>
        <w:rPr/>
        <w:t>.)  Indeed, with the coming of the new decade, Lay declared that the ambitious mission he had set at the time of the merger was achieved: Enron was generally recognized as the leading integrated natural gas company in North America.  Not content to let Enron rest on its laurels, in early-1990, Lay challenged his management team to develop a new vision for the company.  Together they agreed that Enron would become “the world’s first natural gas major”—the gas equivalent of oil majors like Exxon or Shell.</w:t>
      </w:r>
    </w:p>
    <w:p>
      <w:pPr>
        <w:pStyle w:val="Normal"/>
        <w:rPr/>
      </w:pPr>
      <w:r>
        <w:rPr/>
        <w:t>To achieve this bold ambition, Lay realized Enron would have to expand beyond its three core businesses—gas pipelines, exploration and production, and liquid fuels.  In addition to launching a major internationalization initiative, the CEO decided to back Skilling’s innovative but unproven market-related concepts.  If successful, Lay felt that Skilling’s initiatives could greatly enhance Enron’s ability to develop a more sophisticated merchant function.</w:t>
      </w:r>
    </w:p>
    <w:p>
      <w:pPr>
        <w:pStyle w:val="Heading2"/>
        <w:ind w:hanging="0" w:start="0"/>
        <w:rPr/>
      </w:pPr>
      <w:r>
        <w:rPr/>
        <w:t>Creating a New Entity, Breaking the Old Rules</w:t>
      </w:r>
    </w:p>
    <w:p>
      <w:pPr>
        <w:pStyle w:val="Normal"/>
        <w:rPr/>
      </w:pPr>
      <w:r>
        <w:rPr/>
        <w:t>Skilling’s initial mandate was to build Enron Finance Corporation (EFC) as a developmental laboratory for the financially linked products and services related to his Gas Bank concept.  Realizing that he was unlikely to find the skills he needed in Enron’s engineer-dominated, asset-focused pipeline business, Skilling began recruiting from the outside:</w:t>
      </w:r>
    </w:p>
    <w:p>
      <w:pPr>
        <w:pStyle w:val="QUOTE"/>
        <w:rPr/>
      </w:pPr>
      <w:r>
        <w:rPr/>
        <w:t xml:space="preserve">From my experience in McKinsey, I guess I could see the difference that smart people could make to a business.  I also knew how few of these top people the oil majors had to run their huge empires.  So the top priority was to create a group that would be the smartest in the industry.  (See </w:t>
      </w:r>
      <w:r>
        <w:rPr>
          <w:b/>
        </w:rPr>
        <w:t>Exhibit 3</w:t>
      </w:r>
      <w:r>
        <w:rPr/>
        <w:t xml:space="preserve"> for early EFC hires.)</w:t>
      </w:r>
    </w:p>
    <w:p>
      <w:pPr>
        <w:pStyle w:val="Normal"/>
        <w:rPr/>
      </w:pPr>
      <w:r>
        <w:rPr/>
        <w:t>One of his first recruits was Andy Fastow, an expert in securitization of wholesale deals with Continental Bank in Chicago.  Fastow, who later became Enron’s CFO, recalled the interview:</w:t>
      </w:r>
    </w:p>
    <w:p>
      <w:pPr>
        <w:pStyle w:val="QUOTE"/>
        <w:rPr/>
      </w:pPr>
      <w:r>
        <w:rPr/>
        <w:t>When I admitted I was concerned that I had no energy industry experience, Jeff told me he regarded that as an asset.  He welcomed outsiders because he wanted people who would bring new thinking to a tradition-bound business.  His vision was to attract the brightest people he could and give them the best tools.  Our first priority was to help develop some of those tools.</w:t>
      </w:r>
    </w:p>
    <w:p>
      <w:pPr>
        <w:pStyle w:val="BodyTextIndent"/>
        <w:spacing w:lineRule="auto" w:line="240"/>
        <w:rPr/>
      </w:pPr>
      <w:r>
        <w:rPr/>
        <w:t xml:space="preserve">In addition to hiring outsiders, Skilling also structured compensation in EFC differently from Enron’s existing seniority-based salary approach.  While offering competitive base salaries, he set up a powerful performance-based bonus, payable to everyone in his group, including administrative assistants, if objectives were achieved.  But the biggest difference was in the long-term compensation, a phantom stock program that granted options tied to EFC’s results.  (See </w:t>
      </w:r>
      <w:r>
        <w:rPr>
          <w:b/>
        </w:rPr>
        <w:t>Exhibit 4</w:t>
      </w:r>
      <w:r>
        <w:rPr/>
        <w:t xml:space="preserve"> for compensation package data.)  Gene Humphrey, another early EFC hire, explained Skilling’s personnel philosophy:</w:t>
      </w:r>
    </w:p>
    <w:p>
      <w:pPr>
        <w:pStyle w:val="QUOTE"/>
        <w:rPr/>
      </w:pPr>
      <w:r>
        <w:rPr/>
        <w:t>It was all about creating an atmosphere of deliberately breaking the rules.  For example, our official vacation policy was that you could take as much as you wanted whenever you wanted as long as you delivered your results.  It drove the human resource department crazy.</w:t>
      </w:r>
    </w:p>
    <w:p>
      <w:pPr>
        <w:pStyle w:val="Normal"/>
        <w:rPr/>
      </w:pPr>
      <w:r>
        <w:rPr/>
        <w:t xml:space="preserve">Such radically different HR policies only added to the widespread concern, suspicion and resentment that many in the core pipeline businesses felt towards the upstart EFC.  Rather than hardware, EFC focused on software, and instead of delivering gas, they developed financial instruments.  But worst of all, EFC was spending funds generated by the pipelines business, yet even after a year of frenetic activity, it didn’t seem to have a viable business.  First, Skilling’s Gas Bank concept seemed to be struggling; then, a joint venture with Bankers Trust collapsed; finally, the computer with EFC’s much-vaunted book of buy and sell contracts crashed, erasing all records.  </w:t>
      </w:r>
    </w:p>
    <w:p>
      <w:pPr>
        <w:pStyle w:val="BodyTextIndent"/>
        <w:spacing w:lineRule="auto" w:line="240"/>
        <w:rPr/>
      </w:pPr>
      <w:r>
        <w:rPr/>
        <w:t>As Skilling later admitted, “Conceptually, our business model was very elegant, but nothing was working.  I went home every night thinking, ‘Oh, my God—what have I done?’”  Soon after reconstituting the lost computerized order book, however, EFC booked a 23-year, 1.3-billion supply contract with the New York Power Authority.  “Almost immediately, we turned the corner and never looked back,” said Skilling.</w:t>
      </w:r>
    </w:p>
    <w:p>
      <w:pPr>
        <w:pStyle w:val="Heading2"/>
        <w:ind w:hanging="0" w:start="0"/>
        <w:rPr/>
      </w:pPr>
      <w:r>
        <w:rPr/>
        <w:t>Sparking New Initiatives</w:t>
      </w:r>
    </w:p>
    <w:p>
      <w:pPr>
        <w:pStyle w:val="Normal"/>
        <w:rPr/>
      </w:pPr>
      <w:r>
        <w:rPr/>
        <w:t>Much of EFC’s early work was to develop sources of supply for the Gas Bank concept.  However, since producers were reluctant to make long-term volume commitments in return for price guarantees, Skilling challenged his small team to create the products and do the deals that would get around the problem.  Over the following months and years, individuals in EFC developed a variety of innovative instruments.  For example, Gene Humphrey recognized that at a time when many banks were in trouble, the energy industry was capital starved.  His solution was to offer capital to producers in return for forward commitments of their production.  When this created a problem of how to fund the debt and to keep it off Enron’s recovering balance sheet, Andy Fastow developed a number of products that unbundled the risks implicit in the production loans—the development risk, production risk, price risk, interest rate risk—repackaging them for sale as specialized securities to different buyers, from banks to insurance companies to pension funds.</w:t>
      </w:r>
    </w:p>
    <w:p>
      <w:pPr>
        <w:pStyle w:val="BodyTextIndent"/>
        <w:spacing w:lineRule="auto" w:line="240"/>
        <w:rPr/>
      </w:pPr>
      <w:r>
        <w:rPr/>
        <w:t>As these new supply-securing instruments were created, it became clear that linking EFC to Enron Gas Marketing, a group dealing primarily in spot market gas sales, would be beneficial.  Working together, the two groups could better serve both the demand and supply sides of Enron’s developing merchant function.  In January 1991, the units were merged, creating Enron Gas Services (EGS).  However, the merger created challenges for some who came from more traditional parts of Enron.  Mark Frevert, an early transfer, explained:</w:t>
      </w:r>
    </w:p>
    <w:p>
      <w:pPr>
        <w:pStyle w:val="QUOTE"/>
        <w:rPr/>
      </w:pPr>
      <w:r>
        <w:rPr/>
        <w:t>In the core pipeline business, things were very hierarchical and structured.  There was a lot of focus on titles and job descriptions, and pay grades were clearly defined.  EGS was completely opposite.  The only thing that mattered was whether you added value.  Some couldn’t make the change—I loved it.  Jeff gave me three people and asked me to focus on selling gas to independent power companies.</w:t>
      </w:r>
    </w:p>
    <w:p>
      <w:pPr>
        <w:pStyle w:val="BodyTextIndent"/>
        <w:spacing w:lineRule="auto" w:line="240"/>
        <w:rPr/>
      </w:pPr>
      <w:r>
        <w:rPr/>
        <w:t>Again, a small group of capable individuals was given a stretching goal, a performance-linked incentive, and a great deal of freedom to act.  Frevert and his team created Enron Power Services and soon were putting together deals.  A complex, 20-year contract with Sithe Energies to supply gas to a 1,000 megawatt cogeneration facility was a milestone for EGS—a deal that not only generated significant revenue but also gave EGS the credibility it badly needed within Enron.</w:t>
      </w:r>
    </w:p>
    <w:p>
      <w:pPr>
        <w:pStyle w:val="Normal"/>
        <w:rPr/>
      </w:pPr>
      <w:r>
        <w:rPr/>
        <w:t>Not surprisingly, challenging stretch goals, an unstructured environment and a freewheeling entrepreneurial culture didn’t sit well with everyone.  Gene Humphrey explained, “You were expected to perform to a standard that was continually being raised.  It could be very stressful.  I know people who left Enron for more structured companies and feel better.  It wasn’t for everybody.”</w:t>
      </w:r>
    </w:p>
    <w:p>
      <w:pPr>
        <w:pStyle w:val="BodyTextIndent"/>
        <w:spacing w:lineRule="auto" w:line="240"/>
        <w:rPr/>
      </w:pPr>
      <w:r>
        <w:rPr/>
        <w:t xml:space="preserve">Within EGS, there were also many failures.  To manage efforts to secure gas supply on one side and to lock in demand on the other, Skilling created a trading function under Lou Pai, another internal transfer from Enron Gas Marketing.  After overseeing the collapse of the trading joint venture with Bankers Trust, trying to revive the Gas Bank concept, and managing the aftermath of the computer crash, Pai created an instrument he called a Gas Trust.  Designed to package portfolios of gas contracts for sale to the public, this too failed to take off in the market.  Yet despite all these setbacks, Pai persisted, and, eventually, created one of Enron’s most successful businesses.   </w:t>
      </w:r>
    </w:p>
    <w:p>
      <w:pPr>
        <w:pStyle w:val="Heading2"/>
        <w:ind w:hanging="0" w:start="0"/>
        <w:rPr/>
      </w:pPr>
      <w:r>
        <w:rPr/>
        <w:t>The Emerging Culture, The New Incentives</w:t>
      </w:r>
    </w:p>
    <w:p>
      <w:pPr>
        <w:pStyle w:val="Normal"/>
        <w:rPr/>
      </w:pPr>
      <w:r>
        <w:rPr/>
        <w:t>The new EGS entity soon began to grow rapidly.  A year after absorbing Enron Gas Marketing, EGS integrated HPL, the company’s intrastate pipeline company.  Soon after, the gas liquids business was included, adding physical gathering and delivery to EGS’s range of merchant services.  Taking over the 31</w:t>
      </w:r>
      <w:r>
        <w:rPr>
          <w:vertAlign w:val="superscript"/>
        </w:rPr>
        <w:t>st</w:t>
      </w:r>
      <w:r>
        <w:rPr/>
        <w:t xml:space="preserve"> floor of the Enron Building, Skilling wanted to create an entirely different work environment from the enclosed offices, formal décor and hushed atmosphere that characterized the activity on other floors of the building.  He explained:</w:t>
      </w:r>
    </w:p>
    <w:p>
      <w:pPr>
        <w:pStyle w:val="QUOTE"/>
        <w:rPr/>
      </w:pPr>
      <w:r>
        <w:rPr/>
        <w:t>We ripped down the walls and opened up space.  I wanted a workplace that was open and exciting—where people would constantly communicate.  We had cubicles and shared work areas, and all our offices had glass walls . . . One of our most controversial moves came when we expanded to another floor.  We didn’t want people waiting around for the slow elevators, so one weekend we had guys come in with sledgehammers and built an open staircase.</w:t>
      </w:r>
    </w:p>
    <w:p>
      <w:pPr>
        <w:pStyle w:val="Normal"/>
        <w:rPr/>
      </w:pPr>
      <w:r>
        <w:rPr/>
        <w:t>Despite EGS’s growing size and complexity, Skilling resisted creating a hierarchical structure.  Coming from McKinsey, he had a mental model of an organization working like a partnership, with few layers, a high level of commitment, and a shared stake in the results.  He envisioned an organization built on four levels - vice president, director, manager and associate/analyst - with title and level determined more by individual capabilities and value added than by size of budget or span of control.  The concept completely mystified the HR staff, who wanted to know how to allocate points to EGS’s four levels to fit them into the company’s Hay System of 25 job level classifications.  Moreover, EGS management had no job descriptions, nor were they willing to write any.  “The HR people were tearing out their hair,” Skilling said.</w:t>
      </w:r>
    </w:p>
    <w:p>
      <w:pPr>
        <w:pStyle w:val="Normal"/>
        <w:rPr/>
      </w:pPr>
      <w:r>
        <w:rPr/>
        <w:t>Another innovation Skilling adopted from his McKinsey experience was to change the classic superior-driven evaluation process to a peer-review process managed by a Performance Review Committee (PRC).  A select group of twenty people who “got it” were appointed to the PRC to rank all the VPs, then all the directors, then all the managers.  In doing so, they evaluated input from each individual’s boss, colleagues, employees and customers.  Skilling, who sat in on all the review meetings, developed four basic rules for the PRCs: discussions were absolutely confidential; only current, first-hand, professional performance was considered (“no old tapes, no hearsay, no gossip”); PRC members took a total Enron perspective; and all ranking decisions were reached with consensus.</w:t>
      </w:r>
    </w:p>
    <w:p>
      <w:pPr>
        <w:pStyle w:val="BodyTextIndent"/>
        <w:spacing w:lineRule="auto" w:line="240"/>
        <w:rPr/>
      </w:pPr>
      <w:r>
        <w:rPr/>
        <w:t>Because the process required the consensus of all 20 PRC members’ ranking of employees at each level, PRC discussions sometimes extended for several days.  Stakes were high not only because compensation was linked to the ranking, but also because—at least in the early days—the bottom 10% of the forced curve were terminated.  Skilling explained:</w:t>
      </w:r>
    </w:p>
    <w:p>
      <w:pPr>
        <w:pStyle w:val="QUOTE"/>
        <w:rPr/>
      </w:pPr>
      <w:r>
        <w:rPr/>
        <w:t xml:space="preserve">The PRC sent a clear message that your job was no longer a function of your hierarchical position.  What’s more, everyone could see who our most capable individuals were, so people started moving.  And it stopped most of the game playing since it was impossible to kiss 20 asses.  It also improved the quality of feedback and made people face the reality of a consensus evaluation.  The PRC was the most important thing for forging a new strategy and culture at Enron. </w:t>
      </w:r>
    </w:p>
    <w:p>
      <w:pPr>
        <w:pStyle w:val="BodyTextIndent"/>
        <w:spacing w:lineRule="auto" w:line="240"/>
        <w:rPr/>
      </w:pPr>
      <w:r>
        <w:rPr/>
        <w:t xml:space="preserve">Although he was clear that he wanted to eliminate the earlier bias towards rewarding on the basis of management responsibility measures, such as the size of one’s organization, Skilling refused to follow the merchant banking norm of tying traders’ compensation to the profits they generated.  Arguing that such incentives would lead people to take unacceptable risks, he focused evaluations primarily on subjective evaluations of personal capabilities such as teamwork, communication, leadership, and business instinct.  (See </w:t>
      </w:r>
      <w:r>
        <w:rPr>
          <w:b/>
        </w:rPr>
        <w:t xml:space="preserve">Exhibits 5 </w:t>
      </w:r>
      <w:r>
        <w:rPr/>
        <w:t>and</w:t>
      </w:r>
      <w:r>
        <w:rPr>
          <w:b/>
        </w:rPr>
        <w:t xml:space="preserve"> 6</w:t>
      </w:r>
      <w:r>
        <w:rPr/>
        <w:t>.)  “It quickly became very clear that your ability to structure a good deal or build a business was much more important than your ability either to manage an empire or roll the dice,” recalled one manager.</w:t>
      </w:r>
    </w:p>
    <w:p>
      <w:pPr>
        <w:pStyle w:val="Normal"/>
        <w:rPr/>
      </w:pPr>
      <w:r>
        <w:rPr/>
        <w:t xml:space="preserve">By 1992 Skilling felt the culture was ready to bring in a fresh group of young talent.  However, instead of recruiting from mid-tier engineering schools, Enron’s traditional talent source, he targeted top-level undergraduate colleges and business schools.  (See </w:t>
      </w:r>
      <w:r>
        <w:rPr>
          <w:b/>
        </w:rPr>
        <w:t>Exhibit 7</w:t>
      </w:r>
      <w:r>
        <w:rPr/>
        <w:t xml:space="preserve"> for targeted schools.)  Offering a McKinsey-like associate/analysts program, he opened attractive opportunities by replacing his experienced staff managers with fresh MBAs:</w:t>
      </w:r>
    </w:p>
    <w:p>
      <w:pPr>
        <w:pStyle w:val="QUOTE"/>
        <w:rPr/>
      </w:pPr>
      <w:r>
        <w:rPr/>
        <w:t>It was a controversial move, but a lot of our staff guys were just too conservative.  In addition to killing ideas, they were occupying some of our best training slots.  The associate/analysts injected a whole new energy into the group—and more importantly, we were now on the radar screen of the business schools.</w:t>
      </w:r>
    </w:p>
    <w:p>
      <w:pPr>
        <w:pStyle w:val="Normal"/>
        <w:rPr/>
      </w:pPr>
      <w:r>
        <w:rPr/>
        <w:t xml:space="preserve">Within just three years, Skilling had built his tiny start-up group from a marginal financial activity to a 1000-person, full-service merchant organization that had become the second largest contributor to Enron’s bottom line.  A hotbed of entrepreneurial activity and an engine of growth for the company, EGS grew its operations to comprise more than a dozen business units, each offering a unique, specialized set of financial products and energy services to customers at both ends of the gas pipeline.  (See </w:t>
      </w:r>
      <w:r>
        <w:rPr>
          <w:b/>
        </w:rPr>
        <w:t>Exhibit 8</w:t>
      </w:r>
      <w:r>
        <w:rPr/>
        <w:t xml:space="preserve"> for EGS’s portfolio of units in 1993.)  </w:t>
      </w:r>
    </w:p>
    <w:p>
      <w:pPr>
        <w:pStyle w:val="Heading1"/>
        <w:ind w:hanging="0" w:start="0"/>
        <w:rPr/>
      </w:pPr>
      <w:r>
        <w:rPr/>
        <w:t>The Mid-1990s: New Vision, New Initiatives</w:t>
      </w:r>
    </w:p>
    <w:p>
      <w:pPr>
        <w:pStyle w:val="Normal"/>
        <w:rPr/>
      </w:pPr>
      <w:r>
        <w:rPr/>
        <w:t>At the end of 1994, Ken Lay declared that Enron’s 1990 vision to become “the world’s first natural gas major” had been achieved.  While continuing to build its pipeline and exploration businesses (Enron was the largest natural gas company in the U.S.), in the early-1990s, the company had also succeeded in its two major new initiatives—EGS’s expanded wholesale trading capabilities and a major international expansion.</w:t>
      </w:r>
      <w:r>
        <w:rPr>
          <w:rStyle w:val="FootnoteCharacters"/>
          <w:rStyle w:val="FootnoteReference"/>
        </w:rPr>
        <w:footnoteReference w:id="2"/>
      </w:r>
      <w:r>
        <w:rPr/>
        <w:t xml:space="preserve">  Rather than letting the organization rest on its laurels, the CEO simply set its sights on a higher goal—to become “the world’s leading energy company.”</w:t>
      </w:r>
    </w:p>
    <w:p>
      <w:pPr>
        <w:pStyle w:val="Normal"/>
        <w:rPr/>
      </w:pPr>
      <w:r>
        <w:rPr/>
        <w:t>While leaving his businesses lots of room on how to achieve the new vision, Lay did translate it into some specific stretching performance targets.  Under the heading “Enron 2000,” he set a milestone goal of achieving $1 billion in net income by 2000, an objective that would require a compound annual earnings growth rate of 15%.  Yet his expectation was that the company continue to grow through internally funded self-renewal, rather than by issuing additional stock or making major acquisitions.  This represented quite a challenge for his management team.</w:t>
      </w:r>
    </w:p>
    <w:p>
      <w:pPr>
        <w:pStyle w:val="Heading2"/>
        <w:ind w:hanging="0" w:start="0"/>
        <w:rPr/>
      </w:pPr>
      <w:r>
        <w:rPr/>
        <w:t>Planting Seeds in the Merchant Business</w:t>
      </w:r>
    </w:p>
    <w:p>
      <w:pPr>
        <w:pStyle w:val="Normal"/>
        <w:rPr/>
      </w:pPr>
      <w:r>
        <w:rPr/>
        <w:t>Just as Lay was getting ready to announce his Enron 2000 goal, Skilling felt that growth in the merchant business was slowing down.  In part due to Enron’s success, competitors began following some of the company’s product and market innovations.  This was particularly true in the finance field where banks began matching Enron’s production payments and other financial products, driving down margins as they entered.  Skilling recalled the period:</w:t>
      </w:r>
    </w:p>
    <w:p>
      <w:pPr>
        <w:pStyle w:val="QUOTE"/>
        <w:rPr/>
      </w:pPr>
      <w:r>
        <w:rPr/>
        <w:t>We were losing steam.  I realized that if we were going to continue our rapid growth, we had to begin building some new businesses.  We had to start some initiatives to help figure out what we were going to become.  And we knew we had to plant lots of seeds because 80% of them are not going to grow.</w:t>
      </w:r>
    </w:p>
    <w:p>
      <w:pPr>
        <w:pStyle w:val="Normal"/>
        <w:rPr/>
      </w:pPr>
      <w:r>
        <w:rPr/>
        <w:t xml:space="preserve">In the wake of new federal legislation that opened the door to the deregulation of the electric power industry—estimated to be at least ten times larger than the natural gas market—in 1994, Skilling created a power marketing group, whose challenge was to build a portfolio of products and services for the power industry similar to those it created for the gas sector.  (Shortly after the power marketing business was established, EGS recognized that it had outgrown its Gas Services name.  From 1994, it became known as Enron Capital and Trade Resources or ECT.) Having seen how successful Enron had been in the gas merchant market, however, it was not surprising that many others—including most large electric utilities—also moved into the newly opening power trading field.  But ECT’s highly developed knowledge and expertise allowed it to dominate the field of more than 40 entrants.  By 1995, ECT had taken 29% of the non-regulated wholesale power market. </w:t>
      </w:r>
    </w:p>
    <w:p>
      <w:pPr>
        <w:pStyle w:val="Normal"/>
        <w:rPr/>
      </w:pPr>
      <w:r>
        <w:rPr/>
        <w:t xml:space="preserve">At about the same time, Jeff Skilling asked Mark Frevert to head a task force to look at opportunities for setting up a merchant function in Europe.  The initiative was triggered in part by a potential problem emerging in the company’s huge Teesside project.  To ensure its gas source, Enron had signed contracts requiring it to purchase gas at a set price from J Block in the North Sea.  With market prices dropping below the J Block contract price, Enron’s then-president, Rich Kinder, asked Skilling to use ECT’s financial expertise and trading experience to find a solution.  </w:t>
      </w:r>
    </w:p>
    <w:p>
      <w:pPr>
        <w:pStyle w:val="Normal"/>
        <w:rPr/>
      </w:pPr>
      <w:r>
        <w:rPr/>
        <w:t>Despite the task force’s report describing the U.K. market as small and undeveloped, and the vast majority of the Continental market as closed and unavailable, Skilling decided it was time to plant some seeds in Europe.  Focusing first on protecting and enhancing the value of its Teesside assets, ECT began developing risk management and trading function in Enron’s London office in late 1994.  By 1995, operations had extended to other opening European and former Soviet Union markets, including the Nordic region, Germany, Poland, Latvia and Moscow.</w:t>
      </w:r>
    </w:p>
    <w:p>
      <w:pPr>
        <w:pStyle w:val="Normal"/>
        <w:rPr/>
      </w:pPr>
      <w:r>
        <w:rPr/>
        <w:t>A third major initiative taking root in ECT in the mid-1990s was aimed at exploiting the state-by-state deregulation of retail level energy supply.  At $300 billion - three times the size of local and long distance telephone - the retail market for gas and electricity represented enormous potential.  In 1995, a separate retail services unit began offering its expertise in restructuring contracts and managing risk to local distribution companies that had the customers, delivery capabilities, and regulatory relationships to take advantage of the new opportunities.</w:t>
      </w:r>
    </w:p>
    <w:p>
      <w:pPr>
        <w:pStyle w:val="Heading2"/>
        <w:ind w:hanging="0" w:start="0"/>
        <w:rPr/>
      </w:pPr>
      <w:r>
        <w:rPr/>
        <w:t>"Loose-Tight" Management</w:t>
      </w:r>
    </w:p>
    <w:p>
      <w:pPr>
        <w:pStyle w:val="Normal"/>
        <w:rPr/>
      </w:pPr>
      <w:r>
        <w:rPr/>
        <w:t>As these and other initiatives propelled a new flurry of activity in ECT, Skilling became concerned that the diversity of activity and the pace of change had the potential for stretching existing controls beyond their limits.  Since his earliest days in Enron, Skilling had practiced and preached a “loose-tight” management model—another inheritance from his McKinsey days where the concepts had been developed by his colleagues Tom Peters and Bob Waterman.  Philosophically, he believed that management could only empower an organization if it could ensure that the company would not be exposed to unreasonable risk or lose control of key resources.  He translated that belief into his “loose-tight” framework:</w:t>
      </w:r>
    </w:p>
    <w:p>
      <w:pPr>
        <w:pStyle w:val="QUOTE"/>
        <w:rPr/>
      </w:pPr>
      <w:r>
        <w:rPr/>
        <w:t>There are four things we control very tightly—risk management, legal commitments, finance, and performance evaluation and compensation.  As long as you clear your deals or business ideas through those screens, you can do whatever you want around here.  We want people to ask questions and be creative, but you can get fired if you sign a contract committing Enron without clearing it.</w:t>
      </w:r>
    </w:p>
    <w:p>
      <w:pPr>
        <w:pStyle w:val="Normal"/>
        <w:rPr/>
      </w:pPr>
      <w:r>
        <w:rPr>
          <w:rFonts w:eastAsia="Palatino;Book Antiqua"/>
        </w:rPr>
        <w:t xml:space="preserve"> </w:t>
      </w:r>
      <w:r>
        <w:rPr/>
        <w:t xml:space="preserve">In 1994 Skilling felt that creativity and initiative were strong in ECT, but wanted to strengthen the “tight” part of his “loose-tight” model.  He recruited Rick Buy, a credit control expert from Bankers Trust who had experience in energy transactions.  Buy confirmed Skilling’s insight that it was time for tighter risk management.  Soon after Enron’s board became aware of the major potential liability it faced on the J Block contract, risk management became even more central to the company’s decision-making processes.  From his role leading a ten-person team that focused on credit risks in the trading operations, Buy soon found himself heading a staff of 50 people implementing a sophisticated process called Risk Assessment and Control (or RAC).  Using computer models and expert analysis, the RAC group was responsible for assessing financial and non-financial risks of all Enron’s significant businesses, projects and contracts.  Discounting for the risks involved, they assessed a probable return and allocated a RAC capital rate.  The analysis was summarized in a deal approval sheet that gave one of three recommendations: proceed, proceed (but underpriced), or do not proceed.  (See </w:t>
      </w:r>
      <w:r>
        <w:rPr>
          <w:b/>
        </w:rPr>
        <w:t>Exhibit 10</w:t>
      </w:r>
      <w:r>
        <w:rPr/>
        <w:t xml:space="preserve">.)  Depending on the nature and size of transaction, it was then channeled to the appropriate level of management for approval.  (See </w:t>
      </w:r>
      <w:r>
        <w:rPr>
          <w:b/>
        </w:rPr>
        <w:t>Exhibit</w:t>
      </w:r>
      <w:r>
        <w:rPr/>
        <w:t xml:space="preserve"> </w:t>
      </w:r>
      <w:r>
        <w:rPr>
          <w:b/>
        </w:rPr>
        <w:t>11</w:t>
      </w:r>
      <w:r>
        <w:rPr/>
        <w:t>.)  Buy, who was later named Enron’s Chief Risk Officer, explained the impact of RAC analysis:</w:t>
      </w:r>
    </w:p>
    <w:p>
      <w:pPr>
        <w:pStyle w:val="QUOTE"/>
        <w:rPr/>
      </w:pPr>
      <w:r>
        <w:rPr/>
        <w:t>A lot of our capital-intensive international deals started looking a lot less attractive after we factored in things like currency risk and default probability.  Some parts of the organization didn’t want to hear that.  We were a speed bump they would prefer to drive around . . . But we try to work with business unit people to keep the risk pendulum in the middle—between the total freedom that creates a J Block situation and rigid control that kills entrepreneurship.</w:t>
      </w:r>
    </w:p>
    <w:p>
      <w:pPr>
        <w:pStyle w:val="Heading2"/>
        <w:ind w:hanging="0" w:start="0"/>
        <w:rPr/>
      </w:pPr>
      <w:r>
        <w:rPr/>
        <w:t>Free Market for Talent</w:t>
      </w:r>
    </w:p>
    <w:p>
      <w:pPr>
        <w:pStyle w:val="BodyTextIndent"/>
        <w:spacing w:lineRule="auto" w:line="240"/>
        <w:rPr/>
      </w:pPr>
      <w:r>
        <w:rPr/>
        <w:t>ECT’s new round of initiatives also tested another growing organizational principle —a belief in an open market for talent.  (The commitment to a meritocracy was reflected in an Enron poster displayed in many offices that pronounced, “Even the smallest cubicle has no ceiling.”)  As Skilling explained, many of his changes were designed “to allow the best people to follow the best ideas”:</w:t>
      </w:r>
    </w:p>
    <w:p>
      <w:pPr>
        <w:pStyle w:val="QUOTE"/>
        <w:rPr/>
      </w:pPr>
      <w:r>
        <w:rPr/>
        <w:t xml:space="preserve">The PRC process helped by creating an open book on where the best talent lay.  Everyone knew who the best people were and wanted to get them on their team. . . .  Then, because our compensation rewarded business building not just the size of your responsibility, the good people who previously were locked into servicing their large annuity customers were now willing to move on and create new growth opportunities. . . . And by making titles a function of the person, not the job, people could move to new small start-ups and keep their old titles. </w:t>
      </w:r>
    </w:p>
    <w:p>
      <w:pPr>
        <w:pStyle w:val="BodyTextIndent"/>
        <w:spacing w:lineRule="auto" w:line="240"/>
        <w:rPr/>
      </w:pPr>
      <w:r>
        <w:rPr/>
        <w:t>As the free market for talent concept took hold, mobility became the driver of an individual’s development, with many Enron employees reporting that the opportunity for internal professional growth was the biggest factor keeping them in Enron.  Although external turnover was only 4%, internal turnover, which wasn’t tracked at Enron, was much higher.  With most moves initiated by the individual job changer, it wasn’t unusual for a person to change jobs two to three times in two years.  Indeed, the belief in the concept that “the best ideas will attract the best people” was so strong that management actually watched the flow of people as an indicator of the value of a new initiative.  Said Skilling, “I can tell where the best ideas are when I see people moving.  Then I throw more resources behind them.”</w:t>
      </w:r>
    </w:p>
    <w:p>
      <w:pPr>
        <w:pStyle w:val="BodyTextIndent"/>
        <w:spacing w:lineRule="auto" w:line="240"/>
        <w:rPr/>
      </w:pPr>
      <w:r>
        <w:rPr/>
        <w:t>By the mid-1990s, ECT was deploying large numbers of people behind promising new ideas.  For example, when Ken Rice started up the power marketing group, Skilling encouraged him to resource it aggressively to build the market much faster than they had in natural gas.  Despite the fact that no market existed at the time, Rice found no difficulty in attracting 70 people into his startup business unit.  When Mark Frevert went to London to build a greater presence in Europe, he grew the staff from 50 in 1994 to 250 by 1996 by signing up talent interested in being part of international expansion, including several of the company’s best and brightest VPs.  As Skilling observed, “Mark has always been able to build businesses because he can attract the best people.  He gives them lots of space so they like working for him.”</w:t>
      </w:r>
    </w:p>
    <w:p>
      <w:pPr>
        <w:pStyle w:val="Normal"/>
        <w:rPr/>
      </w:pPr>
      <w:r>
        <w:rPr/>
        <w:t>The market for talent had its problems, however.  Several managers complained about the difficulties caused when waves of people wanted to move to the latest hot business.  Some employees became too mobile and management had to counsel them to slow down so they could develop a track record.  However, most viewed the disruption as a reasonable price to pay for the flexible responsiveness it provided.  Said Frevert:</w:t>
      </w:r>
    </w:p>
    <w:p>
      <w:pPr>
        <w:pStyle w:val="QUOTE"/>
        <w:rPr/>
      </w:pPr>
      <w:r>
        <w:rPr/>
        <w:t>I recently lost 50 people to a couple of internal new businesses.  It hurts, but you have to recognize that it’s adding value for the corporation . . . There’s only one way to deal with it.  You have to recruit ahead of your needs and overhire.  I was looking for people from Spain, Italy, and Germany two or three years ahead of when those markets opened.  Developing people ahead of current needs is a key to our first-mover capability—and it gives us a cushion in the internal talent transfers.</w:t>
      </w:r>
    </w:p>
    <w:p>
      <w:pPr>
        <w:pStyle w:val="Heading2"/>
        <w:ind w:hanging="0" w:start="0"/>
        <w:rPr/>
      </w:pPr>
      <w:r>
        <w:rPr/>
        <w:t>Creating an Information Advantage</w:t>
      </w:r>
    </w:p>
    <w:p>
      <w:pPr>
        <w:pStyle w:val="BodyTextIndent"/>
        <w:spacing w:lineRule="auto" w:line="240"/>
        <w:rPr/>
      </w:pPr>
      <w:r>
        <w:rPr/>
        <w:t xml:space="preserve">From the earliest days of Enron’s upstart merchant function, Skilling had recognized the need for information to flow more freely.  His insistence on taking down walls and creating open discussion in forums like the PRC served that purpose.  The commitment to sharing information was reflected in oft-repeated phrases such as, “facts are friendly” or “ideas are our currency,” and creativity was fostered by what one manager called "the random collision of ideas.”  The physical environment reinforced the communications-intensive, high-energy culture.  In addition to pumping out company videos and CNN Financial News feeds, monitors in the corporate office elevators informed employees about Enron’s new business initiatives or reminded them about open meetings and online discussion forums with Enron executives.  Company posters reinforced themes, and the walls in the trading room were write-and-wash to encourage message posting and extemporaneous diagramming. </w:t>
      </w:r>
    </w:p>
    <w:p>
      <w:pPr>
        <w:pStyle w:val="BodyTextIndent"/>
        <w:spacing w:lineRule="auto" w:line="240"/>
        <w:rPr/>
      </w:pPr>
      <w:r>
        <w:rPr/>
        <w:t xml:space="preserve">The larger and more diverse operations became, the more management recognized the importance of capturing, applying and leveraging its worldwide access to information and expertise.  Building on the early informal networks, Skilling began to invest in advanced information technology to support traders and business managers.  By the mid-1990s he acknowledged spending “at a $70 million annual rate” on IT, and planned to invest even more.  In this development effort, however, it was the traders, not the programmers, who led new IS design projects ensuring that information was aggregated, analyzed, and displayed in ways that met their needs.  </w:t>
      </w:r>
    </w:p>
    <w:p>
      <w:pPr>
        <w:pStyle w:val="BodyTextIndent"/>
        <w:spacing w:lineRule="auto" w:line="240"/>
        <w:rPr/>
      </w:pPr>
      <w:r>
        <w:rPr/>
        <w:t>By harnessing these rich and sophisticated information systems, Enron traders could scan vast amounts of data to identify profitable arbitrage opportunities or creative ways to reconfigure and repackage large blocks of power.  For example, during extreme weather, when gas prices could spike overnight, Enron’s information on gas and electricity prices and availability in different parts of the United States allowed the company to structure and execute advantageous deals by moving, substituting and trading gas and power around the country.  Commented Andy Fastow:</w:t>
      </w:r>
    </w:p>
    <w:p>
      <w:pPr>
        <w:pStyle w:val="QUOTE"/>
        <w:rPr/>
      </w:pPr>
      <w:r>
        <w:rPr/>
        <w:t>We don’t just arbitrage gas markets in a region, we can arbitrage between gas and power and across geographic areas.  Our clients make money and we make money because of the information we have in our system about prices and supply.</w:t>
      </w:r>
    </w:p>
    <w:p>
      <w:pPr>
        <w:pStyle w:val="Normal"/>
        <w:rPr/>
      </w:pPr>
      <w:r>
        <w:rPr/>
        <w:t>A significant investment in IT was also necessary to support the increasingly complex risk management system.  Not only did the risk management group monitor and manage positions and exposure in each of the business “books” (London Power, North American Gas, Exotic Options, etc.), it also linked all these trading systems to an integrated company-wide risk-managed portfolio through a system known as “Risk tRAC.”  In the words of one trader, “No competitor comes close to our commitment to information management.”</w:t>
      </w:r>
    </w:p>
    <w:p>
      <w:pPr>
        <w:pStyle w:val="Normal"/>
        <w:rPr/>
      </w:pPr>
      <w:r>
        <w:rPr/>
        <w:t>Yet despite the huge amount of information available and the financial commitment made to supporting IS and IT, some felt that Enron could do more.  One of the most vocal champions of exploiting Enron’s “information advantage” was John Sherriff, who moved from the United States to Europe in 1996 to head up Enron’s European gas and power marketing initiatives:</w:t>
      </w:r>
    </w:p>
    <w:p>
      <w:pPr>
        <w:pStyle w:val="QUOTE"/>
        <w:rPr/>
      </w:pPr>
      <w:r>
        <w:rPr/>
        <w:t>We had lots of information flowing around in our meetings and on our systems, but nobody talked about an “information advantage.”  In Europe, we decided we would start measuring, monitoring, and talking about how we could use the information to drive our business.  We told our heads of trading we were giving them a valuable resource and we wanted them to use it for competitive advantage.</w:t>
      </w:r>
    </w:p>
    <w:p>
      <w:pPr>
        <w:pStyle w:val="Normal"/>
        <w:rPr/>
      </w:pPr>
      <w:r>
        <w:rPr/>
        <w:t xml:space="preserve">In 1996, Sherriff and his team discovered the organization was accessing 25 million pieces of information a day.  Four years later, that number had grown to 500 million pieces a day. </w:t>
      </w:r>
    </w:p>
    <w:p>
      <w:pPr>
        <w:pStyle w:val="Heading1"/>
        <w:ind w:hanging="0" w:start="0"/>
        <w:rPr/>
      </w:pPr>
      <w:r>
        <w:rPr/>
        <w:t>Closing Out the Decade: Entrepreneurship Unleashed</w:t>
      </w:r>
    </w:p>
    <w:p>
      <w:pPr>
        <w:pStyle w:val="Normal"/>
        <w:rPr/>
      </w:pPr>
      <w:r>
        <w:rPr/>
        <w:t>In his March 1998 Shareholders’ Letter, Ken Lay described the previous year’s results as “unacceptable.”  The final resolution of the J Block North Sea gas contract led to a $675 million write-off, halting the 22% average annual growth in the company’s stock price since 1990.  Yet behind that shock, the ongoing performance of the core operations continued to grow and prosper.  Now managed as four integrated global businesses, each played a key strategic role: Exploration and Production was in an intrinsically risky and capital-intensive business, but through a hedging strategy, Enron had captured the opportunity while reducing the risk; Transportation and Distribution, including both the gas pipeline operations and the electricity transmission and distribution business acquired in a 1997 merger with Portland General Electric, was a reliable source of steady growth, earnings, and cash flow; Wholesale Energy, which encompassed ECT’s merchant expertise backed by a physical delivery network, represented Enron’s major source of growth through the 1990s; and Enron Energy Services, a spin-off of the retail start-up business born under ECT’s sponsorship, was seen as a major source of future growth as an energy management outsourcing business for industry and commerce.</w:t>
      </w:r>
    </w:p>
    <w:p>
      <w:pPr>
        <w:pStyle w:val="Normal"/>
        <w:rPr/>
      </w:pPr>
      <w:r>
        <w:rPr/>
        <w:t xml:space="preserve">Despite the difficult year in 1997, Lay and Skilling (who had been promoted to become Enron’s President and COO in 1997) reaffirmed Enron’s core beliefs and committed to its continued growth and renewal.  They again emphasized that the philosophy was based on a belief in the causal linkage between deregulation, choice, competition, and creativity; they reemphasized that Enron’s embedded cultural norms were a passion for competition, a talent for anticipating trends, an openness to “out-of-the box” thinking, and a willingness to take disciplined risk; and they confirmed the operating principles that reinforced these norms: hire the best, give them authority, and promote creativity.  The decade-long effort of putting this all in place was paying off: in 1997 </w:t>
      </w:r>
      <w:r>
        <w:rPr>
          <w:i/>
        </w:rPr>
        <w:t>Fortune</w:t>
      </w:r>
      <w:r>
        <w:rPr/>
        <w:t xml:space="preserve">  magazine named Enron the most innovative company in America for the second year in a row.</w:t>
      </w:r>
    </w:p>
    <w:p>
      <w:pPr>
        <w:pStyle w:val="Heading2"/>
        <w:ind w:hanging="0" w:start="0"/>
        <w:rPr/>
      </w:pPr>
      <w:r>
        <w:rPr/>
        <w:t>Bottom-Up Initiatives</w:t>
      </w:r>
    </w:p>
    <w:p>
      <w:pPr>
        <w:pStyle w:val="Normal"/>
        <w:rPr/>
      </w:pPr>
      <w:r>
        <w:rPr/>
        <w:t>While many of ECT’s earlier new business initiatives had been jump-started by Skilling or one of his top team, by the mid- and late-1990s, an increasing number of ideas and proposals were bubbling up from the front lines.  Although many initiatives died from lack of the idea champion’s commitment, top management’s sponsorship, or peers’ interest and support, several proved quite successful.  The following examples represent the variety of those that survived.</w:t>
      </w:r>
    </w:p>
    <w:p>
      <w:pPr>
        <w:pStyle w:val="Normal"/>
        <w:rPr/>
      </w:pPr>
      <w:r>
        <w:rPr/>
        <w:t>Bart Crawford, a young associate hired into ECT, came with a good understanding of the coal industry due to the fact that his father was the president of a coal company.  Seeing the possibility of transferring Enron’s package of merchant functions from gas to coal, he wrote a memo outlining his ideas to his boss, Gene Humphrey, with a copy to Skilling.  Shortly after, Skilling wandered into the 24-year-old’s office and began quizzing him on his proposal.  As Humphrey recalled, “At the end of the conversation Skilling told him that if he believed it, he should go for it.  And from that moment, he was in charge of the company’s coal trading.”  By the end of the decade, Enron had grown to be the largest coal trader in the country.</w:t>
      </w:r>
    </w:p>
    <w:p>
      <w:pPr>
        <w:pStyle w:val="Normal"/>
        <w:rPr/>
      </w:pPr>
      <w:r>
        <w:rPr/>
        <w:t>About the same time, David Cox, an ex-employee who had left to start a graphics company, recognized an opportunity when his small business was buffeted by fluctuating paper costs.  Skilling invited Cox to return to Enron and set up a business to package contracts for pulp and paper on the model of the company’s gas deals.  In 1997, the business wrote $200 million in pulp and paper contracts, and $4 billion the following year—still only 1% of the global market potential.</w:t>
      </w:r>
    </w:p>
    <w:p>
      <w:pPr>
        <w:pStyle w:val="Normal"/>
        <w:rPr/>
      </w:pPr>
      <w:r>
        <w:rPr/>
        <w:t>Meanwhile, three “twenty-something” Enron analysts were pitching a very different opportunity to Skilling and CFO Fastow.  As volunteers working with minority and women entrepreneurs in Houston, they were convinced that Enron’s involvement in financing these businesses would not only do good for the community but also represented a good business opportunity.  Skilling signed off and, in the spring of 1999, the 15-person group. raised its first $40 million venture capital fund—half funded by Enron, half raised outside.  By mid-1999, the fund had invested nearly $6.6 million in six companies with business interests as varied as Creole food services and Spanish-language education software.</w:t>
      </w:r>
    </w:p>
    <w:p>
      <w:pPr>
        <w:pStyle w:val="Normal"/>
        <w:rPr/>
      </w:pPr>
      <w:r>
        <w:rPr/>
        <w:t>In 1997, Lynda Clemmons, a 29-year-old French major working as a gas and power trader on the 31</w:t>
      </w:r>
      <w:r>
        <w:rPr>
          <w:vertAlign w:val="superscript"/>
        </w:rPr>
        <w:t>st</w:t>
      </w:r>
      <w:r>
        <w:rPr/>
        <w:t xml:space="preserve"> floor, grew fascinated by the market for emissions credits that power companies were beginning to trade.  In exploring this potential market with power company executives, she uncovered another unmet need—a product that would protect them against the risk of huge cost increases when heat waves or cold snaps caused short-term spikes in the price of power.  Her solution was to create a weather derivative designed to function as an insurance policy against extreme weather.  After checking with the legal and credit departments and eliciting help from the trading group, she took her proposal to her supervisor.  Over the next two years, Clemmons attracted 13 people to her start-up group and wrote over $1 billion in weather hedges.</w:t>
      </w:r>
    </w:p>
    <w:p>
      <w:pPr>
        <w:pStyle w:val="Normal"/>
        <w:rPr/>
      </w:pPr>
      <w:r>
        <w:rPr/>
        <w:t>Top management understood clearly what those bottom-up ideas—even those that didn’t look promising in the beginning—meant to Enron’s bottom line.  Commented Lay:</w:t>
      </w:r>
    </w:p>
    <w:p>
      <w:pPr>
        <w:pStyle w:val="QUOTE"/>
        <w:rPr/>
      </w:pPr>
      <w:r>
        <w:rPr/>
        <w:t>Over the years, I learned I had to learn to bite my tongue to stop myself killing ideas that people bring to me.  Unless you do that, pretty soon the ideas and proposals just dry up.  In fact, some of the ideas that I have thought were infeasible or impractical have turned out to be the most valuable for the company.</w:t>
      </w:r>
    </w:p>
    <w:p>
      <w:pPr>
        <w:pStyle w:val="Heading2"/>
        <w:ind w:hanging="0" w:start="0"/>
        <w:rPr/>
      </w:pPr>
      <w:r>
        <w:rPr/>
        <w:t>Corporate-Led Bets</w:t>
      </w:r>
    </w:p>
    <w:p>
      <w:pPr>
        <w:pStyle w:val="BodyTextIndent"/>
        <w:spacing w:lineRule="auto" w:line="240"/>
        <w:rPr/>
      </w:pPr>
      <w:r>
        <w:rPr/>
        <w:t>At the corporate level, top management was also working on some major new initiatives.  The 1997 acquisition of Portland General for $3.2 billion was designed to give Enron access to power consumers at the retail level, particularly in the huge, deregulating California market.  It also provided greater visibility and credibility in the power industry—“a seat at the table,” to quote one VP.  Moreover, the acquisition gave Enron new capabilities, such as managing power transmission and distribution assets, and providing retail customer services.  However, after a long, difficult and expensive regulatory and legislative battle to acquire and retain customers, management decided that at that time this market was not where Enron wanted to invest its resources.  In November 2000, Enron divested Portland General for about what it paid two and a half years earlier.</w:t>
      </w:r>
    </w:p>
    <w:p>
      <w:pPr>
        <w:pStyle w:val="Normal"/>
        <w:rPr/>
      </w:pPr>
      <w:r>
        <w:rPr/>
        <w:t>Another corporate-level initiative in the late-1990s was to invest in renewable energy.  Building on its 1995 solar power joint venture with Amoco, and recognizing a federal production tax credit for such projects, in 1997 the company acquired Zond Corporation, a leading developer, manufacturer, and operator of wind energy power plants.  But these businesses, operating as Enron Renewable Energy Corp., remained a very small part of the company’s portfolio.</w:t>
      </w:r>
    </w:p>
    <w:p>
      <w:pPr>
        <w:pStyle w:val="BodyTextIndent"/>
        <w:spacing w:lineRule="auto" w:line="240"/>
        <w:rPr/>
      </w:pPr>
      <w:r>
        <w:rPr/>
        <w:t>Finally, in 1998, top management made a bet that it could apply to the water utility industry the expertise it had built in managing worldwide gas and power projects, and infrastructure.  Its acquisition of Wessex Water in the U.K., provided the base for Azurix.  Headed by Rebecca Mark, the executive who had spearheaded Enron’s global expansion in gas and power, the new business aimed at becoming a major global water company.  In 1999 Enron Corp. spun off Azurix Corp., in a $700-million initial public offering.  But the water business soon proved too capital-intensive and too slow to meet Enron’s performance benchmarks.  After two difficult years, Enron decided to take the company private and sell its assets piecemeal.  In August 2000, Mark resigned from her position as CEO of Azurix and from Enron's board.</w:t>
      </w:r>
    </w:p>
    <w:p>
      <w:pPr>
        <w:pStyle w:val="Heading2"/>
        <w:ind w:hanging="0" w:start="0"/>
        <w:rPr/>
      </w:pPr>
      <w:r>
        <w:rPr/>
        <w:t>Embedding Core Processes</w:t>
      </w:r>
    </w:p>
    <w:p>
      <w:pPr>
        <w:pStyle w:val="Normal"/>
        <w:rPr/>
      </w:pPr>
      <w:r>
        <w:rPr/>
        <w:t>As the company grew in size, scope, and geographic spread, Lay and Skilling felt an increasing need to capture the best elements of the “loose-tight” model and make them more consistent throughout the company.  Conscious of the constraining role that the corporate human resource group had played in the early days of the merchant business, Skilling was particularly keen to upgrade that company-wide activity to make it more supportive and value-enhancing.  After several management shuffles in corporate HR, in 1999 he asked Cindy Olsen to join the Executive Committee and take on the challenge of leading this function.  Having spent most of the past decade as VP of Wholesale Operational Services at ECT, Olsen was surprised by the offer.  But despite any formal HR background, she accepted the challenge.</w:t>
      </w:r>
    </w:p>
    <w:p>
      <w:pPr>
        <w:pStyle w:val="Normal"/>
        <w:rPr/>
      </w:pPr>
      <w:r>
        <w:rPr/>
        <w:t xml:space="preserve">Olsen’s first priority was to tackle a company-wide rollout of the PRC process complete with 360° feedback, forced ranking, and a link to a highly leveraged compensation system.  (See </w:t>
      </w:r>
      <w:r>
        <w:rPr>
          <w:b/>
        </w:rPr>
        <w:t>Exhibit 12</w:t>
      </w:r>
      <w:r>
        <w:rPr/>
        <w:t xml:space="preserve">.)  Despite the major administrative effort this implied, top management remained committed to the belief that uniform HR policies and practices were essential if Enron was to achieve its goal of creating a true meritocracy and an open market for talent.  To emphasize that philosophy, the top 500 corporate officers and executives (VP level and above) were re-categorized and managed as a corporate resource.   </w:t>
      </w:r>
    </w:p>
    <w:p>
      <w:pPr>
        <w:pStyle w:val="Normal"/>
        <w:rPr/>
      </w:pPr>
      <w:r>
        <w:rPr/>
        <w:t>Another key executive who gained a seat at the executive committee table was Rick Buy, Skilling’s VP of Control who was named the company’s Chief Risk Officer.  In this role, Buy built his risk management staff to 180 to allow him to develop and manage sophisticated corporate-wide risk management tools such as Enron’s Risk tRAC integrated system, and its three-level deal approval process.  In mid 1999, Buy and his staff were challenged to deal with the added complexities of managing risk in the fast moving world that evolved as trading moved on line.</w:t>
      </w:r>
    </w:p>
    <w:p>
      <w:pPr>
        <w:pStyle w:val="Normal"/>
        <w:rPr/>
      </w:pPr>
      <w:r>
        <w:rPr/>
        <w:t>Finally, in July 1999, Skilling also decided to reinforce and realign Enron’s IT operations and in doing so, change the way the company viewed technology.  In a typical, convention-defying move, he asked Mike McConnell, the head of Enron pipeline subsidiary with zero IT experience, to head the effort.  Appointing him CEO of Enron Global Technology—the company’s de facto CIO—Skilling gave McConnell the mandate to make Enron a world leader in B2B commerce.  After consolidating all Enron’s IT people under a new chief technology officer, McConnell moved these experts out into the business units.  “We wanted to make people think about technology not as IT and support but as extension of our business,” he said.</w:t>
      </w:r>
    </w:p>
    <w:p>
      <w:pPr>
        <w:pStyle w:val="Normal"/>
        <w:rPr/>
      </w:pPr>
      <w:r>
        <w:rPr/>
        <w:t>As Olsen, Buy, and the other corporate staff were acutely aware, their challenges were to create policies and processes that allowed Enron’s complexities to be managed but without creating bureaucracy that would constrain creativity or initiative.  As Rick Buy put it, “We have to guard against becoming the bureaucrats, and naysayers.  We just want to give them the information that helps minimize their risk.”</w:t>
      </w:r>
    </w:p>
    <w:p>
      <w:pPr>
        <w:pStyle w:val="Heading1"/>
        <w:ind w:hanging="0" w:start="0"/>
        <w:rPr/>
      </w:pPr>
      <w:r>
        <w:rPr/>
        <w:t>Entering the New Millennium and the New Economy</w:t>
      </w:r>
    </w:p>
    <w:p>
      <w:pPr>
        <w:pStyle w:val="BodyTextIndent"/>
        <w:spacing w:lineRule="auto" w:line="240"/>
        <w:rPr/>
      </w:pPr>
      <w:r>
        <w:rPr/>
        <w:t>Enron ended the decade a very different company from the one that started it.  The traditional gas pipelines system, now at the heart of Enron Transportation Services, had grown into a 32,000-mile network of four interstate pipelines crisscrossing the country and one intrastate pipeline in the state of Texas.  In 1999, it accounted for only 5% of the company’s $40 billion in revenue.  Exploration and Production, one of Enron’s core businesses in 1990, had all but disappeared through the sale and exchange of its interest in Enron Oil and Gas in August 1999.  As top management explained, the asset intensity and risk of this business no longer fit in a business strategy that was de-emphasizing earning returns on owned physical assets in favor of developing and leveraging knowledge-based assets.</w:t>
      </w:r>
    </w:p>
    <w:p>
      <w:pPr>
        <w:pStyle w:val="Normal"/>
        <w:rPr/>
      </w:pPr>
      <w:r>
        <w:rPr/>
        <w:t>By far the largest contributor to Enron’s sales and earnings—$36 billion in revenues and $1.3 billion in net income in 1999—was the merchant business now known as Wholesale Energy.  From its humble beginnings as Enron Gas Services (EGS), this business became the world’s leading international trader of natural gas, electric power, and a broad range of other commodities.</w:t>
      </w:r>
      <w:r>
        <w:rPr>
          <w:rStyle w:val="FootnoteCharacters"/>
          <w:rStyle w:val="FootnoteReference"/>
        </w:rPr>
        <w:footnoteReference w:id="3"/>
      </w:r>
      <w:r>
        <w:rPr/>
        <w:t xml:space="preserve">  </w:t>
      </w:r>
    </w:p>
    <w:p>
      <w:pPr>
        <w:pStyle w:val="Normal"/>
        <w:rPr/>
      </w:pPr>
      <w:r>
        <w:rPr/>
        <w:t>As it grew, Wholesale Energy developed the intellectual capital necessary to create a third core business: Enron Energy Services (EES).  In its second year as a separate business, in 1999 EES signed $8.5 billion in energy outsourcing contracts, and began generating positive earnings by year’s end.  In late-1999, it also began rolling out its unique outsourced energy management business internationally where management believed there was huge potential.</w:t>
      </w:r>
    </w:p>
    <w:p>
      <w:pPr>
        <w:pStyle w:val="BodyTextIndent"/>
        <w:spacing w:lineRule="auto" w:line="240"/>
        <w:rPr/>
      </w:pPr>
      <w:r>
        <w:rPr/>
        <w:t>However, to most outsiders, the biggest surprise in Enron’s continued self-renewal was the creation of its fourth core business, Enron Broadband Services.  Yet management saw the entry into the communications industry as a logical extension of the organization’s skills and experience.  Drawing a parallel with the natural gas industry in the mid-1980s, Enron executives viewed broadband as an inefficient market waiting to be restructured.</w:t>
      </w:r>
    </w:p>
    <w:p>
      <w:pPr>
        <w:pStyle w:val="Heading2"/>
        <w:ind w:hanging="0" w:start="0"/>
        <w:rPr/>
      </w:pPr>
      <w:r>
        <w:rPr/>
        <w:t>Enron Broadband Services</w:t>
      </w:r>
    </w:p>
    <w:p>
      <w:pPr>
        <w:pStyle w:val="BodyTextIndent"/>
        <w:spacing w:lineRule="auto" w:line="240"/>
        <w:rPr/>
      </w:pPr>
      <w:r>
        <w:rPr/>
        <w:t xml:space="preserve">Enron’s involvement in broadband traced back to the company’s acquisition of Portland General in 1997.  Although assigned no value in the original analysis, one of the assets obtained in the merger was 1,755 miles of dark fiber optic cable laid along Portland General’s power line access ways.  Convinced of the need to keep investing in this project, Joe Hirko, Portland General’s former CFO, argued that it represented a potentially valuable asset for Enron.  Although few understood what linkage there could be with the company’s core business, the attitude was, “as long as you can self-fund, go and prove it.”  By selling or leasing 116 of the 128 strands in the cable, Hirko was able to pay for the expansion of the system, while retaining sufficient capacity for Enron to start building its own broadband network.  </w:t>
      </w:r>
    </w:p>
    <w:p>
      <w:pPr>
        <w:pStyle w:val="Normal"/>
        <w:rPr/>
      </w:pPr>
      <w:r>
        <w:rPr/>
        <w:t>The acquisition of Modulus, a developer of proprietary software that provided the network intelligence to link servers and routers, allowed Enron to start building its Enron Intelligent Network (EIN).  By the end of 1998 the network had 5,500 miles of connected cable; a year later it linked 225 Sun Microsystems’ servers with 12,300 miles of fiber-optic lines.  EIN had become operational.</w:t>
      </w:r>
    </w:p>
    <w:p>
      <w:pPr>
        <w:pStyle w:val="Normal"/>
        <w:rPr/>
      </w:pPr>
      <w:r>
        <w:rPr/>
        <w:t>While Hirko was leading the development of the fiber optic network, another initiative was triggered by Tom Gros, a commodity trader who was setting up an Enron office in New York City.  Needing to keep regular video-conference communication with Houston, Gross discovered he had no option but to sign a four-year, $25,000 per month contract for a dedicated, high-speed telecommunications line, despite the fact that he needed capacity for only a few hours a week.  Immediately, he saw the potential to create a market for excess bandwidth capacity, trading it just as he did any other commodity.  With blessings from his boss and $50,000 to cover start-up costs, Gros started promoting his idea internally, recruiting traders and other employees to help him develop it.  In late 1998, management formally approved his proposal to create a bandwidth trading exchange, appointing him vice president in charge of its development.</w:t>
      </w:r>
    </w:p>
    <w:p>
      <w:pPr>
        <w:pStyle w:val="Normal"/>
        <w:rPr/>
      </w:pPr>
      <w:r>
        <w:rPr/>
        <w:t xml:space="preserve">In record time, Enron Bandwidth Services emerged as one of the company’s four main business pillars, the one with perhaps the most growth potential.  Two of Enron’s most experienced executives were put in charge, and in an unusual move, in January 2000 fifty Enron VPs and managing directors were transferred from other businesses to drive the growth and development of broadband.  During 2000, the management team was pursuing two parallel strategies—to expand the bandwidth trading opportunity Gros had promoted, and to develop a business around its ability to deliver high quality content across its network.  Both markets were largely unknown and undeveloped, but management was confident it could again exploit its first-mover advantage. </w:t>
      </w:r>
    </w:p>
    <w:p>
      <w:pPr>
        <w:pStyle w:val="Normal"/>
        <w:rPr/>
      </w:pPr>
      <w:r>
        <w:rPr/>
        <w:t>Despite the extremely optimistic views about the business within Enron, some outsiders questioned whether this initiative was not “a bridge too far” for an energy company.  Said John Sidgmore, vice chairman of MCI WorldCom: “Honestly, what possible expertise could Enron have to help in the telecommunications industry? They have zero experience that I know of.”</w:t>
      </w:r>
      <w:r>
        <w:rPr>
          <w:rStyle w:val="EndnoteCharacters"/>
          <w:rStyle w:val="EndnoteReference"/>
        </w:rPr>
        <w:endnoteReference w:id="3"/>
      </w:r>
      <w:r>
        <w:rPr/>
        <w:t xml:space="preserve">  And Leo Hindery, CEO of Global Crossings, Ltd., added: “Gas is gas and electricity is electricity, but telecommunications bandwidth is brain surgery.”</w:t>
      </w:r>
      <w:r>
        <w:rPr>
          <w:rStyle w:val="EndnoteCharacters"/>
          <w:rStyle w:val="EndnoteReference"/>
        </w:rPr>
        <w:endnoteReference w:id="4"/>
      </w:r>
      <w:r>
        <w:rPr/>
        <w:t xml:space="preserve">  He went on to suggest that Enron would remain a bit player, calling Skilling’s projection that 30% of U.S. bandwidth would be traded by 2004 “laughable.”  The question was, who had the best insight into the future of this young business.</w:t>
      </w:r>
    </w:p>
    <w:p>
      <w:pPr>
        <w:sectPr>
          <w:headerReference w:type="even" r:id="rId2"/>
          <w:headerReference w:type="default" r:id="rId3"/>
          <w:headerReference w:type="first" r:id="rId4"/>
          <w:footerReference w:type="even" r:id="rId5"/>
          <w:footerReference w:type="default" r:id="rId6"/>
          <w:footerReference w:type="first" r:id="rId7"/>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itlePg/>
          <w:textDirection w:val="lrTb"/>
          <w:docGrid w:type="default" w:linePitch="360" w:charSpace="0"/>
        </w:sectPr>
        <w:pStyle w:val="Normal"/>
        <w:rPr/>
      </w:pPr>
      <w:r>
        <w:rPr/>
      </w:r>
    </w:p>
    <w:p>
      <w:pPr>
        <w:pStyle w:val="Normal"/>
        <w:rPr/>
      </w:pPr>
      <w:r>
        <w:rPr>
          <w:b/>
        </w:rPr>
        <w:t>Exhibit 1</w:t>
      </w:r>
      <w:r>
        <w:rPr/>
        <w:t xml:space="preserve">  Enron Corp. in 2000</w:t>
      </w:r>
    </w:p>
    <w:p>
      <w:pPr>
        <w:pStyle w:val="Normal"/>
        <w:rPr>
          <w:lang w:val="en-CA" w:eastAsia="en-CA"/>
        </w:rPr>
      </w:pPr>
      <w:r>
        <w:rPr>
          <w:lang w:val="en-CA" w:eastAsia="en-CA"/>
        </w:rPr>
        <w:drawing>
          <wp:anchor behindDoc="0" distT="0" distB="0" distL="114935" distR="114935" simplePos="0" locked="0" layoutInCell="1" allowOverlap="1" relativeHeight="5">
            <wp:simplePos x="0" y="0"/>
            <wp:positionH relativeFrom="column">
              <wp:posOffset>182880</wp:posOffset>
            </wp:positionH>
            <wp:positionV relativeFrom="paragraph">
              <wp:posOffset>243840</wp:posOffset>
            </wp:positionV>
            <wp:extent cx="8994775" cy="532066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8"/>
                    <a:srcRect l="-4" t="-7" r="-4" b="-7"/>
                    <a:stretch>
                      <a:fillRect/>
                    </a:stretch>
                  </pic:blipFill>
                  <pic:spPr bwMode="auto">
                    <a:xfrm>
                      <a:off x="0" y="0"/>
                      <a:ext cx="8994775" cy="532066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even" r:id="rId9"/>
          <w:headerReference w:type="default" r:id="rId10"/>
          <w:headerReference w:type="first" r:id="rId11"/>
          <w:footerReference w:type="even" r:id="rId12"/>
          <w:footerReference w:type="default" r:id="rId13"/>
          <w:footerReference w:type="first" r:id="rId14"/>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Normal"/>
        <w:ind w:hanging="0" w:end="0"/>
        <w:rPr>
          <w:lang w:val="en-CA" w:eastAsia="en-CA"/>
        </w:rPr>
      </w:pPr>
      <w:r>
        <w:rPr>
          <w:lang w:val="en-CA" w:eastAsia="en-CA"/>
        </w:rPr>
      </w:r>
      <w:r>
        <mc:AlternateContent>
          <mc:Choice Requires="wps">
            <w:drawing>
              <wp:anchor behindDoc="0" distT="0" distB="0" distL="114935" distR="114935" simplePos="0" locked="0" layoutInCell="1" allowOverlap="1" relativeHeight="16">
                <wp:simplePos x="0" y="0"/>
                <wp:positionH relativeFrom="column">
                  <wp:posOffset>274320</wp:posOffset>
                </wp:positionH>
                <wp:positionV relativeFrom="paragraph">
                  <wp:posOffset>129540</wp:posOffset>
                </wp:positionV>
                <wp:extent cx="2103120" cy="365760"/>
                <wp:effectExtent l="0" t="0" r="0" b="0"/>
                <wp:wrapNone/>
                <wp:docPr id="3" name="Frame1"/>
                <a:graphic xmlns:a="http://schemas.openxmlformats.org/drawingml/2006/main">
                  <a:graphicData uri="http://schemas.microsoft.com/office/word/2010/wordprocessingShape">
                    <wps:wsp>
                      <wps:cNvSpPr txBox="1"/>
                      <wps:spPr>
                        <a:xfrm>
                          <a:off x="0" y="0"/>
                          <a:ext cx="2103120" cy="365760"/>
                        </a:xfrm>
                        <a:prstGeom prst="rect"/>
                        <a:solidFill>
                          <a:srgbClr val="FFFFFF"/>
                        </a:solidFill>
                      </wps:spPr>
                      <wps:txbx>
                        <w:txbxContent>
                          <w:p>
                            <w:pPr>
                              <w:pStyle w:val="Normal"/>
                              <w:spacing w:before="120" w:after="120"/>
                              <w:ind w:hanging="0" w:end="0"/>
                              <w:rPr>
                                <w:sz w:val="16"/>
                              </w:rPr>
                            </w:pPr>
                            <w:r>
                              <w:rPr>
                                <w:sz w:val="16"/>
                              </w:rPr>
                              <w:t xml:space="preserve">Source:  Enron Corp.  </w:t>
                            </w:r>
                          </w:p>
                        </w:txbxContent>
                      </wps:txbx>
                      <wps:bodyPr anchor="t" lIns="92075" tIns="46355" rIns="92075" bIns="46355">
                        <a:noAutofit/>
                      </wps:bodyPr>
                    </wps:wsp>
                  </a:graphicData>
                </a:graphic>
              </wp:anchor>
            </w:drawing>
          </mc:Choice>
          <mc:Fallback>
            <w:pict>
              <v:rect fillcolor="#FFFFFF" style="position:absolute;rotation:-0;width:165.6pt;height:28.8pt;mso-wrap-distance-left:9.05pt;mso-wrap-distance-right:9.05pt;mso-wrap-distance-top:0pt;mso-wrap-distance-bottom:0pt;margin-top:10.2pt;mso-position-vertical-relative:text;margin-left:21.6pt;mso-position-horizontal-relative:text">
                <v:textbox inset="0.100694444444444in,0.0506944444444444in,0.100694444444444in,0.0506944444444444in">
                  <w:txbxContent>
                    <w:p>
                      <w:pPr>
                        <w:pStyle w:val="Normal"/>
                        <w:spacing w:before="120" w:after="120"/>
                        <w:ind w:hanging="0" w:end="0"/>
                        <w:rPr>
                          <w:sz w:val="16"/>
                        </w:rPr>
                      </w:pPr>
                      <w:r>
                        <w:rPr>
                          <w:sz w:val="16"/>
                        </w:rPr>
                        <w:t xml:space="preserve">Source:  Enron Corp.  </w:t>
                      </w:r>
                    </w:p>
                  </w:txbxContent>
                </v:textbox>
                <w10:wrap type="none"/>
              </v:rect>
            </w:pict>
          </mc:Fallback>
        </mc:AlternateContent>
      </w:r>
    </w:p>
    <w:p>
      <w:pPr>
        <w:pStyle w:val="Normal"/>
        <w:rPr/>
      </w:pPr>
      <w:r>
        <w:object w:dxaOrig="14844" w:dyaOrig="996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position:absolute;margin-left:36pt;margin-top:36.1pt;width:676.8pt;height:443.6pt;mso-wrap-distance-left:9.05pt;mso-wrap-distance-right:9.05pt;mso-position-horizontal-relative:text;mso-position-vertical-relative:text" filled="f" o:ole="">
            <v:imagedata r:id="rId16" o:title=""/>
            <w10:wrap type="topAndBottom"/>
          </v:shape>
          <o:OLEObject Type="Embed" ProgID="Excel.Sheet.12" ShapeID="ole_rId15" DrawAspect="Content" ObjectID="_1388333364" r:id="rId15"/>
        </w:object>
      </w:r>
      <w:r>
        <w:rPr>
          <w:b/>
        </w:rPr>
        <w:t>Exhibit 2</w:t>
      </w:r>
      <w:r>
        <w:rPr/>
        <w:t xml:space="preserve"> Enron’s Selected Financial Data  </w:t>
      </w:r>
      <w:r>
        <w:br w:type="page"/>
      </w:r>
      <w:r>
        <mc:AlternateContent>
          <mc:Choice Requires="wps">
            <w:drawing>
              <wp:anchor behindDoc="0" distT="0" distB="0" distL="114935" distR="114935" simplePos="0" locked="0" layoutInCell="1" allowOverlap="1" relativeHeight="17">
                <wp:simplePos x="0" y="0"/>
                <wp:positionH relativeFrom="column">
                  <wp:posOffset>91440</wp:posOffset>
                </wp:positionH>
                <wp:positionV relativeFrom="paragraph">
                  <wp:posOffset>6310630</wp:posOffset>
                </wp:positionV>
                <wp:extent cx="2377440" cy="365760"/>
                <wp:effectExtent l="0" t="0" r="0" b="0"/>
                <wp:wrapNone/>
                <wp:docPr id="4" name="Frame2"/>
                <a:graphic xmlns:a="http://schemas.openxmlformats.org/drawingml/2006/main">
                  <a:graphicData uri="http://schemas.microsoft.com/office/word/2010/wordprocessingShape">
                    <wps:wsp>
                      <wps:cNvSpPr txBox="1"/>
                      <wps:spPr>
                        <a:xfrm>
                          <a:off x="0" y="0"/>
                          <a:ext cx="2377440" cy="365760"/>
                        </a:xfrm>
                        <a:prstGeom prst="rect"/>
                        <a:solidFill>
                          <a:srgbClr val="FFFFFF"/>
                        </a:solidFill>
                      </wps:spPr>
                      <wps:txbx>
                        <w:txbxContent>
                          <w:p>
                            <w:pPr>
                              <w:pStyle w:val="Normal"/>
                              <w:spacing w:before="120" w:after="120"/>
                              <w:ind w:hanging="0" w:end="0"/>
                              <w:rPr>
                                <w:sz w:val="16"/>
                              </w:rPr>
                            </w:pPr>
                            <w:r>
                              <w:rPr>
                                <w:sz w:val="16"/>
                              </w:rPr>
                              <w:t>Source: Research Insight</w:t>
                            </w:r>
                          </w:p>
                        </w:txbxContent>
                      </wps:txbx>
                      <wps:bodyPr anchor="t" lIns="92075" tIns="46355" rIns="92075" bIns="46355">
                        <a:noAutofit/>
                      </wps:bodyPr>
                    </wps:wsp>
                  </a:graphicData>
                </a:graphic>
              </wp:anchor>
            </w:drawing>
          </mc:Choice>
          <mc:Fallback>
            <w:pict>
              <v:rect fillcolor="#FFFFFF" style="position:absolute;rotation:-0;width:187.2pt;height:28.8pt;mso-wrap-distance-left:9.05pt;mso-wrap-distance-right:9.05pt;mso-wrap-distance-top:0pt;mso-wrap-distance-bottom:0pt;margin-top:496.9pt;mso-position-vertical-relative:text;margin-left:7.2pt;mso-position-horizontal-relative:text">
                <v:textbox inset="0.100694444444444in,0.0506944444444444in,0.100694444444444in,0.0506944444444444in">
                  <w:txbxContent>
                    <w:p>
                      <w:pPr>
                        <w:pStyle w:val="Normal"/>
                        <w:spacing w:before="120" w:after="120"/>
                        <w:ind w:hanging="0" w:end="0"/>
                        <w:rPr>
                          <w:sz w:val="16"/>
                        </w:rPr>
                      </w:pPr>
                      <w:r>
                        <w:rPr>
                          <w:sz w:val="16"/>
                        </w:rPr>
                        <w:t>Source: Research Insight</w:t>
                      </w:r>
                    </w:p>
                  </w:txbxContent>
                </v:textbox>
                <w10:wrap type="none"/>
              </v:rect>
            </w:pict>
          </mc:Fallback>
        </mc:AlternateContent>
      </w:r>
    </w:p>
    <w:p>
      <w:pPr>
        <w:pStyle w:val="QUOTE"/>
        <w:ind w:hanging="0" w:start="0" w:end="720"/>
        <w:rPr/>
      </w:pPr>
      <w:r>
        <w:rPr>
          <w:b/>
        </w:rPr>
        <w:t xml:space="preserve">Exhibit 3  </w:t>
      </w:r>
      <w:r>
        <w:rPr/>
        <w:t>EFC Early Hires and Their Backgrounds</w:t>
      </w:r>
    </w:p>
    <w:tbl>
      <w:tblPr>
        <w:tblW w:w="12978" w:type="dxa"/>
        <w:jc w:val="start"/>
        <w:tblInd w:w="0" w:type="dxa"/>
        <w:tblLayout w:type="fixed"/>
        <w:tblCellMar>
          <w:top w:w="0" w:type="dxa"/>
          <w:start w:w="108" w:type="dxa"/>
          <w:bottom w:w="0" w:type="dxa"/>
          <w:end w:w="108" w:type="dxa"/>
        </w:tblCellMar>
      </w:tblPr>
      <w:tblGrid>
        <w:gridCol w:w="1458"/>
        <w:gridCol w:w="2880"/>
        <w:gridCol w:w="2880"/>
        <w:gridCol w:w="2880"/>
        <w:gridCol w:w="2880"/>
      </w:tblGrid>
      <w:tr>
        <w:trPr/>
        <w:tc>
          <w:tcPr>
            <w:tcW w:w="1458" w:type="dxa"/>
            <w:tcBorders>
              <w:top w:val="single" w:sz="4" w:space="0" w:color="000000"/>
              <w:bottom w:val="single" w:sz="6" w:space="0" w:color="000000"/>
              <w:end w:val="single" w:sz="6" w:space="0" w:color="000000"/>
            </w:tcBorders>
          </w:tcPr>
          <w:p>
            <w:pPr>
              <w:pStyle w:val="Normal"/>
              <w:snapToGrid w:val="false"/>
              <w:spacing w:before="0" w:after="0"/>
              <w:ind w:hanging="0" w:end="0"/>
              <w:rPr/>
            </w:pPr>
            <w:r>
              <w:rPr/>
            </w:r>
          </w:p>
        </w:tc>
        <w:tc>
          <w:tcPr>
            <w:tcW w:w="2880" w:type="dxa"/>
            <w:tcBorders>
              <w:top w:val="single" w:sz="4" w:space="0" w:color="000000"/>
              <w:start w:val="single" w:sz="6" w:space="0" w:color="000000"/>
              <w:bottom w:val="single" w:sz="6" w:space="0" w:color="000000"/>
              <w:end w:val="single" w:sz="6" w:space="0" w:color="000000"/>
            </w:tcBorders>
          </w:tcPr>
          <w:p>
            <w:pPr>
              <w:pStyle w:val="Normal"/>
              <w:spacing w:before="0" w:after="0"/>
              <w:ind w:hanging="0" w:end="0"/>
              <w:rPr>
                <w:b/>
              </w:rPr>
            </w:pPr>
            <w:r>
              <w:rPr>
                <w:b/>
              </w:rPr>
              <w:t>Educational Background</w:t>
            </w:r>
          </w:p>
          <w:p>
            <w:pPr>
              <w:pStyle w:val="Normal"/>
              <w:spacing w:before="0" w:after="0"/>
              <w:ind w:hanging="0" w:end="0"/>
              <w:rPr>
                <w:b/>
              </w:rPr>
            </w:pPr>
            <w:r>
              <w:rPr>
                <w:b/>
              </w:rPr>
            </w:r>
          </w:p>
        </w:tc>
        <w:tc>
          <w:tcPr>
            <w:tcW w:w="2880" w:type="dxa"/>
            <w:tcBorders>
              <w:top w:val="single" w:sz="4" w:space="0" w:color="000000"/>
              <w:start w:val="single" w:sz="6" w:space="0" w:color="000000"/>
              <w:bottom w:val="single" w:sz="6" w:space="0" w:color="000000"/>
              <w:end w:val="single" w:sz="6" w:space="0" w:color="000000"/>
            </w:tcBorders>
          </w:tcPr>
          <w:p>
            <w:pPr>
              <w:pStyle w:val="Normal"/>
              <w:spacing w:before="0" w:after="0"/>
              <w:ind w:hanging="0" w:end="0"/>
              <w:rPr>
                <w:b/>
              </w:rPr>
            </w:pPr>
            <w:r>
              <w:rPr>
                <w:b/>
              </w:rPr>
              <w:t>Prior Non-Enron Experience</w:t>
            </w:r>
          </w:p>
        </w:tc>
        <w:tc>
          <w:tcPr>
            <w:tcW w:w="2880" w:type="dxa"/>
            <w:tcBorders>
              <w:top w:val="single" w:sz="4" w:space="0" w:color="000000"/>
              <w:start w:val="single" w:sz="6" w:space="0" w:color="000000"/>
              <w:bottom w:val="single" w:sz="6" w:space="0" w:color="000000"/>
              <w:end w:val="single" w:sz="6" w:space="0" w:color="000000"/>
            </w:tcBorders>
          </w:tcPr>
          <w:p>
            <w:pPr>
              <w:pStyle w:val="Heading5"/>
              <w:rPr/>
            </w:pPr>
            <w:r>
              <w:rPr/>
              <w:t>Enron Experience</w:t>
            </w:r>
          </w:p>
        </w:tc>
        <w:tc>
          <w:tcPr>
            <w:tcW w:w="2880" w:type="dxa"/>
            <w:tcBorders>
              <w:top w:val="single" w:sz="4" w:space="0" w:color="000000"/>
              <w:start w:val="single" w:sz="6" w:space="0" w:color="000000"/>
              <w:bottom w:val="single" w:sz="6" w:space="0" w:color="000000"/>
            </w:tcBorders>
          </w:tcPr>
          <w:p>
            <w:pPr>
              <w:pStyle w:val="Normal"/>
              <w:spacing w:before="0" w:after="0"/>
              <w:ind w:hanging="0" w:end="0"/>
              <w:rPr>
                <w:b/>
              </w:rPr>
            </w:pPr>
            <w:r>
              <w:rPr>
                <w:b/>
              </w:rPr>
              <w:t>December 2000 Position</w:t>
            </w:r>
          </w:p>
        </w:tc>
      </w:tr>
      <w:tr>
        <w:trPr>
          <w:trHeight w:val="1317" w:hRule="atLeast"/>
        </w:trPr>
        <w:tc>
          <w:tcPr>
            <w:tcW w:w="1458" w:type="dxa"/>
            <w:tcBorders>
              <w:top w:val="single" w:sz="6" w:space="0" w:color="000000"/>
              <w:bottom w:val="single" w:sz="6" w:space="0" w:color="000000"/>
              <w:end w:val="single" w:sz="6" w:space="0" w:color="000000"/>
            </w:tcBorders>
          </w:tcPr>
          <w:p>
            <w:pPr>
              <w:pStyle w:val="Heading5"/>
              <w:rPr>
                <w:sz w:val="18"/>
              </w:rPr>
            </w:pPr>
            <w:r>
              <w:rPr>
                <w:sz w:val="18"/>
              </w:rPr>
              <w:t>Andy</w:t>
            </w:r>
          </w:p>
          <w:p>
            <w:pPr>
              <w:pStyle w:val="Heading5"/>
              <w:rPr>
                <w:sz w:val="18"/>
              </w:rPr>
            </w:pPr>
            <w:r>
              <w:rPr>
                <w:sz w:val="18"/>
              </w:rPr>
              <w:t>Fastow</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MBA Finance, Kellogg Graduate School of Management</w:t>
            </w:r>
          </w:p>
          <w:p>
            <w:pPr>
              <w:pStyle w:val="Normal"/>
              <w:spacing w:before="0" w:after="0"/>
              <w:ind w:hanging="0" w:end="0"/>
              <w:jc w:val="start"/>
              <w:rPr>
                <w:sz w:val="18"/>
              </w:rPr>
            </w:pPr>
            <w:r>
              <w:rPr>
                <w:sz w:val="18"/>
              </w:rPr>
              <w:t>BA Economics and Chinese</w:t>
            </w:r>
          </w:p>
        </w:tc>
        <w:tc>
          <w:tcPr>
            <w:tcW w:w="2880" w:type="dxa"/>
            <w:tcBorders>
              <w:top w:val="single" w:sz="6" w:space="0" w:color="000000"/>
              <w:start w:val="single" w:sz="6" w:space="0" w:color="000000"/>
              <w:bottom w:val="single" w:sz="6" w:space="0" w:color="000000"/>
              <w:end w:val="single" w:sz="6" w:space="0" w:color="000000"/>
            </w:tcBorders>
          </w:tcPr>
          <w:p>
            <w:pPr>
              <w:pStyle w:val="EXHIBITTITLE"/>
              <w:spacing w:before="0" w:after="0"/>
              <w:rPr>
                <w:sz w:val="18"/>
              </w:rPr>
            </w:pPr>
            <w:r>
              <w:rPr>
                <w:sz w:val="18"/>
              </w:rPr>
              <w:t>Senior Director Asset Securitization, Continental Bank</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1997 SVP Enron Capital Management—Treasury</w:t>
            </w:r>
          </w:p>
          <w:p>
            <w:pPr>
              <w:pStyle w:val="Normal"/>
              <w:spacing w:before="0" w:after="0"/>
              <w:ind w:hanging="0" w:end="0"/>
              <w:jc w:val="start"/>
              <w:rPr>
                <w:sz w:val="18"/>
              </w:rPr>
            </w:pPr>
            <w:r>
              <w:rPr>
                <w:sz w:val="18"/>
              </w:rPr>
              <w:t>1996 MD ECT--Treasury</w:t>
            </w:r>
          </w:p>
          <w:p>
            <w:pPr>
              <w:pStyle w:val="EXHIBITTITLE"/>
              <w:spacing w:before="0" w:after="0"/>
              <w:rPr>
                <w:sz w:val="18"/>
              </w:rPr>
            </w:pPr>
            <w:r>
              <w:rPr>
                <w:sz w:val="18"/>
              </w:rPr>
              <w:t>1995 VP Enron Energy Services</w:t>
            </w:r>
          </w:p>
          <w:p>
            <w:pPr>
              <w:pStyle w:val="Normal"/>
              <w:spacing w:before="0" w:after="0"/>
              <w:ind w:hanging="0" w:end="0"/>
              <w:jc w:val="start"/>
              <w:rPr>
                <w:sz w:val="18"/>
              </w:rPr>
            </w:pPr>
            <w:r>
              <w:rPr>
                <w:sz w:val="18"/>
              </w:rPr>
              <w:t>1990 Enron Finance Group</w:t>
            </w:r>
          </w:p>
        </w:tc>
        <w:tc>
          <w:tcPr>
            <w:tcW w:w="2880" w:type="dxa"/>
            <w:tcBorders>
              <w:top w:val="single" w:sz="6" w:space="0" w:color="000000"/>
              <w:start w:val="single" w:sz="6" w:space="0" w:color="000000"/>
              <w:bottom w:val="single" w:sz="6" w:space="0" w:color="000000"/>
            </w:tcBorders>
          </w:tcPr>
          <w:p>
            <w:pPr>
              <w:pStyle w:val="Normal"/>
              <w:spacing w:before="0" w:after="0"/>
              <w:ind w:hanging="0" w:end="0"/>
              <w:rPr>
                <w:sz w:val="18"/>
              </w:rPr>
            </w:pPr>
            <w:r>
              <w:rPr>
                <w:sz w:val="18"/>
              </w:rPr>
              <w:t>Executive VP and CFO</w:t>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Gene</w:t>
            </w:r>
          </w:p>
          <w:p>
            <w:pPr>
              <w:pStyle w:val="Heading5"/>
              <w:rPr>
                <w:sz w:val="18"/>
              </w:rPr>
            </w:pPr>
            <w:r>
              <w:rPr>
                <w:sz w:val="18"/>
              </w:rPr>
              <w:t>Humphrey</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MBA, Stanford University</w:t>
            </w:r>
          </w:p>
          <w:p>
            <w:pPr>
              <w:pStyle w:val="Normal"/>
              <w:spacing w:before="0" w:after="0"/>
              <w:ind w:hanging="0" w:end="0"/>
              <w:jc w:val="start"/>
              <w:rPr>
                <w:sz w:val="18"/>
              </w:rPr>
            </w:pPr>
            <w:r>
              <w:rPr>
                <w:sz w:val="18"/>
              </w:rPr>
              <w:t>BS Business Administration</w:t>
            </w:r>
          </w:p>
        </w:tc>
        <w:tc>
          <w:tcPr>
            <w:tcW w:w="2880" w:type="dxa"/>
            <w:tcBorders>
              <w:top w:val="single" w:sz="6" w:space="0" w:color="000000"/>
              <w:start w:val="single" w:sz="6" w:space="0" w:color="000000"/>
              <w:bottom w:val="single" w:sz="6" w:space="0" w:color="000000"/>
              <w:end w:val="single" w:sz="6" w:space="0" w:color="000000"/>
            </w:tcBorders>
          </w:tcPr>
          <w:p>
            <w:pPr>
              <w:pStyle w:val="NormalLeft"/>
              <w:spacing w:before="0" w:after="0"/>
              <w:rPr>
                <w:sz w:val="18"/>
              </w:rPr>
            </w:pPr>
            <w:r>
              <w:rPr>
                <w:sz w:val="18"/>
              </w:rPr>
              <w:t>Citicorp’s energy group</w:t>
            </w:r>
          </w:p>
        </w:tc>
        <w:tc>
          <w:tcPr>
            <w:tcW w:w="2880" w:type="dxa"/>
            <w:tcBorders>
              <w:top w:val="single" w:sz="6" w:space="0" w:color="000000"/>
              <w:start w:val="single" w:sz="6" w:space="0" w:color="000000"/>
              <w:bottom w:val="single" w:sz="6" w:space="0" w:color="000000"/>
              <w:end w:val="single" w:sz="6" w:space="0" w:color="000000"/>
            </w:tcBorders>
          </w:tcPr>
          <w:p>
            <w:pPr>
              <w:pStyle w:val="EXHIBITTITLE"/>
              <w:spacing w:before="0" w:after="0"/>
              <w:rPr>
                <w:sz w:val="18"/>
              </w:rPr>
            </w:pPr>
            <w:r>
              <w:rPr>
                <w:sz w:val="18"/>
              </w:rPr>
              <w:t xml:space="preserve">1998 Vice Chairman, ECT </w:t>
            </w:r>
          </w:p>
          <w:p>
            <w:pPr>
              <w:pStyle w:val="EXHIBITTITLE"/>
              <w:spacing w:before="0" w:after="0"/>
              <w:rPr>
                <w:sz w:val="18"/>
              </w:rPr>
            </w:pPr>
            <w:r>
              <w:rPr>
                <w:sz w:val="18"/>
              </w:rPr>
              <w:t>1993 President, Enron Finance Corp</w:t>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Chairman and CEO, Enron Investment Partners</w:t>
            </w:r>
          </w:p>
          <w:p>
            <w:pPr>
              <w:pStyle w:val="Normal"/>
              <w:spacing w:before="0" w:after="0"/>
              <w:ind w:hanging="0" w:end="0"/>
              <w:rPr>
                <w:sz w:val="18"/>
              </w:rPr>
            </w:pPr>
            <w:r>
              <w:rPr>
                <w:sz w:val="18"/>
              </w:rPr>
            </w:r>
          </w:p>
          <w:p>
            <w:pPr>
              <w:pStyle w:val="Normal"/>
              <w:spacing w:before="0" w:after="0"/>
              <w:ind w:hanging="0" w:end="0"/>
              <w:rPr>
                <w:sz w:val="18"/>
              </w:rPr>
            </w:pPr>
            <w:r>
              <w:rPr>
                <w:sz w:val="18"/>
              </w:rPr>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Cliff</w:t>
            </w:r>
          </w:p>
          <w:p>
            <w:pPr>
              <w:pStyle w:val="Heading5"/>
              <w:rPr>
                <w:sz w:val="18"/>
              </w:rPr>
            </w:pPr>
            <w:r>
              <w:rPr>
                <w:sz w:val="18"/>
              </w:rPr>
              <w:t>Baxter</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MS Finance/Accounting, Columbia University</w:t>
            </w:r>
          </w:p>
          <w:p>
            <w:pPr>
              <w:pStyle w:val="Normal"/>
              <w:spacing w:before="0" w:after="0"/>
              <w:ind w:hanging="0" w:end="0"/>
              <w:jc w:val="start"/>
              <w:rPr>
                <w:sz w:val="18"/>
              </w:rPr>
            </w:pPr>
            <w:r>
              <w:rPr>
                <w:sz w:val="18"/>
              </w:rPr>
              <w:t>BS Finance/Management</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1989 VP, Kemper Securities</w:t>
            </w:r>
          </w:p>
          <w:p>
            <w:pPr>
              <w:pStyle w:val="EXHIBITTITLE"/>
              <w:spacing w:before="0" w:after="0"/>
              <w:rPr>
                <w:sz w:val="18"/>
              </w:rPr>
            </w:pPr>
            <w:r>
              <w:rPr>
                <w:sz w:val="18"/>
              </w:rPr>
              <w:t>1986 Associate, Paine Webber</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1999 Chairman &amp; CEO – ENA</w:t>
            </w:r>
          </w:p>
          <w:p>
            <w:pPr>
              <w:pStyle w:val="EXHIBITTITLE"/>
              <w:spacing w:before="0" w:after="0"/>
              <w:rPr>
                <w:sz w:val="18"/>
              </w:rPr>
            </w:pPr>
            <w:r>
              <w:rPr>
                <w:sz w:val="18"/>
              </w:rPr>
              <w:t>1999 EVP Corporate Development</w:t>
            </w:r>
          </w:p>
          <w:p>
            <w:pPr>
              <w:pStyle w:val="Normal"/>
              <w:spacing w:before="0" w:after="0"/>
              <w:ind w:hanging="0" w:end="0"/>
              <w:jc w:val="start"/>
              <w:rPr>
                <w:sz w:val="18"/>
              </w:rPr>
            </w:pPr>
            <w:r>
              <w:rPr>
                <w:sz w:val="18"/>
              </w:rPr>
              <w:t>1996 MD – NAES</w:t>
            </w:r>
          </w:p>
          <w:p>
            <w:pPr>
              <w:pStyle w:val="EXHIBITTITLE"/>
              <w:spacing w:before="0" w:after="0"/>
              <w:rPr>
                <w:sz w:val="18"/>
              </w:rPr>
            </w:pPr>
            <w:r>
              <w:rPr>
                <w:sz w:val="18"/>
              </w:rPr>
              <w:t>1995 VP – NAES</w:t>
            </w:r>
          </w:p>
          <w:p>
            <w:pPr>
              <w:pStyle w:val="Normal"/>
              <w:spacing w:before="0" w:after="0"/>
              <w:ind w:hanging="0" w:end="0"/>
              <w:rPr>
                <w:sz w:val="18"/>
              </w:rPr>
            </w:pPr>
            <w:r>
              <w:rPr>
                <w:sz w:val="18"/>
              </w:rPr>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Vice Chairman &amp; Chief Strategic Officer</w:t>
            </w:r>
          </w:p>
          <w:p>
            <w:pPr>
              <w:pStyle w:val="Normal"/>
              <w:spacing w:before="0" w:after="0"/>
              <w:ind w:hanging="0" w:end="0"/>
              <w:rPr>
                <w:sz w:val="18"/>
              </w:rPr>
            </w:pPr>
            <w:r>
              <w:rPr>
                <w:sz w:val="18"/>
              </w:rPr>
            </w:r>
          </w:p>
          <w:p>
            <w:pPr>
              <w:pStyle w:val="Normal"/>
              <w:spacing w:before="0" w:after="0"/>
              <w:ind w:hanging="0" w:end="0"/>
              <w:rPr>
                <w:sz w:val="18"/>
              </w:rPr>
            </w:pPr>
            <w:r>
              <w:rPr>
                <w:sz w:val="18"/>
              </w:rPr>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Ken</w:t>
            </w:r>
          </w:p>
          <w:p>
            <w:pPr>
              <w:pStyle w:val="Heading5"/>
              <w:rPr>
                <w:sz w:val="18"/>
              </w:rPr>
            </w:pPr>
            <w:r>
              <w:rPr>
                <w:sz w:val="18"/>
              </w:rPr>
              <w:t>Rice</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MS Finance, Creighton University</w:t>
            </w:r>
          </w:p>
          <w:p>
            <w:pPr>
              <w:pStyle w:val="Normal"/>
              <w:spacing w:before="0" w:after="0"/>
              <w:ind w:hanging="0" w:end="0"/>
              <w:jc w:val="start"/>
              <w:rPr>
                <w:sz w:val="18"/>
              </w:rPr>
            </w:pPr>
            <w:r>
              <w:rPr>
                <w:sz w:val="18"/>
              </w:rPr>
              <w:t>BS Electrical Engineering</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rPr>
                <w:sz w:val="18"/>
              </w:rPr>
            </w:pPr>
            <w:r>
              <w:rPr>
                <w:sz w:val="18"/>
              </w:rPr>
              <w:t>1986 Sales Director, Houston P/L</w:t>
            </w:r>
          </w:p>
          <w:p>
            <w:pPr>
              <w:pStyle w:val="Normal"/>
              <w:spacing w:before="0" w:after="0"/>
              <w:ind w:hanging="0" w:end="0"/>
              <w:rPr>
                <w:sz w:val="18"/>
              </w:rPr>
            </w:pPr>
            <w:r>
              <w:rPr>
                <w:sz w:val="18"/>
              </w:rPr>
              <w:t>1983 Acct Executive NNG</w:t>
            </w:r>
          </w:p>
          <w:p>
            <w:pPr>
              <w:pStyle w:val="Normal"/>
              <w:spacing w:before="0" w:after="0"/>
              <w:ind w:hanging="0" w:end="0"/>
              <w:rPr>
                <w:sz w:val="18"/>
              </w:rPr>
            </w:pPr>
            <w:r>
              <w:rPr>
                <w:sz w:val="18"/>
              </w:rPr>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2000 Co-Chairman, EBS</w:t>
            </w:r>
          </w:p>
          <w:p>
            <w:pPr>
              <w:pStyle w:val="Normal"/>
              <w:spacing w:before="0" w:after="0"/>
              <w:ind w:hanging="0" w:end="0"/>
              <w:jc w:val="start"/>
              <w:rPr>
                <w:sz w:val="18"/>
              </w:rPr>
            </w:pPr>
            <w:r>
              <w:rPr>
                <w:sz w:val="18"/>
              </w:rPr>
              <w:t>1999 Co-CEO</w:t>
            </w:r>
          </w:p>
          <w:p>
            <w:pPr>
              <w:pStyle w:val="Normal"/>
              <w:spacing w:before="0" w:after="0"/>
              <w:ind w:hanging="0" w:end="0"/>
              <w:jc w:val="start"/>
              <w:rPr>
                <w:sz w:val="18"/>
              </w:rPr>
            </w:pPr>
            <w:r>
              <w:rPr>
                <w:sz w:val="18"/>
              </w:rPr>
              <w:t xml:space="preserve">1997 Chairman and CEO, NAES </w:t>
            </w:r>
          </w:p>
          <w:p>
            <w:pPr>
              <w:pStyle w:val="Normal"/>
              <w:spacing w:before="0" w:after="0"/>
              <w:ind w:hanging="0" w:end="0"/>
              <w:jc w:val="start"/>
              <w:rPr>
                <w:sz w:val="18"/>
              </w:rPr>
            </w:pPr>
            <w:r>
              <w:rPr>
                <w:sz w:val="18"/>
              </w:rPr>
              <w:t xml:space="preserve">1995 MD, NAES </w:t>
            </w:r>
          </w:p>
          <w:p>
            <w:pPr>
              <w:pStyle w:val="Normal"/>
              <w:spacing w:before="0" w:after="0"/>
              <w:ind w:hanging="0" w:end="0"/>
              <w:jc w:val="start"/>
              <w:rPr>
                <w:sz w:val="18"/>
              </w:rPr>
            </w:pPr>
            <w:r>
              <w:rPr>
                <w:sz w:val="18"/>
              </w:rPr>
              <w:t>1993 President, EGS Enron Power Marketing</w:t>
            </w:r>
          </w:p>
          <w:p>
            <w:pPr>
              <w:pStyle w:val="Normal"/>
              <w:spacing w:before="0" w:after="0"/>
              <w:ind w:hanging="0" w:end="0"/>
              <w:rPr>
                <w:sz w:val="18"/>
              </w:rPr>
            </w:pPr>
            <w:r>
              <w:rPr>
                <w:sz w:val="18"/>
              </w:rPr>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CEO, Enron Broadband Services</w:t>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Rick</w:t>
            </w:r>
          </w:p>
          <w:p>
            <w:pPr>
              <w:pStyle w:val="Heading5"/>
              <w:rPr>
                <w:sz w:val="18"/>
              </w:rPr>
            </w:pPr>
            <w:r>
              <w:rPr>
                <w:sz w:val="18"/>
              </w:rPr>
              <w:t>Causey</w:t>
            </w:r>
          </w:p>
        </w:tc>
        <w:tc>
          <w:tcPr>
            <w:tcW w:w="2880" w:type="dxa"/>
            <w:tcBorders>
              <w:top w:val="single" w:sz="6" w:space="0" w:color="000000"/>
              <w:start w:val="single" w:sz="6" w:space="0" w:color="000000"/>
              <w:bottom w:val="single" w:sz="6" w:space="0" w:color="000000"/>
              <w:end w:val="single" w:sz="6" w:space="0" w:color="000000"/>
            </w:tcBorders>
          </w:tcPr>
          <w:p>
            <w:pPr>
              <w:pStyle w:val="NormalLeft"/>
              <w:spacing w:before="0" w:after="0"/>
              <w:jc w:val="start"/>
              <w:rPr>
                <w:sz w:val="18"/>
              </w:rPr>
            </w:pPr>
            <w:r>
              <w:rPr>
                <w:sz w:val="18"/>
              </w:rPr>
              <w:t>BBA Accounting, University of Texas</w:t>
            </w:r>
          </w:p>
        </w:tc>
        <w:tc>
          <w:tcPr>
            <w:tcW w:w="2880" w:type="dxa"/>
            <w:tcBorders>
              <w:top w:val="single" w:sz="6" w:space="0" w:color="000000"/>
              <w:start w:val="single" w:sz="6" w:space="0" w:color="000000"/>
              <w:bottom w:val="single" w:sz="6" w:space="0" w:color="000000"/>
              <w:end w:val="single" w:sz="6" w:space="0" w:color="000000"/>
            </w:tcBorders>
          </w:tcPr>
          <w:p>
            <w:pPr>
              <w:pStyle w:val="NormalLeft"/>
              <w:spacing w:before="0" w:after="0"/>
              <w:jc w:val="start"/>
              <w:rPr>
                <w:sz w:val="18"/>
              </w:rPr>
            </w:pPr>
            <w:r>
              <w:rPr>
                <w:sz w:val="18"/>
              </w:rPr>
              <w:t xml:space="preserve">1982 Audit Manager, Arthur Andersen </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1997 SVP Chief Accounting &amp; Information Officer</w:t>
            </w:r>
          </w:p>
          <w:p>
            <w:pPr>
              <w:pStyle w:val="Normal"/>
              <w:spacing w:before="0" w:after="0"/>
              <w:ind w:hanging="0" w:end="0"/>
              <w:jc w:val="start"/>
              <w:rPr>
                <w:sz w:val="18"/>
              </w:rPr>
            </w:pPr>
            <w:r>
              <w:rPr>
                <w:sz w:val="18"/>
              </w:rPr>
              <w:t>1996 MD, ECT Retail Risk Management</w:t>
            </w:r>
          </w:p>
          <w:p>
            <w:pPr>
              <w:pStyle w:val="Normal"/>
              <w:spacing w:before="0" w:after="0"/>
              <w:ind w:hanging="0" w:end="0"/>
              <w:jc w:val="start"/>
              <w:rPr>
                <w:sz w:val="18"/>
              </w:rPr>
            </w:pPr>
            <w:r>
              <w:rPr>
                <w:sz w:val="18"/>
              </w:rPr>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Executive VP &amp; Chief Accounting Officer</w:t>
            </w:r>
          </w:p>
          <w:p>
            <w:pPr>
              <w:pStyle w:val="Normal"/>
              <w:spacing w:before="0" w:after="0"/>
              <w:ind w:hanging="0" w:end="0"/>
              <w:rPr>
                <w:sz w:val="18"/>
              </w:rPr>
            </w:pPr>
            <w:r>
              <w:rPr>
                <w:sz w:val="18"/>
              </w:rPr>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Lou</w:t>
            </w:r>
          </w:p>
          <w:p>
            <w:pPr>
              <w:pStyle w:val="Heading5"/>
              <w:rPr>
                <w:sz w:val="18"/>
              </w:rPr>
            </w:pPr>
            <w:r>
              <w:rPr>
                <w:sz w:val="18"/>
              </w:rPr>
              <w:t>Pai</w:t>
            </w:r>
          </w:p>
        </w:tc>
        <w:tc>
          <w:tcPr>
            <w:tcW w:w="2880"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0"/>
              <w:rPr>
                <w:rFonts w:ascii="Palatino;Book Antiqua" w:hAnsi="Palatino;Book Antiqua" w:cs="Palatino;Book Antiqua"/>
              </w:rPr>
            </w:pPr>
            <w:r>
              <w:rPr>
                <w:rFonts w:cs="Palatino;Book Antiqua" w:ascii="Palatino;Book Antiqua" w:hAnsi="Palatino;Book Antiqua"/>
              </w:rPr>
              <w:t>MA Economics, University of Maryland</w:t>
            </w:r>
          </w:p>
        </w:tc>
        <w:tc>
          <w:tcPr>
            <w:tcW w:w="2880" w:type="dxa"/>
            <w:tcBorders>
              <w:top w:val="single" w:sz="6" w:space="0" w:color="000000"/>
              <w:start w:val="single" w:sz="6" w:space="0" w:color="000000"/>
              <w:bottom w:val="single" w:sz="6" w:space="0" w:color="000000"/>
              <w:end w:val="single" w:sz="6" w:space="0" w:color="000000"/>
            </w:tcBorders>
          </w:tcPr>
          <w:p>
            <w:pPr>
              <w:pStyle w:val="EXHIBITTITLE"/>
              <w:spacing w:before="0" w:after="0"/>
              <w:rPr>
                <w:sz w:val="18"/>
              </w:rPr>
            </w:pPr>
            <w:r>
              <w:rPr>
                <w:sz w:val="18"/>
              </w:rPr>
              <w:t xml:space="preserve">Economist, Corporate Planning, Conoco </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rPr>
                <w:sz w:val="18"/>
              </w:rPr>
            </w:pPr>
            <w:r>
              <w:rPr>
                <w:sz w:val="18"/>
              </w:rPr>
              <w:t>1999 Chairman and CEO EES</w:t>
            </w:r>
          </w:p>
          <w:p>
            <w:pPr>
              <w:pStyle w:val="Normal"/>
              <w:spacing w:before="0" w:after="0"/>
              <w:ind w:hanging="0" w:end="0"/>
              <w:rPr>
                <w:sz w:val="18"/>
              </w:rPr>
            </w:pPr>
            <w:r>
              <w:rPr>
                <w:sz w:val="18"/>
              </w:rPr>
              <w:t>1995 President and COO EES</w:t>
            </w:r>
          </w:p>
        </w:tc>
        <w:tc>
          <w:tcPr>
            <w:tcW w:w="2880" w:type="dxa"/>
            <w:tcBorders>
              <w:top w:val="single" w:sz="6" w:space="0" w:color="000000"/>
              <w:start w:val="single" w:sz="6" w:space="0" w:color="000000"/>
              <w:bottom w:val="single" w:sz="6" w:space="0" w:color="000000"/>
            </w:tcBorders>
          </w:tcPr>
          <w:p>
            <w:pPr>
              <w:pStyle w:val="NormalLeft"/>
              <w:spacing w:before="0" w:after="0"/>
              <w:jc w:val="start"/>
              <w:rPr>
                <w:sz w:val="18"/>
              </w:rPr>
            </w:pPr>
            <w:r>
              <w:rPr>
                <w:sz w:val="18"/>
              </w:rPr>
              <w:t>Chairman and CEO Enron Energy Services</w:t>
            </w:r>
          </w:p>
          <w:p>
            <w:pPr>
              <w:pStyle w:val="Normal"/>
              <w:spacing w:before="0" w:after="0"/>
              <w:ind w:hanging="0" w:end="0"/>
              <w:rPr>
                <w:sz w:val="18"/>
              </w:rPr>
            </w:pPr>
            <w:r>
              <w:rPr>
                <w:sz w:val="18"/>
              </w:rPr>
            </w:r>
          </w:p>
        </w:tc>
      </w:tr>
      <w:tr>
        <w:trPr/>
        <w:tc>
          <w:tcPr>
            <w:tcW w:w="1458" w:type="dxa"/>
            <w:tcBorders>
              <w:top w:val="single" w:sz="6" w:space="0" w:color="000000"/>
              <w:bottom w:val="single" w:sz="4" w:space="0" w:color="000000"/>
              <w:end w:val="single" w:sz="6" w:space="0" w:color="000000"/>
            </w:tcBorders>
          </w:tcPr>
          <w:p>
            <w:pPr>
              <w:pStyle w:val="Heading5"/>
              <w:rPr>
                <w:sz w:val="18"/>
              </w:rPr>
            </w:pPr>
            <w:r>
              <w:rPr>
                <w:sz w:val="18"/>
              </w:rPr>
              <w:t>Kevin</w:t>
            </w:r>
          </w:p>
          <w:p>
            <w:pPr>
              <w:pStyle w:val="Heading5"/>
              <w:rPr>
                <w:sz w:val="18"/>
              </w:rPr>
            </w:pPr>
            <w:r>
              <w:rPr>
                <w:sz w:val="18"/>
              </w:rPr>
              <w:t>Hannon</w:t>
            </w:r>
          </w:p>
        </w:tc>
        <w:tc>
          <w:tcPr>
            <w:tcW w:w="2880" w:type="dxa"/>
            <w:tcBorders>
              <w:top w:val="single" w:sz="6" w:space="0" w:color="000000"/>
              <w:start w:val="single" w:sz="6" w:space="0" w:color="000000"/>
              <w:bottom w:val="single" w:sz="4" w:space="0" w:color="000000"/>
              <w:end w:val="single" w:sz="6" w:space="0" w:color="000000"/>
            </w:tcBorders>
          </w:tcPr>
          <w:p>
            <w:pPr>
              <w:pStyle w:val="EXHIBITTITLE"/>
              <w:spacing w:before="0" w:after="0"/>
              <w:jc w:val="both"/>
              <w:rPr>
                <w:sz w:val="18"/>
              </w:rPr>
            </w:pPr>
            <w:r>
              <w:rPr>
                <w:sz w:val="18"/>
              </w:rPr>
              <w:t>MBA Finance, Cornell University</w:t>
            </w:r>
          </w:p>
          <w:p>
            <w:pPr>
              <w:pStyle w:val="Normal"/>
              <w:spacing w:before="0" w:after="0"/>
              <w:ind w:hanging="0" w:end="0"/>
              <w:rPr>
                <w:sz w:val="18"/>
              </w:rPr>
            </w:pPr>
            <w:r>
              <w:rPr>
                <w:sz w:val="18"/>
              </w:rPr>
              <w:t>BA Economics</w:t>
            </w:r>
          </w:p>
        </w:tc>
        <w:tc>
          <w:tcPr>
            <w:tcW w:w="2880" w:type="dxa"/>
            <w:tcBorders>
              <w:top w:val="single" w:sz="6" w:space="0" w:color="000000"/>
              <w:start w:val="single" w:sz="6" w:space="0" w:color="000000"/>
              <w:bottom w:val="single" w:sz="4" w:space="0" w:color="000000"/>
              <w:end w:val="single" w:sz="6" w:space="0" w:color="000000"/>
            </w:tcBorders>
          </w:tcPr>
          <w:p>
            <w:pPr>
              <w:pStyle w:val="EXHIBITTITLE"/>
              <w:spacing w:before="0" w:after="0"/>
              <w:rPr>
                <w:sz w:val="18"/>
              </w:rPr>
            </w:pPr>
            <w:r>
              <w:rPr>
                <w:sz w:val="18"/>
              </w:rPr>
              <w:t>1989 Associate Risk Manager, Bankers Trust</w:t>
            </w:r>
          </w:p>
          <w:p>
            <w:pPr>
              <w:pStyle w:val="EXHIBITTITLE"/>
              <w:spacing w:before="0" w:after="0"/>
              <w:rPr>
                <w:sz w:val="18"/>
              </w:rPr>
            </w:pPr>
            <w:r>
              <w:rPr>
                <w:sz w:val="18"/>
              </w:rPr>
              <w:t>1986 Financial Analyst Federal Reserve</w:t>
            </w:r>
          </w:p>
        </w:tc>
        <w:tc>
          <w:tcPr>
            <w:tcW w:w="2880" w:type="dxa"/>
            <w:tcBorders>
              <w:top w:val="single" w:sz="6" w:space="0" w:color="000000"/>
              <w:start w:val="single" w:sz="6" w:space="0" w:color="000000"/>
              <w:bottom w:val="single" w:sz="4" w:space="0" w:color="000000"/>
              <w:end w:val="single" w:sz="6" w:space="0" w:color="000000"/>
            </w:tcBorders>
          </w:tcPr>
          <w:p>
            <w:pPr>
              <w:pStyle w:val="Normal"/>
              <w:spacing w:before="0" w:after="0"/>
              <w:ind w:hanging="0" w:end="0"/>
              <w:rPr>
                <w:sz w:val="18"/>
              </w:rPr>
            </w:pPr>
            <w:r>
              <w:rPr>
                <w:sz w:val="18"/>
              </w:rPr>
              <w:t>2000 COO Enron North America</w:t>
            </w:r>
          </w:p>
          <w:p>
            <w:pPr>
              <w:pStyle w:val="Normal"/>
              <w:spacing w:before="0" w:after="0"/>
              <w:ind w:hanging="0" w:end="0"/>
              <w:rPr>
                <w:sz w:val="18"/>
              </w:rPr>
            </w:pPr>
            <w:r>
              <w:rPr>
                <w:sz w:val="18"/>
              </w:rPr>
              <w:t>1998 President and COO ECT</w:t>
            </w:r>
          </w:p>
          <w:p>
            <w:pPr>
              <w:pStyle w:val="Normal"/>
              <w:spacing w:before="0" w:after="0"/>
              <w:ind w:hanging="0" w:end="0"/>
              <w:rPr>
                <w:sz w:val="18"/>
              </w:rPr>
            </w:pPr>
            <w:r>
              <w:rPr>
                <w:sz w:val="18"/>
              </w:rPr>
              <w:t>1997 President CTS</w:t>
            </w:r>
          </w:p>
        </w:tc>
        <w:tc>
          <w:tcPr>
            <w:tcW w:w="2880" w:type="dxa"/>
            <w:tcBorders>
              <w:top w:val="single" w:sz="6" w:space="0" w:color="000000"/>
              <w:start w:val="single" w:sz="6" w:space="0" w:color="000000"/>
              <w:bottom w:val="single" w:sz="4" w:space="0" w:color="000000"/>
            </w:tcBorders>
          </w:tcPr>
          <w:p>
            <w:pPr>
              <w:pStyle w:val="EXHIBITTITLE"/>
              <w:spacing w:before="0" w:after="0"/>
              <w:rPr>
                <w:sz w:val="18"/>
              </w:rPr>
            </w:pPr>
            <w:r>
              <w:rPr>
                <w:sz w:val="18"/>
              </w:rPr>
              <w:t>COO Enron Broadband Services</w:t>
            </w:r>
          </w:p>
        </w:tc>
      </w:tr>
    </w:tbl>
    <w:p>
      <w:pPr>
        <w:pStyle w:val="FootnoteText"/>
        <w:tabs>
          <w:tab w:val="clear" w:pos="360"/>
        </w:tabs>
        <w:rPr/>
      </w:pPr>
      <w:r>
        <w:rPr/>
        <w:t>ECT – Enron Capital and Trade</w:t>
      </w:r>
    </w:p>
    <w:p>
      <w:pPr>
        <w:pStyle w:val="FootnoteText"/>
        <w:tabs>
          <w:tab w:val="clear" w:pos="360"/>
        </w:tabs>
        <w:rPr/>
      </w:pPr>
      <w:r>
        <w:rPr/>
        <w:t>EES-Enron Energy Services</w:t>
      </w:r>
    </w:p>
    <w:p>
      <w:pPr>
        <w:pStyle w:val="FootnoteText"/>
        <w:tabs>
          <w:tab w:val="clear" w:pos="360"/>
        </w:tabs>
        <w:rPr/>
      </w:pPr>
      <w:r>
        <w:rPr/>
        <w:t>ENA –Enron North America</w:t>
      </w:r>
    </w:p>
    <w:p>
      <w:pPr>
        <w:pStyle w:val="FootnoteText"/>
        <w:tabs>
          <w:tab w:val="clear" w:pos="360"/>
        </w:tabs>
        <w:rPr/>
      </w:pPr>
      <w:r>
        <w:rPr/>
        <w:t>NAES-North American Energy Services</w:t>
      </w:r>
    </w:p>
    <w:p>
      <w:pPr>
        <w:sectPr>
          <w:headerReference w:type="even" r:id="rId17"/>
          <w:headerReference w:type="default" r:id="rId18"/>
          <w:headerReference w:type="first" r:id="rId19"/>
          <w:footerReference w:type="even" r:id="rId20"/>
          <w:footerReference w:type="default" r:id="rId21"/>
          <w:footerReference w:type="first" r:id="rId22"/>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FootnoteText"/>
        <w:tabs>
          <w:tab w:val="clear" w:pos="360"/>
        </w:tabs>
        <w:rPr>
          <w:b/>
        </w:rPr>
      </w:pPr>
      <w:r>
        <w:rPr/>
        <w:t>CTS-  Commodity and Trade Services</w:t>
      </w:r>
      <w:r>
        <mc:AlternateContent>
          <mc:Choice Requires="wps">
            <w:drawing>
              <wp:anchor behindDoc="0" distT="0" distB="0" distL="114935" distR="114935" simplePos="0" locked="0" layoutInCell="1" allowOverlap="1" relativeHeight="18">
                <wp:simplePos x="0" y="0"/>
                <wp:positionH relativeFrom="column">
                  <wp:posOffset>-91440</wp:posOffset>
                </wp:positionH>
                <wp:positionV relativeFrom="paragraph">
                  <wp:posOffset>130810</wp:posOffset>
                </wp:positionV>
                <wp:extent cx="1920240" cy="274320"/>
                <wp:effectExtent l="0" t="0" r="0" b="0"/>
                <wp:wrapNone/>
                <wp:docPr id="5" name="Frame3"/>
                <a:graphic xmlns:a="http://schemas.openxmlformats.org/drawingml/2006/main">
                  <a:graphicData uri="http://schemas.microsoft.com/office/word/2010/wordprocessingShape">
                    <wps:wsp>
                      <wps:cNvSpPr txBox="1"/>
                      <wps:spPr>
                        <a:xfrm>
                          <a:off x="0" y="0"/>
                          <a:ext cx="1920240" cy="274320"/>
                        </a:xfrm>
                        <a:prstGeom prst="rect"/>
                        <a:solidFill>
                          <a:srgbClr val="FFFFFF"/>
                        </a:solidFill>
                      </wps:spPr>
                      <wps:txbx>
                        <w:txbxContent>
                          <w:p>
                            <w:pPr>
                              <w:pStyle w:val="Normal"/>
                              <w:spacing w:before="120" w:after="120"/>
                              <w:ind w:hanging="0" w:end="0"/>
                              <w:rPr/>
                            </w:pPr>
                            <w:r>
                              <w:rPr/>
                              <w:t>Source:  Enron Corp.</w:t>
                            </w:r>
                          </w:p>
                        </w:txbxContent>
                      </wps:txbx>
                      <wps:bodyPr anchor="t" lIns="92075" tIns="46355" rIns="92075" bIns="46355">
                        <a:noAutofit/>
                      </wps:bodyPr>
                    </wps:wsp>
                  </a:graphicData>
                </a:graphic>
              </wp:anchor>
            </w:drawing>
          </mc:Choice>
          <mc:Fallback>
            <w:pict>
              <v:rect fillcolor="#FFFFFF" style="position:absolute;rotation:-0;width:151.2pt;height:21.6pt;mso-wrap-distance-left:9.05pt;mso-wrap-distance-right:9.05pt;mso-wrap-distance-top:0pt;mso-wrap-distance-bottom:0pt;margin-top:10.3pt;mso-position-vertical-relative:text;margin-left:-7.2pt;mso-position-horizontal-relative:text">
                <v:textbox inset="0.100694444444444in,0.0506944444444444in,0.100694444444444in,0.0506944444444444in">
                  <w:txbxContent>
                    <w:p>
                      <w:pPr>
                        <w:pStyle w:val="Normal"/>
                        <w:spacing w:before="120" w:after="120"/>
                        <w:ind w:hanging="0" w:end="0"/>
                        <w:rPr/>
                      </w:pPr>
                      <w:r>
                        <w:rPr/>
                        <w:t>Source:  Enron Corp.</w:t>
                      </w:r>
                    </w:p>
                  </w:txbxContent>
                </v:textbox>
                <w10:wrap type="none"/>
              </v:rect>
            </w:pict>
          </mc:Fallback>
        </mc:AlternateContent>
      </w:r>
    </w:p>
    <w:p>
      <w:pPr>
        <w:pStyle w:val="Normal"/>
        <w:spacing w:before="0" w:after="0"/>
        <w:ind w:hanging="0" w:end="0"/>
        <w:rPr/>
      </w:pPr>
      <w:r>
        <w:rPr>
          <w:b/>
          <w:sz w:val="18"/>
        </w:rPr>
        <w:t xml:space="preserve">Exhibit 4 – </w:t>
      </w:r>
      <w:r>
        <w:rPr>
          <w:sz w:val="18"/>
        </w:rPr>
        <w:t>Compensation Data</w:t>
      </w:r>
    </w:p>
    <w:p>
      <w:pPr>
        <w:pStyle w:val="Normal"/>
        <w:spacing w:before="0" w:after="0"/>
        <w:ind w:hanging="0" w:end="0"/>
        <w:rPr>
          <w:sz w:val="18"/>
        </w:rPr>
      </w:pPr>
      <w:r>
        <w:rPr>
          <w:sz w:val="18"/>
        </w:rPr>
      </w:r>
    </w:p>
    <w:p>
      <w:pPr>
        <w:pStyle w:val="Normal"/>
        <w:spacing w:before="0" w:after="0"/>
        <w:ind w:hanging="0" w:end="0"/>
        <w:rPr>
          <w:sz w:val="18"/>
        </w:rPr>
      </w:pPr>
      <w:r>
        <w:rPr>
          <w:sz w:val="18"/>
        </w:rPr>
        <w:t>Salary</w:t>
      </w:r>
    </w:p>
    <w:p>
      <w:pPr>
        <w:pStyle w:val="Normal"/>
        <w:spacing w:before="0" w:after="0"/>
        <w:ind w:hanging="0" w:end="0"/>
        <w:rPr>
          <w:sz w:val="18"/>
        </w:rPr>
      </w:pPr>
      <w:r>
        <w:rPr>
          <w:sz w:val="18"/>
        </w:rPr>
        <w:t>Bonus</w:t>
      </w:r>
    </w:p>
    <w:p>
      <w:pPr>
        <w:pStyle w:val="Normal"/>
        <w:spacing w:before="0" w:after="0"/>
        <w:ind w:hanging="0" w:end="0"/>
        <w:rPr>
          <w:sz w:val="18"/>
        </w:rPr>
      </w:pPr>
      <w:r>
        <w:rPr>
          <w:sz w:val="18"/>
        </w:rPr>
        <w:t xml:space="preserve">Stock Option </w:t>
      </w:r>
    </w:p>
    <w:p>
      <w:pPr>
        <w:pStyle w:val="Normal"/>
        <w:spacing w:before="0" w:after="0"/>
        <w:ind w:hanging="0" w:end="0"/>
        <w:rPr>
          <w:sz w:val="18"/>
        </w:rPr>
      </w:pPr>
      <w:r>
        <w:rPr>
          <w:sz w:val="18"/>
        </w:rPr>
      </w:r>
    </w:p>
    <w:p>
      <w:pPr>
        <w:pStyle w:val="Normal"/>
        <w:spacing w:before="0" w:after="0"/>
        <w:ind w:hanging="0" w:end="0"/>
        <w:rPr>
          <w:sz w:val="18"/>
        </w:rPr>
      </w:pPr>
      <w:r>
        <w:rPr>
          <w:sz w:val="18"/>
        </w:rPr>
      </w:r>
    </w:p>
    <w:p>
      <w:pPr>
        <w:pStyle w:val="Normal"/>
        <w:spacing w:before="0" w:after="0"/>
        <w:ind w:hanging="0" w:end="0"/>
        <w:rPr>
          <w:sz w:val="18"/>
        </w:rPr>
      </w:pPr>
      <w:r>
        <w:rPr>
          <w:sz w:val="18"/>
        </w:rPr>
      </w:r>
    </w:p>
    <w:p>
      <w:pPr>
        <w:pStyle w:val="Normal"/>
        <w:spacing w:before="0" w:after="0"/>
        <w:ind w:hanging="0" w:end="0"/>
        <w:rPr>
          <w:sz w:val="18"/>
        </w:rPr>
      </w:pPr>
      <w:r>
        <w:rPr>
          <w:sz w:val="18"/>
        </w:rPr>
      </w:r>
    </w:p>
    <w:p>
      <w:pPr>
        <w:pStyle w:val="Normal"/>
        <w:spacing w:before="0" w:after="0"/>
        <w:ind w:hanging="0" w:end="0"/>
        <w:rPr>
          <w:sz w:val="18"/>
        </w:rPr>
      </w:pPr>
      <w:r>
        <w:rPr>
          <w:sz w:val="18"/>
        </w:rPr>
      </w:r>
      <w:r>
        <w:br w:type="page"/>
      </w:r>
    </w:p>
    <w:p>
      <w:pPr>
        <w:pStyle w:val="Normal"/>
        <w:spacing w:before="0" w:after="0"/>
        <w:ind w:hanging="0" w:end="0"/>
        <w:rPr/>
      </w:pPr>
      <w:r>
        <w:rPr>
          <w:b/>
          <w:sz w:val="18"/>
        </w:rPr>
        <w:t xml:space="preserve">Exhibit 5 </w:t>
      </w:r>
      <w:r>
        <w:rPr/>
        <w:t>Vice President/Managing Director Performance Feedback</w:t>
      </w:r>
    </w:p>
    <w:p>
      <w:pPr>
        <w:pStyle w:val="Normal"/>
        <w:spacing w:before="120" w:after="0"/>
        <w:rPr/>
      </w:pPr>
      <w:r>
        <w:rPr/>
      </w:r>
    </w:p>
    <w:tbl>
      <w:tblPr>
        <w:tblW w:w="5276" w:type="dxa"/>
        <w:jc w:val="start"/>
        <w:tblInd w:w="-360" w:type="dxa"/>
        <w:tblLayout w:type="fixed"/>
        <w:tblCellMar>
          <w:top w:w="0" w:type="dxa"/>
          <w:start w:w="108" w:type="dxa"/>
          <w:bottom w:w="0" w:type="dxa"/>
          <w:end w:w="108" w:type="dxa"/>
        </w:tblCellMar>
      </w:tblPr>
      <w:tblGrid>
        <w:gridCol w:w="2376"/>
        <w:gridCol w:w="239"/>
        <w:gridCol w:w="501"/>
        <w:gridCol w:w="2160"/>
      </w:tblGrid>
      <w:tr>
        <w:trPr/>
        <w:tc>
          <w:tcPr>
            <w:tcW w:w="2376" w:type="dxa"/>
            <w:tcBorders>
              <w:top w:val="single" w:sz="6" w:space="0" w:color="000000"/>
              <w:start w:val="single" w:sz="6" w:space="0" w:color="000000"/>
              <w:bottom w:val="single" w:sz="6" w:space="0" w:color="000000"/>
              <w:end w:val="single" w:sz="6" w:space="0" w:color="000000"/>
            </w:tcBorders>
          </w:tcPr>
          <w:p>
            <w:pPr>
              <w:pStyle w:val="TBFR"/>
              <w:spacing w:lineRule="auto" w:line="240" w:before="40" w:after="40"/>
              <w:ind w:start="-72" w:end="0"/>
              <w:rPr>
                <w:b/>
                <w:sz w:val="16"/>
              </w:rPr>
            </w:pPr>
            <w:r>
              <w:rPr>
                <w:b/>
                <w:sz w:val="16"/>
              </w:rPr>
              <w:t>REVIEWER:</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160"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r>
    </w:tbl>
    <w:p>
      <w:pPr>
        <w:pStyle w:val="Normal"/>
        <w:spacing w:before="0" w:after="0"/>
        <w:rPr/>
      </w:pPr>
      <w:r>
        <w:rPr/>
      </w:r>
    </w:p>
    <w:tbl>
      <w:tblPr>
        <w:tblW w:w="9891" w:type="dxa"/>
        <w:jc w:val="start"/>
        <w:tblInd w:w="-360" w:type="dxa"/>
        <w:tblLayout w:type="fixed"/>
        <w:tblCellMar>
          <w:top w:w="0" w:type="dxa"/>
          <w:start w:w="108" w:type="dxa"/>
          <w:bottom w:w="0" w:type="dxa"/>
          <w:end w:w="108" w:type="dxa"/>
        </w:tblCellMar>
      </w:tblPr>
      <w:tblGrid>
        <w:gridCol w:w="2376"/>
        <w:gridCol w:w="239"/>
        <w:gridCol w:w="501"/>
        <w:gridCol w:w="2160"/>
        <w:gridCol w:w="1368"/>
        <w:gridCol w:w="367"/>
        <w:gridCol w:w="504"/>
        <w:gridCol w:w="2376"/>
      </w:tblGrid>
      <w:tr>
        <w:trPr/>
        <w:tc>
          <w:tcPr>
            <w:tcW w:w="2376" w:type="dxa"/>
            <w:tcBorders>
              <w:top w:val="single" w:sz="6" w:space="0" w:color="000000"/>
              <w:start w:val="single" w:sz="6" w:space="0" w:color="000000"/>
              <w:bottom w:val="single" w:sz="6" w:space="0" w:color="000000"/>
              <w:end w:val="single" w:sz="6" w:space="0" w:color="000000"/>
            </w:tcBorders>
          </w:tcPr>
          <w:p>
            <w:pPr>
              <w:pStyle w:val="TBFR"/>
              <w:spacing w:lineRule="auto" w:line="240" w:before="40" w:after="40"/>
              <w:ind w:start="-126" w:end="0"/>
              <w:rPr>
                <w:b/>
                <w:sz w:val="16"/>
              </w:rPr>
            </w:pPr>
            <w:r>
              <w:rPr>
                <w:b/>
                <w:sz w:val="16"/>
              </w:rPr>
              <w:t>EMPLOYEE’S SUPERVISOR:</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160"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c>
          <w:tcPr>
            <w:tcW w:w="1368" w:type="dxa"/>
            <w:tcBorders>
              <w:top w:val="single" w:sz="6" w:space="0" w:color="000000"/>
              <w:bottom w:val="single" w:sz="6" w:space="0" w:color="000000"/>
              <w:end w:val="single" w:sz="6" w:space="0" w:color="000000"/>
            </w:tcBorders>
          </w:tcPr>
          <w:p>
            <w:pPr>
              <w:pStyle w:val="TBFL"/>
              <w:spacing w:lineRule="auto" w:line="240" w:before="40" w:after="40"/>
              <w:ind w:start="-72" w:end="0"/>
              <w:jc w:val="end"/>
              <w:rPr>
                <w:b/>
                <w:sz w:val="16"/>
              </w:rPr>
            </w:pPr>
            <w:r>
              <w:rPr>
                <w:b/>
                <w:sz w:val="16"/>
              </w:rPr>
              <w:t>DEPARTMENT:</w:t>
            </w:r>
          </w:p>
        </w:tc>
        <w:tc>
          <w:tcPr>
            <w:tcW w:w="367"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4"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376"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r>
    </w:tbl>
    <w:p>
      <w:pPr>
        <w:pStyle w:val="NormalLeft"/>
        <w:spacing w:before="240" w:after="160"/>
        <w:ind w:start="360" w:end="0"/>
        <w:rPr/>
      </w:pPr>
      <w:r>
        <w:rPr/>
        <w:t>In preparation for the performance review, please provide customer feedback regarding:</w:t>
      </w:r>
    </w:p>
    <w:tbl>
      <w:tblPr>
        <w:tblW w:w="9468" w:type="dxa"/>
        <w:jc w:val="start"/>
        <w:tblInd w:w="-360" w:type="dxa"/>
        <w:tblLayout w:type="fixed"/>
        <w:tblCellMar>
          <w:top w:w="0" w:type="dxa"/>
          <w:start w:w="108" w:type="dxa"/>
          <w:bottom w:w="0" w:type="dxa"/>
          <w:end w:w="108" w:type="dxa"/>
        </w:tblCellMar>
      </w:tblPr>
      <w:tblGrid>
        <w:gridCol w:w="1868"/>
        <w:gridCol w:w="239"/>
        <w:gridCol w:w="501"/>
        <w:gridCol w:w="2520"/>
        <w:gridCol w:w="1584"/>
        <w:gridCol w:w="239"/>
        <w:gridCol w:w="501"/>
        <w:gridCol w:w="2016"/>
      </w:tblGrid>
      <w:tr>
        <w:trPr/>
        <w:tc>
          <w:tcPr>
            <w:tcW w:w="1868" w:type="dxa"/>
            <w:tcBorders>
              <w:top w:val="single" w:sz="6" w:space="0" w:color="000000"/>
              <w:start w:val="single" w:sz="6" w:space="0" w:color="000000"/>
              <w:bottom w:val="single" w:sz="6" w:space="0" w:color="000000"/>
              <w:end w:val="single" w:sz="6" w:space="0" w:color="000000"/>
            </w:tcBorders>
          </w:tcPr>
          <w:p>
            <w:pPr>
              <w:pStyle w:val="TBFR"/>
              <w:spacing w:lineRule="auto" w:line="240" w:before="40" w:after="40"/>
              <w:ind w:start="-72" w:end="0"/>
              <w:rPr>
                <w:b/>
                <w:sz w:val="16"/>
              </w:rPr>
            </w:pPr>
            <w:r>
              <w:rPr>
                <w:b/>
                <w:sz w:val="16"/>
              </w:rPr>
              <w:t>EMPLOYEE:</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520"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c>
          <w:tcPr>
            <w:tcW w:w="1584" w:type="dxa"/>
            <w:tcBorders>
              <w:top w:val="single" w:sz="6" w:space="0" w:color="000000"/>
              <w:bottom w:val="single" w:sz="6" w:space="0" w:color="000000"/>
              <w:end w:val="single" w:sz="6" w:space="0" w:color="000000"/>
            </w:tcBorders>
          </w:tcPr>
          <w:p>
            <w:pPr>
              <w:pStyle w:val="TBFL"/>
              <w:spacing w:lineRule="auto" w:line="240" w:before="40" w:after="40"/>
              <w:ind w:start="-72" w:end="0"/>
              <w:jc w:val="end"/>
              <w:rPr>
                <w:b/>
                <w:sz w:val="16"/>
              </w:rPr>
            </w:pPr>
            <w:r>
              <w:rPr>
                <w:b/>
                <w:sz w:val="16"/>
              </w:rPr>
              <w:t>REVIEW PERIOD:</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016"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r>
    </w:tbl>
    <w:p>
      <w:pPr>
        <w:pStyle w:val="Normal"/>
        <w:spacing w:before="0" w:after="0"/>
        <w:rPr>
          <w:sz w:val="16"/>
        </w:rPr>
      </w:pPr>
      <w:r>
        <w:rPr>
          <w:sz w:val="16"/>
        </w:rPr>
      </w:r>
    </w:p>
    <w:tbl>
      <w:tblPr>
        <w:tblW w:w="9472" w:type="dxa"/>
        <w:jc w:val="start"/>
        <w:tblInd w:w="-360" w:type="dxa"/>
        <w:tblLayout w:type="fixed"/>
        <w:tblCellMar>
          <w:top w:w="0" w:type="dxa"/>
          <w:start w:w="108" w:type="dxa"/>
          <w:bottom w:w="0" w:type="dxa"/>
          <w:end w:w="108" w:type="dxa"/>
        </w:tblCellMar>
      </w:tblPr>
      <w:tblGrid>
        <w:gridCol w:w="1872"/>
        <w:gridCol w:w="239"/>
        <w:gridCol w:w="501"/>
        <w:gridCol w:w="2520"/>
        <w:gridCol w:w="1584"/>
        <w:gridCol w:w="239"/>
        <w:gridCol w:w="501"/>
        <w:gridCol w:w="2016"/>
      </w:tblGrid>
      <w:tr>
        <w:trPr/>
        <w:tc>
          <w:tcPr>
            <w:tcW w:w="1872" w:type="dxa"/>
            <w:tcBorders>
              <w:top w:val="single" w:sz="6" w:space="0" w:color="000000"/>
              <w:start w:val="single" w:sz="6" w:space="0" w:color="000000"/>
              <w:bottom w:val="single" w:sz="6" w:space="0" w:color="000000"/>
              <w:end w:val="single" w:sz="6" w:space="0" w:color="000000"/>
            </w:tcBorders>
          </w:tcPr>
          <w:p>
            <w:pPr>
              <w:pStyle w:val="TBFR"/>
              <w:spacing w:lineRule="auto" w:line="240" w:before="40" w:after="40"/>
              <w:ind w:start="-72" w:end="0"/>
              <w:rPr>
                <w:b/>
                <w:sz w:val="16"/>
              </w:rPr>
            </w:pPr>
            <w:r>
              <w:rPr>
                <w:b/>
                <w:sz w:val="16"/>
              </w:rPr>
              <w:t>JOB GROUP:</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520"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c>
          <w:tcPr>
            <w:tcW w:w="1584" w:type="dxa"/>
            <w:tcBorders>
              <w:top w:val="single" w:sz="6" w:space="0" w:color="000000"/>
              <w:bottom w:val="single" w:sz="6" w:space="0" w:color="000000"/>
              <w:end w:val="single" w:sz="6" w:space="0" w:color="000000"/>
            </w:tcBorders>
          </w:tcPr>
          <w:p>
            <w:pPr>
              <w:pStyle w:val="TBFL"/>
              <w:spacing w:lineRule="auto" w:line="240" w:before="40" w:after="40"/>
              <w:ind w:start="-72" w:end="0"/>
              <w:jc w:val="end"/>
              <w:rPr>
                <w:b/>
                <w:sz w:val="16"/>
              </w:rPr>
            </w:pPr>
            <w:r>
              <w:rPr>
                <w:b/>
                <w:sz w:val="16"/>
              </w:rPr>
              <w:t>JOB TITLE:</w:t>
            </w:r>
          </w:p>
        </w:tc>
        <w:tc>
          <w:tcPr>
            <w:tcW w:w="239" w:type="dxa"/>
            <w:tcBorders>
              <w:top w:val="single" w:sz="6" w:space="0" w:color="000000"/>
              <w:bottom w:val="single" w:sz="6" w:space="0" w:color="000000"/>
            </w:tcBorders>
          </w:tcPr>
          <w:p>
            <w:pPr>
              <w:pStyle w:val="TBFL"/>
              <w:snapToGrid w:val="false"/>
              <w:spacing w:lineRule="auto" w:line="240"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lineRule="auto" w:line="240" w:before="40" w:after="40"/>
              <w:rPr>
                <w:sz w:val="16"/>
              </w:rPr>
            </w:pPr>
            <w:r>
              <w:rPr>
                <w:sz w:val="16"/>
              </w:rPr>
            </w:r>
          </w:p>
        </w:tc>
        <w:tc>
          <w:tcPr>
            <w:tcW w:w="2016" w:type="dxa"/>
            <w:tcBorders>
              <w:top w:val="single" w:sz="6" w:space="0" w:color="000000"/>
              <w:bottom w:val="single" w:sz="6" w:space="0" w:color="000000"/>
              <w:end w:val="single" w:sz="6" w:space="0" w:color="000000"/>
            </w:tcBorders>
          </w:tcPr>
          <w:p>
            <w:pPr>
              <w:pStyle w:val="TBFL"/>
              <w:snapToGrid w:val="false"/>
              <w:spacing w:lineRule="auto" w:line="240" w:before="40" w:after="40"/>
              <w:rPr>
                <w:sz w:val="16"/>
              </w:rPr>
            </w:pPr>
            <w:r>
              <w:rPr>
                <w:sz w:val="16"/>
              </w:rPr>
            </w:r>
          </w:p>
        </w:tc>
      </w:tr>
    </w:tbl>
    <w:p>
      <w:pPr>
        <w:pStyle w:val="EXHIBITTITLE"/>
        <w:spacing w:before="0" w:after="0"/>
        <w:ind w:hanging="1152" w:start="1152" w:end="0"/>
        <w:rPr>
          <w:b/>
          <w:sz w:val="16"/>
        </w:rPr>
      </w:pPr>
      <w:r>
        <w:rPr>
          <w:b/>
          <w:sz w:val="16"/>
        </w:rPr>
      </w:r>
    </w:p>
    <w:p>
      <w:pPr>
        <w:pStyle w:val="NormalLeft"/>
        <w:tabs>
          <w:tab w:val="clear" w:pos="720"/>
          <w:tab w:val="left" w:pos="504" w:leader="none"/>
        </w:tabs>
        <w:spacing w:before="240" w:after="0"/>
        <w:ind w:start="-360" w:end="0"/>
        <w:rPr/>
      </w:pPr>
      <w:r>
        <w:rPr>
          <w:rFonts w:cs="Helvetica" w:ascii="Helvetica" w:hAnsi="Helvetica"/>
          <w:b/>
          <w:sz w:val="16"/>
        </w:rPr>
        <w:t>NOTE</w:t>
      </w:r>
      <w:r>
        <w:rPr>
          <w:rFonts w:cs="Helvetica" w:ascii="Helvetica" w:hAnsi="Helvetica"/>
          <w:sz w:val="16"/>
        </w:rPr>
        <w:t>:</w:t>
        <w:tab/>
        <w:t>For your reference, skills and behaviors descriptors are attached to the end of this document.</w:t>
      </w:r>
    </w:p>
    <w:p>
      <w:pPr>
        <w:pStyle w:val="NormalLeft"/>
        <w:tabs>
          <w:tab w:val="clear" w:pos="720"/>
          <w:tab w:val="left" w:pos="504" w:leader="none"/>
        </w:tabs>
        <w:spacing w:before="0" w:after="0"/>
        <w:ind w:start="-360" w:end="0"/>
        <w:rPr/>
      </w:pPr>
      <w:r>
        <w:rPr>
          <w:rFonts w:cs="Helvetica" w:ascii="Helvetica" w:hAnsi="Helvetica"/>
          <w:b/>
          <w:sz w:val="16"/>
        </w:rPr>
        <w:tab/>
      </w:r>
      <w:r>
        <w:rPr>
          <w:rFonts w:cs="Helvetica" w:ascii="Helvetica" w:hAnsi="Helvetica"/>
          <w:sz w:val="16"/>
        </w:rPr>
        <w:t xml:space="preserve">All of the comment fields below will expand as you continue to type in the box.  </w:t>
      </w:r>
    </w:p>
    <w:p>
      <w:pPr>
        <w:pStyle w:val="Normal"/>
        <w:rPr>
          <w:rFonts w:ascii="Helvetica" w:hAnsi="Helvetica" w:cs="Helvetica"/>
          <w:sz w:val="16"/>
        </w:rPr>
      </w:pPr>
      <w:r>
        <w:rPr>
          <w:rFonts w:cs="Helvetica" w:ascii="Helvetica" w:hAnsi="Helvetica"/>
          <w:sz w:val="16"/>
        </w:rPr>
      </w:r>
    </w:p>
    <w:tbl>
      <w:tblPr>
        <w:tblW w:w="9891" w:type="dxa"/>
        <w:jc w:val="start"/>
        <w:tblInd w:w="-360" w:type="dxa"/>
        <w:tblLayout w:type="fixed"/>
        <w:tblCellMar>
          <w:top w:w="0" w:type="dxa"/>
          <w:start w:w="108" w:type="dxa"/>
          <w:bottom w:w="0" w:type="dxa"/>
          <w:end w:w="108" w:type="dxa"/>
        </w:tblCellMar>
      </w:tblPr>
      <w:tblGrid>
        <w:gridCol w:w="3708"/>
        <w:gridCol w:w="1710"/>
        <w:gridCol w:w="4473"/>
      </w:tblGrid>
      <w:tr>
        <w:trPr>
          <w:tblHeader w:val="true"/>
        </w:trPr>
        <w:tc>
          <w:tcPr>
            <w:tcW w:w="3708" w:type="dxa"/>
            <w:tcBorders>
              <w:top w:val="single" w:sz="6" w:space="0" w:color="000000"/>
              <w:start w:val="single" w:sz="6" w:space="0" w:color="000000"/>
              <w:bottom w:val="single" w:sz="6" w:space="0" w:color="000000"/>
              <w:end w:val="single" w:sz="6" w:space="0" w:color="000000"/>
            </w:tcBorders>
            <w:shd w:fill="E5E5E5" w:val="clear"/>
          </w:tcPr>
          <w:p>
            <w:pPr>
              <w:pStyle w:val="THFL"/>
              <w:spacing w:lineRule="auto" w:line="240" w:before="40" w:after="40"/>
              <w:rPr/>
            </w:pPr>
            <w:r>
              <w:rPr/>
              <w:t>SKILLS/BEHAVIORS</w:t>
            </w:r>
          </w:p>
        </w:tc>
        <w:tc>
          <w:tcPr>
            <w:tcW w:w="1710" w:type="dxa"/>
            <w:tcBorders>
              <w:top w:val="single" w:sz="6" w:space="0" w:color="000000"/>
              <w:start w:val="single" w:sz="6" w:space="0" w:color="000000"/>
              <w:bottom w:val="single" w:sz="6" w:space="0" w:color="000000"/>
              <w:end w:val="single" w:sz="6" w:space="0" w:color="000000"/>
            </w:tcBorders>
            <w:shd w:fill="E5E5E5" w:val="clear"/>
          </w:tcPr>
          <w:p>
            <w:pPr>
              <w:pStyle w:val="THCTR"/>
              <w:spacing w:lineRule="auto" w:line="240" w:before="40" w:after="40"/>
              <w:rPr/>
            </w:pPr>
            <w:r>
              <w:rPr/>
              <w:t>RATING</w:t>
            </w:r>
          </w:p>
        </w:tc>
        <w:tc>
          <w:tcPr>
            <w:tcW w:w="4473" w:type="dxa"/>
            <w:tcBorders>
              <w:top w:val="single" w:sz="6" w:space="0" w:color="000000"/>
              <w:start w:val="single" w:sz="6" w:space="0" w:color="000000"/>
              <w:bottom w:val="single" w:sz="6" w:space="0" w:color="000000"/>
              <w:end w:val="single" w:sz="6" w:space="0" w:color="000000"/>
            </w:tcBorders>
            <w:shd w:fill="E5E5E5" w:val="clear"/>
          </w:tcPr>
          <w:p>
            <w:pPr>
              <w:pStyle w:val="THCTR"/>
              <w:spacing w:lineRule="auto" w:line="240" w:before="40" w:after="40"/>
              <w:jc w:val="start"/>
              <w:rPr/>
            </w:pPr>
            <w:r>
              <w:rPr/>
              <w:t>COMMENTS</w:t>
            </w:r>
          </w:p>
        </w:tc>
      </w:tr>
      <w:tr>
        <w:trPr/>
        <w:tc>
          <w:tcPr>
            <w:tcW w:w="3708" w:type="dxa"/>
            <w:tcBorders>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7">
                      <wp:simplePos x="0" y="0"/>
                      <wp:positionH relativeFrom="margin">
                        <wp:posOffset>3272790</wp:posOffset>
                      </wp:positionH>
                      <wp:positionV relativeFrom="paragraph">
                        <wp:posOffset>2540</wp:posOffset>
                      </wp:positionV>
                      <wp:extent cx="401955" cy="173355"/>
                      <wp:effectExtent l="5715" t="5715" r="4445" b="4445"/>
                      <wp:wrapNone/>
                      <wp:docPr id="6"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2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INNOVATION/ENTREPRENEURSHIP</w:t>
            </w:r>
          </w:p>
        </w:tc>
        <w:tc>
          <w:tcPr>
            <w:tcW w:w="1710" w:type="dxa"/>
            <w:tcBorders>
              <w:start w:val="single" w:sz="6" w:space="0" w:color="000000"/>
              <w:bottom w:val="single" w:sz="6" w:space="0" w:color="000000"/>
              <w:end w:val="single" w:sz="6" w:space="0" w:color="000000"/>
            </w:tcBorders>
            <w:vAlign w:val="center"/>
          </w:tcPr>
          <w:p>
            <w:pPr>
              <w:pStyle w:val="TBFL"/>
              <w:spacing w:lineRule="auto" w:line="240" w:before="0" w:after="240"/>
              <w:jc w:val="center"/>
              <w:rPr>
                <w:sz w:val="17"/>
              </w:rPr>
            </w:pPr>
            <w:r>
              <w:rPr>
                <w:sz w:val="17"/>
                <w:shd w:fill="E5E5E5" w:val="clear"/>
              </w:rPr>
              <w:t>SELECT RATING</w:t>
            </w:r>
          </w:p>
        </w:tc>
        <w:tc>
          <w:tcPr>
            <w:tcW w:w="4473" w:type="dxa"/>
            <w:tcBorders>
              <w:start w:val="single" w:sz="6" w:space="0" w:color="000000"/>
              <w:bottom w:val="single" w:sz="6" w:space="0" w:color="000000"/>
              <w:end w:val="single" w:sz="6" w:space="0" w:color="000000"/>
            </w:tcBorders>
          </w:tcPr>
          <w:p>
            <w:pPr>
              <w:pStyle w:val="TBFL"/>
              <w:snapToGrid w:val="false"/>
              <w:spacing w:lineRule="auto" w:line="240" w:before="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8">
                      <wp:simplePos x="0" y="0"/>
                      <wp:positionH relativeFrom="margin">
                        <wp:posOffset>3272790</wp:posOffset>
                      </wp:positionH>
                      <wp:positionV relativeFrom="paragraph">
                        <wp:posOffset>635</wp:posOffset>
                      </wp:positionV>
                      <wp:extent cx="401955" cy="173355"/>
                      <wp:effectExtent l="5715" t="5715" r="4445" b="4445"/>
                      <wp:wrapNone/>
                      <wp:docPr id="7"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COMMUNICATION / SETTING</w:t>
              <w:br/>
              <w:t>DIRECTION</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lineRule="auto" w:line="240" w:before="120" w:after="240"/>
              <w:jc w:val="center"/>
              <w:rPr>
                <w:sz w:val="17"/>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9">
                      <wp:simplePos x="0" y="0"/>
                      <wp:positionH relativeFrom="margin">
                        <wp:posOffset>3272790</wp:posOffset>
                      </wp:positionH>
                      <wp:positionV relativeFrom="paragraph">
                        <wp:posOffset>-1270</wp:posOffset>
                      </wp:positionV>
                      <wp:extent cx="401955" cy="173355"/>
                      <wp:effectExtent l="5715" t="5715" r="4445" b="4445"/>
                      <wp:wrapNone/>
                      <wp:docPr id="8"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1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TEAMWORK / INTERPERSONAL</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lineRule="auto" w:line="240" w:before="120" w:after="240"/>
              <w:jc w:val="center"/>
              <w:rPr>
                <w:sz w:val="17"/>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10">
                      <wp:simplePos x="0" y="0"/>
                      <wp:positionH relativeFrom="margin">
                        <wp:posOffset>3272790</wp:posOffset>
                      </wp:positionH>
                      <wp:positionV relativeFrom="paragraph">
                        <wp:posOffset>2540</wp:posOffset>
                      </wp:positionV>
                      <wp:extent cx="401955" cy="173355"/>
                      <wp:effectExtent l="5715" t="5715" r="4445" b="4445"/>
                      <wp:wrapNone/>
                      <wp:docPr id="9"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2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LEADERSHIP / VISION &amp; VALUES</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lineRule="auto" w:line="240" w:before="120" w:after="240"/>
              <w:jc w:val="center"/>
              <w:rPr>
                <w:sz w:val="17"/>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240"/>
              <w:rPr>
                <w:sz w:val="17"/>
              </w:rPr>
            </w:pPr>
            <w:r>
              <w:rPr>
                <w:sz w:val="17"/>
              </w:rPr>
            </w:r>
          </w:p>
        </w:tc>
      </w:tr>
      <w:tr>
        <w:trPr/>
        <w:tc>
          <w:tcPr>
            <w:tcW w:w="3708" w:type="dxa"/>
            <w:tcBorders>
              <w:top w:val="single" w:sz="6" w:space="0" w:color="000000"/>
              <w:start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11">
                      <wp:simplePos x="0" y="0"/>
                      <wp:positionH relativeFrom="margin">
                        <wp:posOffset>3272790</wp:posOffset>
                      </wp:positionH>
                      <wp:positionV relativeFrom="paragraph">
                        <wp:posOffset>-2540</wp:posOffset>
                      </wp:positionV>
                      <wp:extent cx="401955" cy="173355"/>
                      <wp:effectExtent l="5715" t="5715" r="4445" b="4445"/>
                      <wp:wrapNone/>
                      <wp:docPr id="10"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2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BUSINESS INSTINCTS</w:t>
            </w:r>
          </w:p>
        </w:tc>
        <w:tc>
          <w:tcPr>
            <w:tcW w:w="1710" w:type="dxa"/>
            <w:tcBorders>
              <w:top w:val="single" w:sz="6" w:space="0" w:color="000000"/>
              <w:start w:val="single" w:sz="6" w:space="0" w:color="000000"/>
              <w:end w:val="single" w:sz="6" w:space="0" w:color="000000"/>
            </w:tcBorders>
            <w:vAlign w:val="center"/>
          </w:tcPr>
          <w:p>
            <w:pPr>
              <w:pStyle w:val="TBFL"/>
              <w:spacing w:lineRule="auto" w:line="240" w:before="120" w:after="240"/>
              <w:jc w:val="center"/>
              <w:rPr>
                <w:sz w:val="17"/>
              </w:rPr>
            </w:pPr>
            <w:r>
              <w:rPr>
                <w:sz w:val="17"/>
                <w:shd w:fill="E5E5E5" w:val="clear"/>
              </w:rPr>
              <w:t>SELECT RATING</w:t>
            </w:r>
          </w:p>
        </w:tc>
        <w:tc>
          <w:tcPr>
            <w:tcW w:w="4473" w:type="dxa"/>
            <w:tcBorders>
              <w:top w:val="single" w:sz="6" w:space="0" w:color="000000"/>
              <w:start w:val="single" w:sz="6" w:space="0" w:color="000000"/>
              <w:end w:val="single" w:sz="6" w:space="0" w:color="000000"/>
            </w:tcBorders>
          </w:tcPr>
          <w:p>
            <w:pPr>
              <w:pStyle w:val="TBFL"/>
              <w:snapToGrid w:val="false"/>
              <w:spacing w:lineRule="auto" w:line="240"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12">
                      <wp:simplePos x="0" y="0"/>
                      <wp:positionH relativeFrom="margin">
                        <wp:posOffset>3272790</wp:posOffset>
                      </wp:positionH>
                      <wp:positionV relativeFrom="paragraph">
                        <wp:posOffset>-1270</wp:posOffset>
                      </wp:positionV>
                      <wp:extent cx="401955" cy="173355"/>
                      <wp:effectExtent l="5715" t="5715" r="4445" b="4445"/>
                      <wp:wrapNone/>
                      <wp:docPr id="11"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1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ANALYTICAL / TECHNICAL</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lineRule="auto" w:line="240" w:before="120" w:after="240"/>
              <w:jc w:val="center"/>
              <w:rPr>
                <w:sz w:val="17"/>
                <w:shd w:fill="E5E5E5" w:val="clear"/>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240"/>
              <w:rPr>
                <w:sz w:val="17"/>
                <w:shd w:fill="E5E5E5" w:val="clear"/>
              </w:rPr>
            </w:pPr>
            <w:r>
              <w:rPr>
                <w:sz w:val="17"/>
                <w:shd w:fill="E5E5E5" w:val="clear"/>
              </w:rPr>
            </w:r>
          </w:p>
        </w:tc>
      </w:tr>
      <w:tr>
        <w:trPr/>
        <w:tc>
          <w:tcPr>
            <w:tcW w:w="3708" w:type="dxa"/>
            <w:tcBorders/>
          </w:tcPr>
          <w:p>
            <w:pPr>
              <w:pStyle w:val="TBFL"/>
              <w:snapToGrid w:val="false"/>
              <w:spacing w:lineRule="auto" w:line="240" w:before="40" w:after="0"/>
              <w:rPr>
                <w:sz w:val="16"/>
              </w:rPr>
            </w:pPr>
            <w:r>
              <w:rPr>
                <w:sz w:val="16"/>
              </w:rPr>
            </w:r>
          </w:p>
        </w:tc>
        <w:tc>
          <w:tcPr>
            <w:tcW w:w="1710" w:type="dxa"/>
            <w:tcBorders>
              <w:bottom w:val="single" w:sz="6" w:space="0" w:color="000000"/>
            </w:tcBorders>
            <w:vAlign w:val="center"/>
          </w:tcPr>
          <w:p>
            <w:pPr>
              <w:pStyle w:val="TBFL"/>
              <w:snapToGrid w:val="false"/>
              <w:spacing w:lineRule="auto" w:line="240" w:before="40" w:after="0"/>
              <w:jc w:val="center"/>
              <w:rPr>
                <w:sz w:val="16"/>
              </w:rPr>
            </w:pPr>
            <w:r>
              <w:rPr>
                <w:sz w:val="16"/>
              </w:rPr>
            </w:r>
          </w:p>
        </w:tc>
        <w:tc>
          <w:tcPr>
            <w:tcW w:w="4473" w:type="dxa"/>
            <w:tcBorders/>
          </w:tcPr>
          <w:p>
            <w:pPr>
              <w:pStyle w:val="TBFL"/>
              <w:snapToGrid w:val="false"/>
              <w:spacing w:lineRule="auto" w:line="240" w:before="40" w:after="0"/>
              <w:rPr>
                <w:sz w:val="16"/>
              </w:rPr>
            </w:pPr>
            <w:r>
              <w:rPr>
                <w:sz w:val="16"/>
              </w:rPr>
            </w:r>
          </w:p>
        </w:tc>
      </w:tr>
      <w:tr>
        <w:trPr/>
        <w:tc>
          <w:tcPr>
            <w:tcW w:w="3708" w:type="dxa"/>
            <w:tcBorders>
              <w:top w:val="single" w:sz="6" w:space="0" w:color="000000"/>
              <w:start w:val="single" w:sz="6" w:space="0" w:color="000000"/>
              <w:bottom w:val="single" w:sz="6" w:space="0" w:color="000000"/>
            </w:tcBorders>
            <w:shd w:fill="000000" w:val="clear"/>
          </w:tcPr>
          <w:p>
            <w:pPr>
              <w:pStyle w:val="TBFL"/>
              <w:snapToGrid w:val="false"/>
              <w:spacing w:lineRule="auto" w:line="240" w:before="40" w:after="240"/>
              <w:rPr>
                <w:sz w:val="16"/>
                <w:lang w:val="en-CA" w:eastAsia="en-CA"/>
              </w:rPr>
            </w:pPr>
            <w:r>
              <w:rPr>
                <w:sz w:val="16"/>
                <w:lang w:val="en-CA" w:eastAsia="en-CA"/>
              </w:rPr>
              <mc:AlternateContent>
                <mc:Choice Requires="wps">
                  <w:drawing>
                    <wp:anchor behindDoc="0" distT="0" distB="0" distL="114935" distR="114935" simplePos="0" locked="0" layoutInCell="0" allowOverlap="1" relativeHeight="13">
                      <wp:simplePos x="0" y="0"/>
                      <wp:positionH relativeFrom="margin">
                        <wp:posOffset>3272790</wp:posOffset>
                      </wp:positionH>
                      <wp:positionV relativeFrom="paragraph">
                        <wp:posOffset>635</wp:posOffset>
                      </wp:positionV>
                      <wp:extent cx="401955" cy="173355"/>
                      <wp:effectExtent l="5715" t="5715" r="4445" b="4445"/>
                      <wp:wrapNone/>
                      <wp:docPr id="12"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pt;width:31.6pt;height:13.6pt;mso-wrap-style:none;v-text-anchor:middle;mso-position-horizontal-relative:margin">
                      <v:fill o:detectmouseclick="t" type="solid" color2="#151515"/>
                      <v:stroke color="black" weight="9360" joinstyle="miter" endcap="flat"/>
                      <w10:wrap type="none"/>
                    </v:rect>
                  </w:pict>
                </mc:Fallback>
              </mc:AlternateContent>
            </w:r>
          </w:p>
        </w:tc>
        <w:tc>
          <w:tcPr>
            <w:tcW w:w="1710" w:type="dxa"/>
            <w:tcBorders>
              <w:bottom w:val="single" w:sz="6" w:space="0" w:color="000000"/>
            </w:tcBorders>
            <w:shd w:fill="000000" w:val="clear"/>
            <w:vAlign w:val="center"/>
          </w:tcPr>
          <w:p>
            <w:pPr>
              <w:pStyle w:val="TBFL"/>
              <w:spacing w:lineRule="auto" w:line="240" w:before="40" w:after="240"/>
              <w:jc w:val="center"/>
              <w:rPr>
                <w:b/>
                <w:color w:val="808080"/>
                <w:sz w:val="16"/>
                <w:shd w:fill="E5E5E5" w:val="clear"/>
              </w:rPr>
            </w:pPr>
            <w:r>
              <w:rPr>
                <w:b/>
                <w:color w:val="808080"/>
                <w:sz w:val="16"/>
                <w:shd w:fill="F2F2F2" w:val="clear"/>
              </w:rPr>
              <w:t>SELECT RATING</w:t>
            </w:r>
          </w:p>
        </w:tc>
        <w:tc>
          <w:tcPr>
            <w:tcW w:w="4473" w:type="dxa"/>
            <w:tcBorders>
              <w:top w:val="single" w:sz="6" w:space="0" w:color="000000"/>
              <w:bottom w:val="single" w:sz="6" w:space="0" w:color="000000"/>
              <w:end w:val="single" w:sz="6" w:space="0" w:color="000000"/>
            </w:tcBorders>
            <w:shd w:fill="000000" w:val="clear"/>
          </w:tcPr>
          <w:p>
            <w:pPr>
              <w:pStyle w:val="TBFL"/>
              <w:snapToGrid w:val="false"/>
              <w:spacing w:lineRule="auto" w:line="240" w:before="40" w:after="240"/>
              <w:rPr>
                <w:b/>
                <w:color w:val="808080"/>
                <w:sz w:val="16"/>
                <w:shd w:fill="E5E5E5" w:val="clear"/>
              </w:rPr>
            </w:pPr>
            <w:r>
              <w:rPr>
                <w:b/>
                <w:color w:val="808080"/>
                <w:sz w:val="16"/>
                <w:shd w:fill="E5E5E5" w:val="clear"/>
              </w:rPr>
            </w:r>
          </w:p>
        </w:tc>
      </w:tr>
    </w:tbl>
    <w:p>
      <w:pPr>
        <w:pStyle w:val="Normal"/>
        <w:spacing w:before="120" w:after="0"/>
        <w:rPr/>
      </w:pPr>
      <w:r>
        <w:rPr/>
      </w:r>
    </w:p>
    <w:tbl>
      <w:tblPr>
        <w:tblW w:w="9891" w:type="dxa"/>
        <w:jc w:val="start"/>
        <w:tblInd w:w="-360" w:type="dxa"/>
        <w:tblLayout w:type="fixed"/>
        <w:tblCellMar>
          <w:top w:w="0" w:type="dxa"/>
          <w:start w:w="108" w:type="dxa"/>
          <w:bottom w:w="0" w:type="dxa"/>
          <w:end w:w="108" w:type="dxa"/>
        </w:tblCellMar>
      </w:tblPr>
      <w:tblGrid>
        <w:gridCol w:w="3708"/>
        <w:gridCol w:w="6183"/>
      </w:tblGrid>
      <w:tr>
        <w:trPr>
          <w:tblHeader w:val="true"/>
        </w:trPr>
        <w:tc>
          <w:tcPr>
            <w:tcW w:w="3708" w:type="dxa"/>
            <w:tcBorders>
              <w:top w:val="single" w:sz="6" w:space="0" w:color="000000"/>
              <w:start w:val="single" w:sz="6" w:space="0" w:color="000000"/>
              <w:bottom w:val="single" w:sz="6" w:space="0" w:color="000000"/>
              <w:end w:val="single" w:sz="6" w:space="0" w:color="000000"/>
            </w:tcBorders>
            <w:shd w:fill="E5E5E5" w:val="clear"/>
          </w:tcPr>
          <w:p>
            <w:pPr>
              <w:pStyle w:val="THFL"/>
              <w:spacing w:lineRule="auto" w:line="240" w:before="40" w:after="40"/>
              <w:rPr/>
            </w:pPr>
            <w:r>
              <w:rPr/>
              <w:t>QUESTIONS</w:t>
            </w:r>
          </w:p>
        </w:tc>
        <w:tc>
          <w:tcPr>
            <w:tcW w:w="6183" w:type="dxa"/>
            <w:tcBorders>
              <w:top w:val="single" w:sz="6" w:space="0" w:color="000000"/>
              <w:start w:val="single" w:sz="6" w:space="0" w:color="000000"/>
              <w:bottom w:val="single" w:sz="6" w:space="0" w:color="000000"/>
              <w:end w:val="single" w:sz="6" w:space="0" w:color="000000"/>
            </w:tcBorders>
            <w:shd w:fill="E5E5E5" w:val="clear"/>
          </w:tcPr>
          <w:p>
            <w:pPr>
              <w:pStyle w:val="THCTR"/>
              <w:spacing w:lineRule="auto" w:line="240" w:before="40" w:after="40"/>
              <w:jc w:val="start"/>
              <w:rPr/>
            </w:pPr>
            <w:r>
              <w:rPr/>
              <w:t>COMMENTS</w:t>
            </w:r>
          </w:p>
        </w:tc>
      </w:tr>
      <w:tr>
        <w:trPr/>
        <w:tc>
          <w:tcPr>
            <w:tcW w:w="3708" w:type="dxa"/>
            <w:tcBorders>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14">
                      <wp:simplePos x="0" y="0"/>
                      <wp:positionH relativeFrom="margin">
                        <wp:posOffset>2211705</wp:posOffset>
                      </wp:positionH>
                      <wp:positionV relativeFrom="paragraph">
                        <wp:posOffset>4445</wp:posOffset>
                      </wp:positionV>
                      <wp:extent cx="401955" cy="173355"/>
                      <wp:effectExtent l="5715" t="5715" r="4445" b="4445"/>
                      <wp:wrapNone/>
                      <wp:docPr id="13"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174.15pt;margin-top:0.35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Describe your observations of, or interactions with, the employee and their work.</w:t>
            </w:r>
          </w:p>
        </w:tc>
        <w:tc>
          <w:tcPr>
            <w:tcW w:w="6183" w:type="dxa"/>
            <w:tcBorders>
              <w:start w:val="single" w:sz="6" w:space="0" w:color="000000"/>
              <w:bottom w:val="single" w:sz="6" w:space="0" w:color="000000"/>
              <w:end w:val="single" w:sz="6" w:space="0" w:color="000000"/>
            </w:tcBorders>
          </w:tcPr>
          <w:p>
            <w:pPr>
              <w:pStyle w:val="TBFL"/>
              <w:snapToGrid w:val="false"/>
              <w:spacing w:lineRule="auto" w:line="240" w:before="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240"/>
              <w:rPr>
                <w:sz w:val="17"/>
              </w:rPr>
            </w:pPr>
            <w:r>
              <mc:AlternateContent>
                <mc:Choice Requires="wps">
                  <w:drawing>
                    <wp:anchor behindDoc="0" distT="0" distB="0" distL="114935" distR="114935" simplePos="0" locked="0" layoutInCell="0" allowOverlap="1" relativeHeight="6">
                      <wp:simplePos x="0" y="0"/>
                      <wp:positionH relativeFrom="margin">
                        <wp:posOffset>2211705</wp:posOffset>
                      </wp:positionH>
                      <wp:positionV relativeFrom="paragraph">
                        <wp:posOffset>4445</wp:posOffset>
                      </wp:positionV>
                      <wp:extent cx="401955" cy="173355"/>
                      <wp:effectExtent l="5715" t="5715" r="4445" b="4445"/>
                      <wp:wrapNone/>
                      <wp:docPr id="14"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174.15pt;margin-top:0.35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Describe employee’s major strengths in performing their role.</w:t>
            </w:r>
          </w:p>
        </w:tc>
        <w:tc>
          <w:tcPr>
            <w:tcW w:w="618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120"/>
              <w:rPr>
                <w:sz w:val="17"/>
              </w:rPr>
            </w:pPr>
            <w:r>
              <mc:AlternateContent>
                <mc:Choice Requires="wps">
                  <w:drawing>
                    <wp:anchor behindDoc="0" distT="0" distB="0" distL="114935" distR="114935" simplePos="0" locked="0" layoutInCell="0" allowOverlap="1" relativeHeight="15">
                      <wp:simplePos x="0" y="0"/>
                      <wp:positionH relativeFrom="margin">
                        <wp:posOffset>2211705</wp:posOffset>
                      </wp:positionH>
                      <wp:positionV relativeFrom="paragraph">
                        <wp:posOffset>-1270</wp:posOffset>
                      </wp:positionV>
                      <wp:extent cx="401955" cy="173355"/>
                      <wp:effectExtent l="5715" t="5715" r="4445" b="4445"/>
                      <wp:wrapNone/>
                      <wp:docPr id="15"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174.15pt;margin-top:-0.1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Describe areas where continued development of employee’s capabilities would further enhance their overall effectiveness.</w:t>
            </w:r>
          </w:p>
        </w:tc>
        <w:tc>
          <w:tcPr>
            <w:tcW w:w="6183" w:type="dxa"/>
            <w:tcBorders>
              <w:top w:val="single" w:sz="6" w:space="0" w:color="000000"/>
              <w:start w:val="single" w:sz="6" w:space="0" w:color="000000"/>
              <w:bottom w:val="single" w:sz="6" w:space="0" w:color="000000"/>
              <w:end w:val="single" w:sz="6" w:space="0" w:color="000000"/>
            </w:tcBorders>
          </w:tcPr>
          <w:p>
            <w:pPr>
              <w:pStyle w:val="TBFL"/>
              <w:snapToGrid w:val="false"/>
              <w:spacing w:lineRule="auto" w:line="240" w:before="120" w:after="120"/>
              <w:rPr>
                <w:sz w:val="17"/>
              </w:rPr>
            </w:pPr>
            <w:r>
              <w:rPr>
                <w:sz w:val="17"/>
              </w:rPr>
            </w:r>
          </w:p>
        </w:tc>
      </w:tr>
    </w:tbl>
    <w:p>
      <w:pPr>
        <w:pStyle w:val="SOURCE"/>
        <w:spacing w:lineRule="auto" w:line="240" w:before="240" w:after="0"/>
        <w:ind w:start="-446" w:end="0"/>
        <w:rPr/>
      </w:pPr>
      <w:r>
        <w:rPr/>
        <w:t>Performance-rating  scale: Superior, Excellent, Strong, Satisfactory, Needs Improvement, Issues</w:t>
      </w:r>
    </w:p>
    <w:p>
      <w:pPr>
        <w:pStyle w:val="SOURCE"/>
        <w:spacing w:lineRule="auto" w:line="240" w:before="240" w:after="0"/>
        <w:ind w:start="-446" w:end="0"/>
        <w:rPr/>
      </w:pPr>
      <w:r>
        <w:rPr/>
        <w:t>Source:  Enron Corp.</w:t>
      </w:r>
      <w:r>
        <w:br w:type="page"/>
      </w:r>
    </w:p>
    <w:p>
      <w:pPr>
        <w:pStyle w:val="FootnoteText"/>
        <w:tabs>
          <w:tab w:val="clear" w:pos="360"/>
        </w:tabs>
        <w:rPr/>
      </w:pPr>
      <w:r>
        <w:rPr>
          <w:b/>
        </w:rPr>
        <w:t xml:space="preserve">Exhibit 6  </w:t>
      </w:r>
      <w:r>
        <w:rPr/>
        <w:t>Skills/Behaviors Descriptions:  Vice President/Managing Director Performance Feedback</w:t>
      </w:r>
    </w:p>
    <w:tbl>
      <w:tblPr>
        <w:tblW w:w="8982" w:type="dxa"/>
        <w:jc w:val="start"/>
        <w:tblInd w:w="126" w:type="dxa"/>
        <w:tblLayout w:type="fixed"/>
        <w:tblCellMar>
          <w:top w:w="0" w:type="dxa"/>
          <w:start w:w="108" w:type="dxa"/>
          <w:bottom w:w="0" w:type="dxa"/>
          <w:end w:w="108" w:type="dxa"/>
        </w:tblCellMar>
      </w:tblPr>
      <w:tblGrid>
        <w:gridCol w:w="3456"/>
        <w:gridCol w:w="5526"/>
      </w:tblGrid>
      <w:tr>
        <w:trPr>
          <w:tblHeader w:val="true"/>
        </w:trPr>
        <w:tc>
          <w:tcPr>
            <w:tcW w:w="3456" w:type="dxa"/>
            <w:tcBorders>
              <w:top w:val="single" w:sz="8" w:space="0" w:color="000000"/>
              <w:bottom w:val="single" w:sz="8" w:space="0" w:color="000000"/>
            </w:tcBorders>
          </w:tcPr>
          <w:p>
            <w:pPr>
              <w:pStyle w:val="THFL"/>
              <w:spacing w:lineRule="auto" w:line="240" w:before="120" w:after="0"/>
              <w:ind w:start="-72" w:end="0"/>
              <w:rPr>
                <w:sz w:val="17"/>
              </w:rPr>
            </w:pPr>
            <w:r>
              <w:rPr>
                <w:sz w:val="17"/>
              </w:rPr>
              <w:t>Skills/Behaviors</w:t>
            </w:r>
          </w:p>
        </w:tc>
        <w:tc>
          <w:tcPr>
            <w:tcW w:w="5526" w:type="dxa"/>
            <w:tcBorders>
              <w:top w:val="single" w:sz="8" w:space="0" w:color="000000"/>
              <w:bottom w:val="single" w:sz="8" w:space="0" w:color="000000"/>
            </w:tcBorders>
          </w:tcPr>
          <w:p>
            <w:pPr>
              <w:pStyle w:val="THCTR"/>
              <w:spacing w:lineRule="auto" w:line="240" w:before="120" w:after="0"/>
              <w:jc w:val="start"/>
              <w:rPr>
                <w:sz w:val="17"/>
              </w:rPr>
            </w:pPr>
            <w:r>
              <w:rPr>
                <w:sz w:val="17"/>
              </w:rPr>
              <w:t>Descriptors</w:t>
            </w:r>
          </w:p>
        </w:tc>
      </w:tr>
      <w:tr>
        <w:trPr/>
        <w:tc>
          <w:tcPr>
            <w:tcW w:w="3456" w:type="dxa"/>
            <w:tcBorders/>
          </w:tcPr>
          <w:p>
            <w:pPr>
              <w:pStyle w:val="TBFL"/>
              <w:snapToGrid w:val="false"/>
              <w:spacing w:lineRule="auto" w:line="240" w:before="0" w:after="0"/>
              <w:ind w:start="-72" w:end="0"/>
              <w:rPr>
                <w:sz w:val="16"/>
              </w:rPr>
            </w:pPr>
            <w:r>
              <w:rPr>
                <w:sz w:val="16"/>
              </w:rPr>
            </w:r>
          </w:p>
        </w:tc>
        <w:tc>
          <w:tcPr>
            <w:tcW w:w="5526" w:type="dxa"/>
            <w:tcBorders/>
          </w:tcPr>
          <w:p>
            <w:pPr>
              <w:pStyle w:val="TBFL"/>
              <w:snapToGrid w:val="false"/>
              <w:spacing w:lineRule="auto" w:line="240" w:before="0" w:after="0"/>
              <w:ind w:hanging="198" w:start="198" w:end="0"/>
              <w:rPr>
                <w:sz w:val="16"/>
              </w:rPr>
            </w:pPr>
            <w:r>
              <w:rPr>
                <w:sz w:val="16"/>
              </w:rPr>
            </w:r>
          </w:p>
        </w:tc>
      </w:tr>
      <w:tr>
        <w:trPr/>
        <w:tc>
          <w:tcPr>
            <w:tcW w:w="3456" w:type="dxa"/>
            <w:tcBorders/>
          </w:tcPr>
          <w:p>
            <w:pPr>
              <w:pStyle w:val="TBFL"/>
              <w:spacing w:lineRule="auto" w:line="240" w:before="40" w:after="0"/>
              <w:ind w:start="-72" w:end="0"/>
              <w:rPr>
                <w:smallCaps/>
              </w:rPr>
            </w:pPr>
            <w:r>
              <w:rPr>
                <w:smallCaps/>
              </w:rPr>
              <w:t>Innovation/Entrepreneurship</w:t>
            </w:r>
          </w:p>
        </w:tc>
        <w:tc>
          <w:tcPr>
            <w:tcW w:w="5526" w:type="dxa"/>
            <w:tcBorders/>
          </w:tcPr>
          <w:p>
            <w:pPr>
              <w:pStyle w:val="TBFL"/>
              <w:numPr>
                <w:ilvl w:val="0"/>
                <w:numId w:val="10"/>
              </w:numPr>
              <w:spacing w:lineRule="auto" w:line="240" w:before="40" w:after="0"/>
              <w:ind w:hanging="198" w:start="198" w:end="0"/>
              <w:rPr>
                <w:sz w:val="16"/>
              </w:rPr>
            </w:pPr>
            <w:r>
              <w:rPr>
                <w:sz w:val="16"/>
              </w:rPr>
              <w:t>Receptive to information from outside the current practice and from employee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Creates a climate to support the creation and implementation of new ideas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Urges consideration of counter-intuitive alternatives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Relentlessly seeks simpler methods to provide customers with better products/services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Identifies profitable opportunities and minimizes time and resources dedicated to less attractive opportunities</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Communication/Setting Direction</w:t>
            </w:r>
          </w:p>
        </w:tc>
        <w:tc>
          <w:tcPr>
            <w:tcW w:w="5526" w:type="dxa"/>
            <w:tcBorders/>
          </w:tcPr>
          <w:p>
            <w:pPr>
              <w:pStyle w:val="TBFL"/>
              <w:numPr>
                <w:ilvl w:val="0"/>
                <w:numId w:val="10"/>
              </w:numPr>
              <w:spacing w:lineRule="auto" w:line="240" w:before="40" w:after="0"/>
              <w:ind w:hanging="198" w:start="198" w:end="0"/>
              <w:rPr>
                <w:sz w:val="16"/>
              </w:rPr>
            </w:pPr>
            <w:r>
              <w:rPr>
                <w:sz w:val="16"/>
              </w:rPr>
              <w:t>Consistently provides the organization with a clear direction, articulates tangible vision, values, strategy</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Turns vision and strategy into actions and results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Inspires a shared purpose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Creates a climate for success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Utilizes skills and resources needed to form networks throughout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Provides specific and frequent feedback to improve individual and team performance</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Teamwork / Interpersonal</w:t>
            </w:r>
          </w:p>
        </w:tc>
        <w:tc>
          <w:tcPr>
            <w:tcW w:w="5526" w:type="dxa"/>
            <w:tcBorders/>
          </w:tcPr>
          <w:p>
            <w:pPr>
              <w:pStyle w:val="TBFL"/>
              <w:numPr>
                <w:ilvl w:val="0"/>
                <w:numId w:val="10"/>
              </w:numPr>
              <w:spacing w:lineRule="auto" w:line="240" w:before="40" w:after="0"/>
              <w:ind w:hanging="198" w:start="198" w:end="0"/>
              <w:rPr>
                <w:sz w:val="16"/>
              </w:rPr>
            </w:pPr>
            <w:r>
              <w:rPr>
                <w:sz w:val="16"/>
              </w:rPr>
              <w:t>Fosters collaborative culture by promoting cooperative goals and building trust across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Inspires others to achieve the business objectives above individual, professional objectives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Motivates others to take actions in best interest of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Strengthens others by sharing power, authority, and information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Supports the team even during a loss</w:t>
            </w:r>
          </w:p>
        </w:tc>
      </w:tr>
      <w:tr>
        <w:trPr/>
        <w:tc>
          <w:tcPr>
            <w:tcW w:w="3456" w:type="dxa"/>
            <w:tcBorders/>
          </w:tcPr>
          <w:p>
            <w:pPr>
              <w:pStyle w:val="TBFL"/>
              <w:snapToGrid w:val="false"/>
              <w:spacing w:lineRule="auto" w:line="240" w:before="40" w:after="0"/>
              <w:ind w:start="-72" w:end="0"/>
              <w:rPr>
                <w:b/>
                <w:i/>
                <w:i/>
                <w:smallCaps/>
                <w:sz w:val="16"/>
              </w:rPr>
            </w:pPr>
            <w:r>
              <w:rPr>
                <w:b/>
                <w:i/>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Willing to take career risks in moving across Business Units</w:t>
            </w:r>
          </w:p>
        </w:tc>
      </w:tr>
      <w:tr>
        <w:trPr/>
        <w:tc>
          <w:tcPr>
            <w:tcW w:w="3456" w:type="dxa"/>
            <w:tcBorders/>
          </w:tcPr>
          <w:p>
            <w:pPr>
              <w:pStyle w:val="TBFL"/>
              <w:snapToGrid w:val="false"/>
              <w:spacing w:lineRule="auto" w:line="240" w:before="0" w:after="0"/>
              <w:ind w:start="-72" w:end="0"/>
              <w:rPr>
                <w:b/>
                <w:i/>
                <w:i/>
                <w:smallCaps/>
                <w:sz w:val="16"/>
              </w:rPr>
            </w:pPr>
            <w:r>
              <w:rPr>
                <w:b/>
                <w:i/>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Leadership / Vision / Values</w:t>
            </w:r>
          </w:p>
        </w:tc>
        <w:tc>
          <w:tcPr>
            <w:tcW w:w="5526" w:type="dxa"/>
            <w:tcBorders/>
          </w:tcPr>
          <w:p>
            <w:pPr>
              <w:pStyle w:val="TBFL"/>
              <w:numPr>
                <w:ilvl w:val="0"/>
                <w:numId w:val="10"/>
              </w:numPr>
              <w:spacing w:lineRule="auto" w:line="240" w:before="40" w:after="0"/>
              <w:ind w:hanging="198" w:start="198" w:end="0"/>
              <w:rPr>
                <w:sz w:val="16"/>
              </w:rPr>
            </w:pPr>
            <w:r>
              <w:rPr>
                <w:sz w:val="16"/>
              </w:rPr>
              <w:t>Inspires excellence in others, by example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Consistently creates a sense of urgency and energy in achieving both Enron and customer objectives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Serves as a catalyst and manager for strategic change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Demonstrates ability to integrate, resource, and orchestrate processes and activities to support multiple business goals and create value for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6"/>
              </w:numPr>
              <w:spacing w:lineRule="auto" w:line="240" w:before="40" w:after="0"/>
              <w:ind w:hanging="202" w:start="202" w:end="0"/>
              <w:rPr>
                <w:sz w:val="16"/>
              </w:rPr>
            </w:pPr>
            <w:r>
              <w:rPr>
                <w:sz w:val="16"/>
              </w:rPr>
              <w:t>Fully utilizes and continues to develop the talents and skills of employees/leverages diversity</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Business Instincts</w:t>
            </w:r>
          </w:p>
        </w:tc>
        <w:tc>
          <w:tcPr>
            <w:tcW w:w="5526" w:type="dxa"/>
            <w:tcBorders/>
          </w:tcPr>
          <w:p>
            <w:pPr>
              <w:pStyle w:val="TBFL"/>
              <w:numPr>
                <w:ilvl w:val="0"/>
                <w:numId w:val="10"/>
              </w:numPr>
              <w:spacing w:lineRule="auto" w:line="240" w:before="40" w:after="0"/>
              <w:ind w:hanging="198" w:start="198" w:end="0"/>
              <w:rPr>
                <w:sz w:val="16"/>
              </w:rPr>
            </w:pPr>
            <w:r>
              <w:rPr>
                <w:sz w:val="16"/>
              </w:rPr>
              <w:t>Visualizes the business through the customer’s eyes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Combines complete knowledge of Enron capabilities and the external market to identify attractive new business opportunities and customers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Utilizes the Enron resources to effectively negotiate and execute transactions to the ultimate satisfaction of customers and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10"/>
              </w:numPr>
              <w:spacing w:lineRule="auto" w:line="240" w:before="40" w:after="0"/>
              <w:ind w:hanging="198" w:start="198" w:end="0"/>
              <w:rPr>
                <w:sz w:val="16"/>
              </w:rPr>
            </w:pPr>
            <w:r>
              <w:rPr>
                <w:sz w:val="16"/>
              </w:rPr>
              <w:t>Builds and maintains relationships between Enron and customers (internal and external) through management actions</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analytical / technical</w:t>
            </w:r>
          </w:p>
        </w:tc>
        <w:tc>
          <w:tcPr>
            <w:tcW w:w="5526" w:type="dxa"/>
            <w:tcBorders/>
          </w:tcPr>
          <w:p>
            <w:pPr>
              <w:pStyle w:val="TBFL"/>
              <w:numPr>
                <w:ilvl w:val="0"/>
                <w:numId w:val="4"/>
              </w:numPr>
              <w:spacing w:lineRule="auto" w:line="240" w:before="40" w:after="0"/>
              <w:ind w:hanging="202" w:start="202" w:end="0"/>
              <w:rPr>
                <w:sz w:val="16"/>
              </w:rPr>
            </w:pPr>
            <w:r>
              <w:rPr>
                <w:sz w:val="16"/>
              </w:rPr>
              <w:t>Demonstrates mastery of technical skills critical to area of responsibility</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4"/>
              </w:numPr>
              <w:spacing w:lineRule="auto" w:line="240" w:before="40" w:after="0"/>
              <w:ind w:hanging="202" w:start="202" w:end="0"/>
              <w:rPr>
                <w:sz w:val="16"/>
              </w:rPr>
            </w:pPr>
            <w:r>
              <w:rPr>
                <w:sz w:val="16"/>
              </w:rPr>
              <w:t>Applies relevant technical principles and standards to business decisions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4"/>
              </w:numPr>
              <w:spacing w:lineRule="auto" w:line="240" w:before="40" w:after="0"/>
              <w:ind w:hanging="202" w:start="202" w:end="0"/>
              <w:rPr>
                <w:sz w:val="16"/>
              </w:rPr>
            </w:pPr>
            <w:r>
              <w:rPr>
                <w:sz w:val="16"/>
              </w:rPr>
              <w:t>Effectively integrates technical expertise with knowledge of Enron business to achieve business objectives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4"/>
              </w:numPr>
              <w:spacing w:lineRule="auto" w:line="240" w:before="40" w:after="0"/>
              <w:ind w:hanging="202" w:start="202" w:end="0"/>
              <w:rPr>
                <w:sz w:val="16"/>
              </w:rPr>
            </w:pPr>
            <w:r>
              <w:rPr>
                <w:sz w:val="16"/>
              </w:rPr>
              <w:t>Quickly and effectively integrates technical information outside area of expertise</w:t>
            </w:r>
          </w:p>
        </w:tc>
      </w:tr>
      <w:tr>
        <w:trPr/>
        <w:tc>
          <w:tcPr>
            <w:tcW w:w="3456" w:type="dxa"/>
            <w:tcBorders>
              <w:bottom w:val="single" w:sz="8" w:space="0" w:color="000000"/>
            </w:tcBorders>
          </w:tcPr>
          <w:p>
            <w:pPr>
              <w:pStyle w:val="TBFL"/>
              <w:snapToGrid w:val="false"/>
              <w:spacing w:lineRule="auto" w:line="240" w:before="0" w:after="0"/>
              <w:ind w:start="-72" w:end="0"/>
              <w:rPr>
                <w:smallCaps/>
                <w:sz w:val="16"/>
              </w:rPr>
            </w:pPr>
            <w:r>
              <w:rPr>
                <w:smallCaps/>
                <w:sz w:val="16"/>
              </w:rPr>
            </w:r>
          </w:p>
        </w:tc>
        <w:tc>
          <w:tcPr>
            <w:tcW w:w="5526" w:type="dxa"/>
            <w:tcBorders>
              <w:bottom w:val="single" w:sz="8" w:space="0" w:color="000000"/>
            </w:tcBorders>
          </w:tcPr>
          <w:p>
            <w:pPr>
              <w:pStyle w:val="TBFL"/>
              <w:snapToGrid w:val="false"/>
              <w:spacing w:lineRule="auto" w:line="240" w:before="0" w:after="0"/>
              <w:ind w:hanging="198" w:start="198" w:end="0"/>
              <w:rPr>
                <w:smallCaps/>
                <w:sz w:val="16"/>
              </w:rPr>
            </w:pPr>
            <w:r>
              <w:rPr>
                <w:smallCaps/>
                <w:sz w:val="16"/>
              </w:rPr>
            </w:r>
          </w:p>
        </w:tc>
      </w:tr>
    </w:tbl>
    <w:p>
      <w:pPr>
        <w:pStyle w:val="SOURCE"/>
        <w:spacing w:lineRule="auto" w:line="240" w:before="180" w:after="0"/>
        <w:rPr/>
      </w:pPr>
      <w:r>
        <w:rPr/>
        <w:t>Source:   Enron Corp.</w:t>
      </w:r>
      <w:r>
        <w:br w:type="page"/>
      </w:r>
    </w:p>
    <w:p>
      <w:pPr>
        <w:pStyle w:val="Normal"/>
        <w:spacing w:before="0" w:after="0"/>
        <w:ind w:hanging="0" w:end="0"/>
        <w:rPr/>
      </w:pPr>
      <w:r>
        <w:rPr>
          <w:b/>
        </w:rPr>
        <w:t>Exhibit 7</w:t>
      </w:r>
      <w:r>
        <w:rPr/>
        <w:t xml:space="preserve">  Enron Recruiting—Primary Targeted Schools </w:t>
      </w:r>
    </w:p>
    <w:p>
      <w:pPr>
        <w:pStyle w:val="Normal"/>
        <w:spacing w:before="0" w:after="0"/>
        <w:ind w:hanging="0" w:end="0"/>
        <w:rPr/>
      </w:pPr>
      <w:r>
        <w:rPr/>
      </w:r>
    </w:p>
    <w:tbl>
      <w:tblPr>
        <w:tblW w:w="9216" w:type="dxa"/>
        <w:jc w:val="start"/>
        <w:tblInd w:w="0" w:type="dxa"/>
        <w:tblLayout w:type="fixed"/>
        <w:tblCellMar>
          <w:top w:w="0" w:type="dxa"/>
          <w:start w:w="108" w:type="dxa"/>
          <w:bottom w:w="0" w:type="dxa"/>
          <w:end w:w="108" w:type="dxa"/>
        </w:tblCellMar>
      </w:tblPr>
      <w:tblGrid>
        <w:gridCol w:w="4608"/>
        <w:gridCol w:w="4608"/>
      </w:tblGrid>
      <w:tr>
        <w:trPr/>
        <w:tc>
          <w:tcPr>
            <w:tcW w:w="4608" w:type="dxa"/>
            <w:tcBorders/>
          </w:tcPr>
          <w:p>
            <w:pPr>
              <w:pStyle w:val="Normal"/>
              <w:spacing w:before="0" w:after="0"/>
              <w:ind w:hanging="0" w:end="0"/>
              <w:rPr>
                <w:b/>
                <w:sz w:val="18"/>
              </w:rPr>
            </w:pPr>
            <w:r>
              <w:rPr>
                <w:b/>
                <w:sz w:val="18"/>
              </w:rPr>
              <w:t>Undergraduate</w:t>
            </w:r>
          </w:p>
        </w:tc>
        <w:tc>
          <w:tcPr>
            <w:tcW w:w="4608" w:type="dxa"/>
            <w:tcBorders/>
          </w:tcPr>
          <w:p>
            <w:pPr>
              <w:pStyle w:val="Normal"/>
              <w:spacing w:before="0" w:after="0"/>
              <w:ind w:hanging="0" w:end="0"/>
              <w:rPr>
                <w:b/>
                <w:sz w:val="18"/>
              </w:rPr>
            </w:pPr>
            <w:r>
              <w:rPr>
                <w:b/>
                <w:sz w:val="18"/>
              </w:rPr>
              <w:t>Graduate</w:t>
            </w:r>
          </w:p>
        </w:tc>
      </w:tr>
      <w:tr>
        <w:trPr/>
        <w:tc>
          <w:tcPr>
            <w:tcW w:w="4608" w:type="dxa"/>
            <w:tcBorders/>
          </w:tcPr>
          <w:p>
            <w:pPr>
              <w:pStyle w:val="Normal"/>
              <w:spacing w:before="0" w:after="0"/>
              <w:ind w:hanging="0" w:end="0"/>
              <w:rPr>
                <w:sz w:val="18"/>
              </w:rPr>
            </w:pPr>
            <w:r>
              <w:rPr>
                <w:sz w:val="18"/>
              </w:rPr>
              <w:t>Baylor</w:t>
            </w:r>
          </w:p>
        </w:tc>
        <w:tc>
          <w:tcPr>
            <w:tcW w:w="4608" w:type="dxa"/>
            <w:tcBorders/>
          </w:tcPr>
          <w:p>
            <w:pPr>
              <w:pStyle w:val="FootnoteText"/>
              <w:tabs>
                <w:tab w:val="clear" w:pos="360"/>
              </w:tabs>
              <w:rPr/>
            </w:pPr>
            <w:r>
              <w:rPr/>
              <w:t>Carnegie Mellon</w:t>
            </w:r>
          </w:p>
        </w:tc>
      </w:tr>
      <w:tr>
        <w:trPr/>
        <w:tc>
          <w:tcPr>
            <w:tcW w:w="4608" w:type="dxa"/>
            <w:tcBorders/>
          </w:tcPr>
          <w:p>
            <w:pPr>
              <w:pStyle w:val="Normal"/>
              <w:spacing w:before="0" w:after="0"/>
              <w:ind w:hanging="0" w:end="0"/>
              <w:rPr>
                <w:sz w:val="18"/>
              </w:rPr>
            </w:pPr>
            <w:r>
              <w:rPr>
                <w:sz w:val="18"/>
              </w:rPr>
              <w:t>Cal Berkley</w:t>
            </w:r>
          </w:p>
        </w:tc>
        <w:tc>
          <w:tcPr>
            <w:tcW w:w="4608" w:type="dxa"/>
            <w:tcBorders/>
          </w:tcPr>
          <w:p>
            <w:pPr>
              <w:pStyle w:val="Normal"/>
              <w:spacing w:before="0" w:after="0"/>
              <w:ind w:hanging="0" w:end="0"/>
              <w:rPr>
                <w:sz w:val="18"/>
              </w:rPr>
            </w:pPr>
            <w:r>
              <w:rPr>
                <w:sz w:val="18"/>
              </w:rPr>
              <w:t>Columbia</w:t>
            </w:r>
          </w:p>
        </w:tc>
      </w:tr>
      <w:tr>
        <w:trPr/>
        <w:tc>
          <w:tcPr>
            <w:tcW w:w="4608" w:type="dxa"/>
            <w:tcBorders/>
          </w:tcPr>
          <w:p>
            <w:pPr>
              <w:pStyle w:val="Normal"/>
              <w:spacing w:before="0" w:after="0"/>
              <w:ind w:hanging="0" w:end="0"/>
              <w:rPr>
                <w:sz w:val="18"/>
              </w:rPr>
            </w:pPr>
            <w:r>
              <w:rPr>
                <w:sz w:val="18"/>
              </w:rPr>
              <w:t>Carnegie Mellon</w:t>
            </w:r>
          </w:p>
        </w:tc>
        <w:tc>
          <w:tcPr>
            <w:tcW w:w="4608" w:type="dxa"/>
            <w:tcBorders/>
          </w:tcPr>
          <w:p>
            <w:pPr>
              <w:pStyle w:val="Normal"/>
              <w:spacing w:before="0" w:after="0"/>
              <w:ind w:hanging="0" w:end="0"/>
              <w:rPr>
                <w:sz w:val="18"/>
              </w:rPr>
            </w:pPr>
            <w:r>
              <w:rPr>
                <w:sz w:val="18"/>
              </w:rPr>
              <w:t>Cornell</w:t>
            </w:r>
          </w:p>
        </w:tc>
      </w:tr>
      <w:tr>
        <w:trPr/>
        <w:tc>
          <w:tcPr>
            <w:tcW w:w="4608" w:type="dxa"/>
            <w:tcBorders/>
          </w:tcPr>
          <w:p>
            <w:pPr>
              <w:pStyle w:val="Normal"/>
              <w:spacing w:before="0" w:after="0"/>
              <w:ind w:hanging="0" w:end="0"/>
              <w:rPr>
                <w:sz w:val="18"/>
              </w:rPr>
            </w:pPr>
            <w:r>
              <w:rPr>
                <w:sz w:val="18"/>
              </w:rPr>
              <w:t>Howard University</w:t>
            </w:r>
          </w:p>
        </w:tc>
        <w:tc>
          <w:tcPr>
            <w:tcW w:w="4608" w:type="dxa"/>
            <w:tcBorders/>
          </w:tcPr>
          <w:p>
            <w:pPr>
              <w:pStyle w:val="Normal"/>
              <w:spacing w:before="0" w:after="0"/>
              <w:ind w:hanging="0" w:end="0"/>
              <w:rPr>
                <w:sz w:val="18"/>
              </w:rPr>
            </w:pPr>
            <w:r>
              <w:rPr>
                <w:sz w:val="18"/>
              </w:rPr>
              <w:t>Georgetown</w:t>
            </w:r>
          </w:p>
        </w:tc>
      </w:tr>
      <w:tr>
        <w:trPr/>
        <w:tc>
          <w:tcPr>
            <w:tcW w:w="4608" w:type="dxa"/>
            <w:tcBorders/>
          </w:tcPr>
          <w:p>
            <w:pPr>
              <w:pStyle w:val="Normal"/>
              <w:spacing w:before="0" w:after="0"/>
              <w:ind w:hanging="0" w:end="0"/>
              <w:rPr>
                <w:sz w:val="18"/>
              </w:rPr>
            </w:pPr>
            <w:r>
              <w:rPr>
                <w:sz w:val="18"/>
              </w:rPr>
              <w:t>Morehouse College</w:t>
            </w:r>
          </w:p>
        </w:tc>
        <w:tc>
          <w:tcPr>
            <w:tcW w:w="4608" w:type="dxa"/>
            <w:tcBorders/>
          </w:tcPr>
          <w:p>
            <w:pPr>
              <w:pStyle w:val="Normal"/>
              <w:spacing w:before="0" w:after="0"/>
              <w:ind w:hanging="0" w:end="0"/>
              <w:rPr>
                <w:sz w:val="18"/>
              </w:rPr>
            </w:pPr>
            <w:r>
              <w:rPr>
                <w:sz w:val="18"/>
              </w:rPr>
              <w:t>Harvard</w:t>
            </w:r>
          </w:p>
        </w:tc>
      </w:tr>
      <w:tr>
        <w:trPr/>
        <w:tc>
          <w:tcPr>
            <w:tcW w:w="4608" w:type="dxa"/>
            <w:tcBorders/>
          </w:tcPr>
          <w:p>
            <w:pPr>
              <w:pStyle w:val="Normal"/>
              <w:spacing w:before="0" w:after="0"/>
              <w:ind w:hanging="0" w:end="0"/>
              <w:rPr>
                <w:sz w:val="18"/>
              </w:rPr>
            </w:pPr>
            <w:r>
              <w:rPr>
                <w:sz w:val="18"/>
              </w:rPr>
              <w:t>New York University</w:t>
            </w:r>
          </w:p>
        </w:tc>
        <w:tc>
          <w:tcPr>
            <w:tcW w:w="4608" w:type="dxa"/>
            <w:tcBorders/>
          </w:tcPr>
          <w:p>
            <w:pPr>
              <w:pStyle w:val="Normal"/>
              <w:spacing w:before="0" w:after="0"/>
              <w:ind w:hanging="0" w:end="0"/>
              <w:rPr>
                <w:sz w:val="18"/>
              </w:rPr>
            </w:pPr>
            <w:r>
              <w:rPr>
                <w:sz w:val="18"/>
              </w:rPr>
              <w:t>Massachusetts Institute of Technology</w:t>
            </w:r>
          </w:p>
        </w:tc>
      </w:tr>
      <w:tr>
        <w:trPr/>
        <w:tc>
          <w:tcPr>
            <w:tcW w:w="4608" w:type="dxa"/>
            <w:tcBorders/>
          </w:tcPr>
          <w:p>
            <w:pPr>
              <w:pStyle w:val="Normal"/>
              <w:spacing w:before="0" w:after="0"/>
              <w:ind w:hanging="0" w:end="0"/>
              <w:rPr>
                <w:sz w:val="18"/>
              </w:rPr>
            </w:pPr>
            <w:r>
              <w:rPr>
                <w:sz w:val="18"/>
              </w:rPr>
              <w:t>Rice University</w:t>
            </w:r>
          </w:p>
        </w:tc>
        <w:tc>
          <w:tcPr>
            <w:tcW w:w="4608" w:type="dxa"/>
            <w:tcBorders/>
          </w:tcPr>
          <w:p>
            <w:pPr>
              <w:pStyle w:val="Normal"/>
              <w:spacing w:before="0" w:after="0"/>
              <w:ind w:hanging="0" w:end="0"/>
              <w:rPr>
                <w:sz w:val="18"/>
              </w:rPr>
            </w:pPr>
            <w:r>
              <w:rPr>
                <w:sz w:val="18"/>
              </w:rPr>
              <w:t>New York University</w:t>
            </w:r>
          </w:p>
        </w:tc>
      </w:tr>
      <w:tr>
        <w:trPr/>
        <w:tc>
          <w:tcPr>
            <w:tcW w:w="4608" w:type="dxa"/>
            <w:tcBorders/>
          </w:tcPr>
          <w:p>
            <w:pPr>
              <w:pStyle w:val="Normal"/>
              <w:spacing w:before="0" w:after="0"/>
              <w:ind w:hanging="0" w:end="0"/>
              <w:rPr>
                <w:sz w:val="18"/>
              </w:rPr>
            </w:pPr>
            <w:r>
              <w:rPr>
                <w:sz w:val="18"/>
              </w:rPr>
              <w:t>Stanford University</w:t>
            </w:r>
          </w:p>
        </w:tc>
        <w:tc>
          <w:tcPr>
            <w:tcW w:w="4608" w:type="dxa"/>
            <w:tcBorders/>
          </w:tcPr>
          <w:p>
            <w:pPr>
              <w:pStyle w:val="Normal"/>
              <w:spacing w:before="0" w:after="0"/>
              <w:ind w:hanging="0" w:end="0"/>
              <w:rPr>
                <w:sz w:val="18"/>
              </w:rPr>
            </w:pPr>
            <w:r>
              <w:rPr>
                <w:sz w:val="18"/>
              </w:rPr>
              <w:t xml:space="preserve">Northwestern </w:t>
            </w:r>
          </w:p>
        </w:tc>
      </w:tr>
      <w:tr>
        <w:trPr/>
        <w:tc>
          <w:tcPr>
            <w:tcW w:w="4608" w:type="dxa"/>
            <w:tcBorders/>
          </w:tcPr>
          <w:p>
            <w:pPr>
              <w:pStyle w:val="Normal"/>
              <w:spacing w:before="0" w:after="0"/>
              <w:ind w:hanging="0" w:end="0"/>
              <w:rPr>
                <w:sz w:val="18"/>
              </w:rPr>
            </w:pPr>
            <w:r>
              <w:rPr>
                <w:sz w:val="18"/>
              </w:rPr>
              <w:t>Texas A&amp;M University</w:t>
            </w:r>
          </w:p>
        </w:tc>
        <w:tc>
          <w:tcPr>
            <w:tcW w:w="4608" w:type="dxa"/>
            <w:tcBorders/>
          </w:tcPr>
          <w:p>
            <w:pPr>
              <w:pStyle w:val="Normal"/>
              <w:spacing w:before="0" w:after="0"/>
              <w:ind w:hanging="0" w:end="0"/>
              <w:rPr>
                <w:sz w:val="18"/>
              </w:rPr>
            </w:pPr>
            <w:r>
              <w:rPr>
                <w:sz w:val="18"/>
              </w:rPr>
              <w:t xml:space="preserve">Rice </w:t>
            </w:r>
          </w:p>
        </w:tc>
      </w:tr>
      <w:tr>
        <w:trPr/>
        <w:tc>
          <w:tcPr>
            <w:tcW w:w="4608" w:type="dxa"/>
            <w:tcBorders/>
          </w:tcPr>
          <w:p>
            <w:pPr>
              <w:pStyle w:val="Normal"/>
              <w:spacing w:before="0" w:after="0"/>
              <w:ind w:hanging="0" w:end="0"/>
              <w:rPr>
                <w:sz w:val="18"/>
              </w:rPr>
            </w:pPr>
            <w:r>
              <w:rPr>
                <w:sz w:val="18"/>
              </w:rPr>
              <w:t>University of Florida</w:t>
            </w:r>
          </w:p>
        </w:tc>
        <w:tc>
          <w:tcPr>
            <w:tcW w:w="4608" w:type="dxa"/>
            <w:tcBorders/>
          </w:tcPr>
          <w:p>
            <w:pPr>
              <w:pStyle w:val="Heading6"/>
              <w:spacing w:lineRule="auto" w:line="240"/>
              <w:rPr>
                <w:b w:val="false"/>
              </w:rPr>
            </w:pPr>
            <w:r>
              <w:rPr>
                <w:b w:val="false"/>
              </w:rPr>
              <w:t>Thunderbird</w:t>
            </w:r>
          </w:p>
        </w:tc>
      </w:tr>
      <w:tr>
        <w:trPr/>
        <w:tc>
          <w:tcPr>
            <w:tcW w:w="4608" w:type="dxa"/>
            <w:tcBorders/>
          </w:tcPr>
          <w:p>
            <w:pPr>
              <w:pStyle w:val="Normal"/>
              <w:spacing w:before="0" w:after="0"/>
              <w:ind w:hanging="0" w:end="0"/>
              <w:rPr>
                <w:sz w:val="18"/>
              </w:rPr>
            </w:pPr>
            <w:r>
              <w:rPr>
                <w:sz w:val="18"/>
              </w:rPr>
              <w:t>University of Houston</w:t>
            </w:r>
          </w:p>
        </w:tc>
        <w:tc>
          <w:tcPr>
            <w:tcW w:w="4608" w:type="dxa"/>
            <w:tcBorders/>
          </w:tcPr>
          <w:p>
            <w:pPr>
              <w:pStyle w:val="Normal"/>
              <w:spacing w:before="0" w:after="0"/>
              <w:ind w:hanging="0" w:end="0"/>
              <w:rPr>
                <w:sz w:val="18"/>
              </w:rPr>
            </w:pPr>
            <w:r>
              <w:rPr>
                <w:sz w:val="18"/>
              </w:rPr>
              <w:t>University of Chicago</w:t>
            </w:r>
          </w:p>
        </w:tc>
      </w:tr>
      <w:tr>
        <w:trPr/>
        <w:tc>
          <w:tcPr>
            <w:tcW w:w="4608" w:type="dxa"/>
            <w:tcBorders/>
          </w:tcPr>
          <w:p>
            <w:pPr>
              <w:pStyle w:val="Normal"/>
              <w:spacing w:before="0" w:after="0"/>
              <w:ind w:hanging="0" w:end="0"/>
              <w:rPr>
                <w:sz w:val="18"/>
              </w:rPr>
            </w:pPr>
            <w:r>
              <w:rPr>
                <w:sz w:val="18"/>
              </w:rPr>
              <w:t>University of Michigan</w:t>
            </w:r>
          </w:p>
        </w:tc>
        <w:tc>
          <w:tcPr>
            <w:tcW w:w="4608" w:type="dxa"/>
            <w:tcBorders/>
          </w:tcPr>
          <w:p>
            <w:pPr>
              <w:pStyle w:val="Normal"/>
              <w:spacing w:before="0" w:after="0"/>
              <w:ind w:hanging="0" w:end="0"/>
              <w:rPr>
                <w:sz w:val="18"/>
              </w:rPr>
            </w:pPr>
            <w:r>
              <w:rPr>
                <w:sz w:val="18"/>
              </w:rPr>
              <w:t>University of Michigan</w:t>
            </w:r>
          </w:p>
        </w:tc>
      </w:tr>
      <w:tr>
        <w:trPr/>
        <w:tc>
          <w:tcPr>
            <w:tcW w:w="4608" w:type="dxa"/>
            <w:tcBorders/>
          </w:tcPr>
          <w:p>
            <w:pPr>
              <w:pStyle w:val="Normal"/>
              <w:spacing w:before="0" w:after="0"/>
              <w:ind w:hanging="0" w:end="0"/>
              <w:rPr>
                <w:sz w:val="18"/>
              </w:rPr>
            </w:pPr>
            <w:r>
              <w:rPr>
                <w:sz w:val="18"/>
              </w:rPr>
              <w:t>University of Minnesota</w:t>
            </w:r>
          </w:p>
        </w:tc>
        <w:tc>
          <w:tcPr>
            <w:tcW w:w="4608" w:type="dxa"/>
            <w:tcBorders/>
          </w:tcPr>
          <w:p>
            <w:pPr>
              <w:pStyle w:val="Normal"/>
              <w:spacing w:before="0" w:after="0"/>
              <w:ind w:hanging="0" w:end="0"/>
              <w:rPr>
                <w:sz w:val="18"/>
              </w:rPr>
            </w:pPr>
            <w:r>
              <w:rPr>
                <w:sz w:val="18"/>
              </w:rPr>
              <w:t>University of Texas</w:t>
            </w:r>
          </w:p>
        </w:tc>
      </w:tr>
      <w:tr>
        <w:trPr/>
        <w:tc>
          <w:tcPr>
            <w:tcW w:w="4608" w:type="dxa"/>
            <w:tcBorders/>
          </w:tcPr>
          <w:p>
            <w:pPr>
              <w:pStyle w:val="Normal"/>
              <w:spacing w:before="0" w:after="0"/>
              <w:ind w:hanging="0" w:end="0"/>
              <w:rPr>
                <w:sz w:val="18"/>
              </w:rPr>
            </w:pPr>
            <w:r>
              <w:rPr>
                <w:sz w:val="18"/>
              </w:rPr>
              <w:t>University of Oklahoma</w:t>
            </w:r>
          </w:p>
        </w:tc>
        <w:tc>
          <w:tcPr>
            <w:tcW w:w="4608" w:type="dxa"/>
            <w:tcBorders/>
          </w:tcPr>
          <w:p>
            <w:pPr>
              <w:pStyle w:val="Normal"/>
              <w:spacing w:before="0" w:after="0"/>
              <w:ind w:hanging="0" w:end="0"/>
              <w:rPr>
                <w:sz w:val="18"/>
              </w:rPr>
            </w:pPr>
            <w:r>
              <w:rPr>
                <w:sz w:val="18"/>
              </w:rPr>
              <w:t>University of Virginia—Darden</w:t>
            </w:r>
          </w:p>
        </w:tc>
      </w:tr>
      <w:tr>
        <w:trPr/>
        <w:tc>
          <w:tcPr>
            <w:tcW w:w="4608" w:type="dxa"/>
            <w:tcBorders/>
          </w:tcPr>
          <w:p>
            <w:pPr>
              <w:pStyle w:val="Normal"/>
              <w:spacing w:before="0" w:after="0"/>
              <w:ind w:hanging="0" w:end="0"/>
              <w:rPr>
                <w:sz w:val="18"/>
              </w:rPr>
            </w:pPr>
            <w:r>
              <w:rPr>
                <w:sz w:val="18"/>
              </w:rPr>
              <w:t>University of Pennsylvania</w:t>
            </w:r>
          </w:p>
        </w:tc>
        <w:tc>
          <w:tcPr>
            <w:tcW w:w="4608" w:type="dxa"/>
            <w:tcBorders/>
          </w:tcPr>
          <w:p>
            <w:pPr>
              <w:pStyle w:val="Normal"/>
              <w:spacing w:before="0" w:after="0"/>
              <w:ind w:hanging="0" w:end="0"/>
              <w:rPr>
                <w:sz w:val="18"/>
              </w:rPr>
            </w:pPr>
            <w:r>
              <w:rPr>
                <w:sz w:val="18"/>
              </w:rPr>
              <w:t>Vanderbilt</w:t>
            </w:r>
          </w:p>
        </w:tc>
      </w:tr>
      <w:tr>
        <w:trPr/>
        <w:tc>
          <w:tcPr>
            <w:tcW w:w="4608" w:type="dxa"/>
            <w:tcBorders/>
          </w:tcPr>
          <w:p>
            <w:pPr>
              <w:pStyle w:val="Normal"/>
              <w:spacing w:before="0" w:after="0"/>
              <w:ind w:hanging="0" w:end="0"/>
              <w:rPr>
                <w:sz w:val="18"/>
              </w:rPr>
            </w:pPr>
            <w:r>
              <w:rPr>
                <w:sz w:val="18"/>
              </w:rPr>
              <w:t>University of Texas</w:t>
            </w:r>
          </w:p>
        </w:tc>
        <w:tc>
          <w:tcPr>
            <w:tcW w:w="4608" w:type="dxa"/>
            <w:tcBorders/>
          </w:tcPr>
          <w:p>
            <w:pPr>
              <w:pStyle w:val="Normal"/>
              <w:spacing w:before="0" w:after="0"/>
              <w:ind w:hanging="0" w:end="0"/>
              <w:rPr>
                <w:sz w:val="18"/>
              </w:rPr>
            </w:pPr>
            <w:r>
              <w:rPr>
                <w:sz w:val="18"/>
              </w:rPr>
              <w:t xml:space="preserve">Wharton </w:t>
            </w:r>
          </w:p>
        </w:tc>
      </w:tr>
      <w:tr>
        <w:trPr/>
        <w:tc>
          <w:tcPr>
            <w:tcW w:w="4608" w:type="dxa"/>
            <w:tcBorders/>
          </w:tcPr>
          <w:p>
            <w:pPr>
              <w:pStyle w:val="Normal"/>
              <w:spacing w:before="0" w:after="0"/>
              <w:ind w:hanging="0" w:end="0"/>
              <w:rPr>
                <w:sz w:val="18"/>
              </w:rPr>
            </w:pPr>
            <w:r>
              <w:rPr>
                <w:sz w:val="18"/>
              </w:rPr>
              <w:t>University of Virginia</w:t>
            </w:r>
          </w:p>
        </w:tc>
        <w:tc>
          <w:tcPr>
            <w:tcW w:w="4608" w:type="dxa"/>
            <w:tcBorders/>
          </w:tcPr>
          <w:p>
            <w:pPr>
              <w:pStyle w:val="Normal"/>
              <w:snapToGrid w:val="false"/>
              <w:spacing w:before="0" w:after="0"/>
              <w:ind w:hanging="0" w:end="0"/>
              <w:rPr>
                <w:sz w:val="18"/>
              </w:rPr>
            </w:pPr>
            <w:r>
              <w:rPr>
                <w:sz w:val="18"/>
              </w:rPr>
            </w:r>
          </w:p>
        </w:tc>
      </w:tr>
      <w:tr>
        <w:trPr/>
        <w:tc>
          <w:tcPr>
            <w:tcW w:w="4608" w:type="dxa"/>
            <w:tcBorders/>
          </w:tcPr>
          <w:p>
            <w:pPr>
              <w:pStyle w:val="Normal"/>
              <w:spacing w:before="0" w:after="0"/>
              <w:ind w:hanging="0" w:end="0"/>
              <w:rPr>
                <w:sz w:val="18"/>
              </w:rPr>
            </w:pPr>
            <w:r>
              <w:rPr>
                <w:sz w:val="18"/>
              </w:rPr>
              <w:t>Vanderbilt University</w:t>
            </w:r>
          </w:p>
        </w:tc>
        <w:tc>
          <w:tcPr>
            <w:tcW w:w="4608" w:type="dxa"/>
            <w:tcBorders/>
          </w:tcPr>
          <w:p>
            <w:pPr>
              <w:pStyle w:val="Normal"/>
              <w:snapToGrid w:val="false"/>
              <w:spacing w:before="0" w:after="0"/>
              <w:ind w:hanging="0" w:end="0"/>
              <w:rPr>
                <w:sz w:val="18"/>
              </w:rPr>
            </w:pPr>
            <w:r>
              <w:rPr>
                <w:sz w:val="18"/>
              </w:rPr>
            </w:r>
          </w:p>
        </w:tc>
      </w:tr>
      <w:tr>
        <w:trPr/>
        <w:tc>
          <w:tcPr>
            <w:tcW w:w="4608" w:type="dxa"/>
            <w:tcBorders/>
          </w:tcPr>
          <w:p>
            <w:pPr>
              <w:pStyle w:val="Normal"/>
              <w:spacing w:before="0" w:after="0"/>
              <w:ind w:hanging="0" w:end="0"/>
              <w:rPr>
                <w:sz w:val="18"/>
              </w:rPr>
            </w:pPr>
            <w:r>
              <w:rPr>
                <w:sz w:val="18"/>
              </w:rPr>
              <w:t>Wellesley College</w:t>
            </w:r>
          </w:p>
        </w:tc>
        <w:tc>
          <w:tcPr>
            <w:tcW w:w="4608" w:type="dxa"/>
            <w:tcBorders/>
          </w:tcPr>
          <w:p>
            <w:pPr>
              <w:pStyle w:val="Normal"/>
              <w:snapToGrid w:val="false"/>
              <w:spacing w:before="0" w:after="0"/>
              <w:ind w:hanging="0" w:end="0"/>
              <w:rPr>
                <w:sz w:val="18"/>
              </w:rPr>
            </w:pPr>
            <w:r>
              <w:rPr>
                <w:sz w:val="18"/>
              </w:rPr>
            </w:r>
          </w:p>
        </w:tc>
      </w:tr>
    </w:tbl>
    <w:p>
      <w:pPr>
        <w:pStyle w:val="Normal"/>
        <w:spacing w:before="0" w:after="0"/>
        <w:ind w:hanging="0" w:end="0"/>
        <w:rPr>
          <w:sz w:val="18"/>
        </w:rPr>
      </w:pPr>
      <w:r>
        <w:rPr>
          <w:sz w:val="18"/>
        </w:rPr>
      </w:r>
    </w:p>
    <w:p>
      <w:pPr>
        <w:pStyle w:val="Normal"/>
        <w:rPr>
          <w:sz w:val="16"/>
        </w:rPr>
      </w:pPr>
      <w:r>
        <w:rPr>
          <w:sz w:val="16"/>
        </w:rPr>
        <w:t>Source:  Enron Corp.</w:t>
      </w:r>
    </w:p>
    <w:p>
      <w:pPr>
        <w:sectPr>
          <w:headerReference w:type="even" r:id="rId23"/>
          <w:headerReference w:type="default" r:id="rId24"/>
          <w:headerReference w:type="first" r:id="rId25"/>
          <w:footerReference w:type="even" r:id="rId26"/>
          <w:footerReference w:type="default" r:id="rId27"/>
          <w:footerReference w:type="first" r:id="rId28"/>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extDirection w:val="lrTb"/>
          <w:docGrid w:type="default" w:linePitch="360" w:charSpace="0"/>
        </w:sectPr>
        <w:pStyle w:val="Normal"/>
        <w:rPr>
          <w:sz w:val="18"/>
        </w:rPr>
      </w:pPr>
      <w:r>
        <w:rPr>
          <w:sz w:val="18"/>
        </w:rPr>
      </w:r>
    </w:p>
    <w:p>
      <w:pPr>
        <w:pStyle w:val="EXHIBITTITLE"/>
        <w:spacing w:before="0" w:after="360"/>
        <w:ind w:hanging="1152" w:start="1152" w:end="0"/>
        <w:rPr/>
      </w:pPr>
      <w:r>
        <w:rPr>
          <w:b/>
        </w:rPr>
        <w:t>Exhibit 8</w:t>
      </w:r>
      <w:r>
        <w:fldChar w:fldCharType="begin"/>
      </w:r>
      <w:r>
        <w:rPr/>
        <w:instrText xml:space="preserve"> ADVANCE \r12 </w:instrText>
      </w:r>
      <w:r>
        <w:rPr/>
      </w:r>
      <w:r>
        <w:rPr/>
        <w:fldChar w:fldCharType="separate"/>
      </w:r>
      <w:r>
        <w:rPr/>
      </w:r>
      <w:r>
        <w:rPr/>
      </w:r>
      <w:r>
        <w:rPr/>
        <w:fldChar w:fldCharType="end"/>
      </w:r>
      <w:r>
        <w:rPr/>
        <w:t>Strategic Business Units—EGS in 1993</w:t>
      </w:r>
    </w:p>
    <w:p>
      <w:pPr>
        <w:pStyle w:val="Normal"/>
        <w:ind w:hanging="0" w:end="0"/>
        <w:jc w:val="center"/>
        <w:rPr/>
      </w:pPr>
      <w:bookmarkStart w:id="1" w:name="_1040196707"/>
      <w:bookmarkStart w:id="2" w:name="_1035301435"/>
      <w:bookmarkStart w:id="3" w:name="_1035301168"/>
      <w:bookmarkEnd w:id="1"/>
      <w:bookmarkEnd w:id="2"/>
      <w:bookmarkEnd w:id="3"/>
      <w:r>
        <w:rPr/>
        <w:object w:dxaOrig="11893" w:dyaOrig="8533">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594.65pt;height:426.65pt" filled="f" o:ole="">
            <v:imagedata r:id="rId30" o:title=""/>
          </v:shape>
          <o:OLEObject Type="Embed" ProgID="" ShapeID="ole_rId29" DrawAspect="Content" ObjectID="_953990038" r:id="rId29"/>
        </w:object>
      </w:r>
    </w:p>
    <w:p>
      <w:pPr>
        <w:pStyle w:val="EXHIBITTITLE"/>
        <w:numPr>
          <w:ilvl w:val="0"/>
          <w:numId w:val="0"/>
        </w:numPr>
        <w:spacing w:before="0" w:after="240"/>
        <w:ind w:hanging="1152" w:start="1152" w:end="0"/>
        <w:rPr/>
      </w:pPr>
      <w:r>
        <w:rPr/>
      </w:r>
      <w:r>
        <w:br w:type="page"/>
      </w:r>
      <w:r>
        <mc:AlternateContent>
          <mc:Choice Requires="wps">
            <w:drawing>
              <wp:anchor behindDoc="0" distT="0" distB="0" distL="114935" distR="114935" simplePos="0" locked="0" layoutInCell="1" allowOverlap="1" relativeHeight="19">
                <wp:simplePos x="0" y="0"/>
                <wp:positionH relativeFrom="column">
                  <wp:posOffset>731520</wp:posOffset>
                </wp:positionH>
                <wp:positionV relativeFrom="paragraph">
                  <wp:posOffset>83185</wp:posOffset>
                </wp:positionV>
                <wp:extent cx="2468880" cy="457200"/>
                <wp:effectExtent l="0" t="0" r="0" b="0"/>
                <wp:wrapNone/>
                <wp:docPr id="16" name="Frame4"/>
                <a:graphic xmlns:a="http://schemas.openxmlformats.org/drawingml/2006/main">
                  <a:graphicData uri="http://schemas.microsoft.com/office/word/2010/wordprocessingShape">
                    <wps:wsp>
                      <wps:cNvSpPr txBox="1"/>
                      <wps:spPr>
                        <a:xfrm>
                          <a:off x="0" y="0"/>
                          <a:ext cx="2468880" cy="457200"/>
                        </a:xfrm>
                        <a:prstGeom prst="rect"/>
                        <a:solidFill>
                          <a:srgbClr val="FFFFFF"/>
                        </a:solidFill>
                      </wps:spPr>
                      <wps:txbx>
                        <w:txbxContent>
                          <w:p>
                            <w:pPr>
                              <w:pStyle w:val="Normal"/>
                              <w:spacing w:before="120" w:after="120"/>
                              <w:ind w:hanging="0" w:end="0"/>
                              <w:rPr>
                                <w:sz w:val="16"/>
                              </w:rPr>
                            </w:pPr>
                            <w:r>
                              <w:rPr>
                                <w:sz w:val="16"/>
                              </w:rPr>
                              <w:t>Source:  Enron Corp.</w:t>
                            </w:r>
                          </w:p>
                        </w:txbxContent>
                      </wps:txbx>
                      <wps:bodyPr anchor="t" lIns="92075" tIns="46355" rIns="92075" bIns="46355">
                        <a:noAutofit/>
                      </wps:bodyPr>
                    </wps:wsp>
                  </a:graphicData>
                </a:graphic>
              </wp:anchor>
            </w:drawing>
          </mc:Choice>
          <mc:Fallback>
            <w:pict>
              <v:rect fillcolor="#FFFFFF" style="position:absolute;rotation:-0;width:194.4pt;height:36pt;mso-wrap-distance-left:9.05pt;mso-wrap-distance-right:9.05pt;mso-wrap-distance-top:0pt;mso-wrap-distance-bottom:0pt;margin-top:6.55pt;mso-position-vertical-relative:text;margin-left:57.6pt;mso-position-horizontal-relative:text">
                <v:textbox inset="0.100694444444444in,0.0506944444444444in,0.100694444444444in,0.0506944444444444in">
                  <w:txbxContent>
                    <w:p>
                      <w:pPr>
                        <w:pStyle w:val="Normal"/>
                        <w:spacing w:before="120" w:after="120"/>
                        <w:ind w:hanging="0" w:end="0"/>
                        <w:rPr>
                          <w:sz w:val="16"/>
                        </w:rPr>
                      </w:pPr>
                      <w:r>
                        <w:rPr>
                          <w:sz w:val="16"/>
                        </w:rPr>
                        <w:t>Source:  Enron Corp.</w:t>
                      </w:r>
                    </w:p>
                  </w:txbxContent>
                </v:textbox>
                <w10:wrap type="none"/>
              </v:rect>
            </w:pict>
          </mc:Fallback>
        </mc:AlternateContent>
      </w:r>
    </w:p>
    <w:p>
      <w:pPr>
        <w:pStyle w:val="EXHIBITTITLE"/>
        <w:spacing w:before="0" w:after="240"/>
        <w:ind w:start="1152" w:end="0"/>
        <w:rPr/>
      </w:pPr>
      <w:r>
        <w:rPr>
          <w:b/>
        </w:rPr>
        <w:t>Exhibit 9</w:t>
      </w:r>
      <w:r>
        <w:fldChar w:fldCharType="begin"/>
      </w:r>
      <w:r>
        <w:rPr/>
        <w:instrText xml:space="preserve"> ADVANCE \r12 </w:instrText>
      </w:r>
      <w:r>
        <w:rPr/>
      </w:r>
      <w:r>
        <w:rPr/>
        <w:fldChar w:fldCharType="separate"/>
      </w:r>
      <w:r>
        <w:rPr/>
      </w:r>
      <w:r>
        <w:rPr/>
      </w:r>
      <w:r>
        <w:rPr/>
        <w:fldChar w:fldCharType="end"/>
      </w:r>
      <w:r>
        <w:rPr/>
        <w:t xml:space="preserve">Enron Worldwide Activities: 1994 </w:t>
      </w:r>
    </w:p>
    <w:p>
      <w:pPr>
        <w:sectPr>
          <w:headerReference w:type="even" r:id="rId32"/>
          <w:headerReference w:type="default" r:id="rId33"/>
          <w:headerReference w:type="first" r:id="rId34"/>
          <w:footerReference w:type="even" r:id="rId35"/>
          <w:footerReference w:type="default" r:id="rId36"/>
          <w:footerReference w:type="first" r:id="rId37"/>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Normal"/>
        <w:ind w:hanging="0" w:end="0"/>
        <w:jc w:val="center"/>
        <w:rPr/>
      </w:pPr>
      <w:r>
        <w:rPr/>
        <w:drawing>
          <wp:inline distT="0" distB="0" distL="0" distR="0">
            <wp:extent cx="8369935" cy="5721350"/>
            <wp:effectExtent l="0" t="0" r="0" b="0"/>
            <wp:docPr id="17" name="1321_=_World_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321_=_World_Map" descr="" title=""/>
                    <pic:cNvPicPr>
                      <a:picLocks noChangeAspect="1" noChangeArrowheads="1"/>
                    </pic:cNvPicPr>
                  </pic:nvPicPr>
                  <pic:blipFill>
                    <a:blip r:embed="rId31"/>
                    <a:srcRect l="-4" t="-6" r="-4" b="-6"/>
                    <a:stretch>
                      <a:fillRect/>
                    </a:stretch>
                  </pic:blipFill>
                  <pic:spPr bwMode="auto">
                    <a:xfrm>
                      <a:off x="0" y="0"/>
                      <a:ext cx="8369935" cy="572135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20">
                <wp:simplePos x="0" y="0"/>
                <wp:positionH relativeFrom="column">
                  <wp:posOffset>731520</wp:posOffset>
                </wp:positionH>
                <wp:positionV relativeFrom="paragraph">
                  <wp:posOffset>792480</wp:posOffset>
                </wp:positionV>
                <wp:extent cx="2468880" cy="457200"/>
                <wp:effectExtent l="0" t="0" r="0" b="0"/>
                <wp:wrapNone/>
                <wp:docPr id="18" name="Frame6"/>
                <a:graphic xmlns:a="http://schemas.openxmlformats.org/drawingml/2006/main">
                  <a:graphicData uri="http://schemas.microsoft.com/office/word/2010/wordprocessingShape">
                    <wps:wsp>
                      <wps:cNvSpPr txBox="1"/>
                      <wps:spPr>
                        <a:xfrm>
                          <a:off x="0" y="0"/>
                          <a:ext cx="2468880" cy="457200"/>
                        </a:xfrm>
                        <a:prstGeom prst="rect"/>
                        <a:solidFill>
                          <a:srgbClr val="FFFFFF"/>
                        </a:solidFill>
                      </wps:spPr>
                      <wps:txbx>
                        <w:txbxContent>
                          <w:p>
                            <w:pPr>
                              <w:pStyle w:val="Normal"/>
                              <w:spacing w:before="120" w:after="120"/>
                              <w:ind w:hanging="0" w:end="0"/>
                              <w:rPr>
                                <w:sz w:val="16"/>
                              </w:rPr>
                            </w:pPr>
                            <w:r>
                              <w:rPr>
                                <w:sz w:val="16"/>
                              </w:rPr>
                              <w:t>Source:  Enron Corp.</w:t>
                            </w:r>
                          </w:p>
                        </w:txbxContent>
                      </wps:txbx>
                      <wps:bodyPr anchor="t" lIns="92075" tIns="46355" rIns="92075" bIns="46355">
                        <a:noAutofit/>
                      </wps:bodyPr>
                    </wps:wsp>
                  </a:graphicData>
                </a:graphic>
              </wp:anchor>
            </w:drawing>
          </mc:Choice>
          <mc:Fallback>
            <w:pict>
              <v:rect fillcolor="#FFFFFF" style="position:absolute;rotation:-0;width:194.4pt;height:36pt;mso-wrap-distance-left:9.05pt;mso-wrap-distance-right:9.05pt;mso-wrap-distance-top:0pt;mso-wrap-distance-bottom:0pt;margin-top:62.4pt;mso-position-vertical-relative:text;margin-left:57.6pt;mso-position-horizontal-relative:text">
                <v:textbox inset="0.100694444444444in,0.0506944444444444in,0.100694444444444in,0.0506944444444444in">
                  <w:txbxContent>
                    <w:p>
                      <w:pPr>
                        <w:pStyle w:val="Normal"/>
                        <w:spacing w:before="120" w:after="120"/>
                        <w:ind w:hanging="0" w:end="0"/>
                        <w:rPr>
                          <w:sz w:val="16"/>
                        </w:rPr>
                      </w:pPr>
                      <w:r>
                        <w:rPr>
                          <w:sz w:val="16"/>
                        </w:rPr>
                        <w:t>Source:  Enron Corp.</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731520</wp:posOffset>
                </wp:positionH>
                <wp:positionV relativeFrom="paragraph">
                  <wp:posOffset>5821680</wp:posOffset>
                </wp:positionV>
                <wp:extent cx="2468880" cy="457200"/>
                <wp:effectExtent l="0" t="0" r="0" b="0"/>
                <wp:wrapNone/>
                <wp:docPr id="19" name="Frame5"/>
                <a:graphic xmlns:a="http://schemas.openxmlformats.org/drawingml/2006/main">
                  <a:graphicData uri="http://schemas.microsoft.com/office/word/2010/wordprocessingShape">
                    <wps:wsp>
                      <wps:cNvSpPr txBox="1"/>
                      <wps:spPr>
                        <a:xfrm>
                          <a:off x="0" y="0"/>
                          <a:ext cx="2468880" cy="457200"/>
                        </a:xfrm>
                        <a:prstGeom prst="rect"/>
                        <a:solidFill>
                          <a:srgbClr val="FFFFFF"/>
                        </a:solidFill>
                      </wps:spPr>
                      <wps:txbx>
                        <w:txbxContent>
                          <w:p>
                            <w:pPr>
                              <w:pStyle w:val="Normal"/>
                              <w:spacing w:before="120" w:after="120"/>
                              <w:ind w:hanging="0" w:end="0"/>
                              <w:rPr>
                                <w:sz w:val="16"/>
                              </w:rPr>
                            </w:pPr>
                            <w:r>
                              <w:rPr>
                                <w:sz w:val="16"/>
                              </w:rPr>
                              <w:t>Source:  Enron Corp.</w:t>
                            </w:r>
                          </w:p>
                        </w:txbxContent>
                      </wps:txbx>
                      <wps:bodyPr anchor="t" lIns="92075" tIns="46355" rIns="92075" bIns="46355">
                        <a:noAutofit/>
                      </wps:bodyPr>
                    </wps:wsp>
                  </a:graphicData>
                </a:graphic>
              </wp:anchor>
            </w:drawing>
          </mc:Choice>
          <mc:Fallback>
            <w:pict>
              <v:rect fillcolor="#FFFFFF" style="position:absolute;rotation:-0;width:194.4pt;height:36pt;mso-wrap-distance-left:9.05pt;mso-wrap-distance-right:9.05pt;mso-wrap-distance-top:0pt;mso-wrap-distance-bottom:0pt;margin-top:458.4pt;mso-position-vertical-relative:text;margin-left:57.6pt;mso-position-horizontal-relative:text">
                <v:textbox inset="0.100694444444444in,0.0506944444444444in,0.100694444444444in,0.0506944444444444in">
                  <w:txbxContent>
                    <w:p>
                      <w:pPr>
                        <w:pStyle w:val="Normal"/>
                        <w:spacing w:before="120" w:after="120"/>
                        <w:ind w:hanging="0" w:end="0"/>
                        <w:rPr>
                          <w:sz w:val="16"/>
                        </w:rPr>
                      </w:pPr>
                      <w:r>
                        <w:rPr>
                          <w:sz w:val="16"/>
                        </w:rPr>
                        <w:t>Source:  Enron Corp.</w:t>
                      </w:r>
                    </w:p>
                  </w:txbxContent>
                </v:textbox>
                <w10:wrap type="none"/>
              </v:rect>
            </w:pict>
          </mc:Fallback>
        </mc:AlternateContent>
      </w:r>
    </w:p>
    <w:p>
      <w:pPr>
        <w:pStyle w:val="Normal"/>
        <w:rPr/>
      </w:pPr>
      <w:r>
        <w:rPr>
          <w:b/>
        </w:rPr>
        <w:t>Exhibit 10</w:t>
      </w:r>
      <w:r>
        <w:rPr/>
        <w:t xml:space="preserve">  An Example of RAC deal analysis form</w:t>
      </w:r>
    </w:p>
    <w:p>
      <w:pPr>
        <w:pStyle w:val="Normal"/>
        <w:rPr/>
      </w:pPr>
      <w:r>
        <w:rPr/>
      </w:r>
    </w:p>
    <w:p>
      <w:pPr>
        <w:sectPr>
          <w:headerReference w:type="even" r:id="rId38"/>
          <w:headerReference w:type="default" r:id="rId39"/>
          <w:headerReference w:type="first" r:id="rId40"/>
          <w:footerReference w:type="even" r:id="rId41"/>
          <w:footerReference w:type="default" r:id="rId42"/>
          <w:footerReference w:type="first" r:id="rId43"/>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extDirection w:val="lrTb"/>
          <w:docGrid w:type="default" w:linePitch="360" w:charSpace="0"/>
        </w:sectPr>
        <w:pStyle w:val="Normal"/>
        <w:rPr/>
      </w:pPr>
      <w:r>
        <w:rPr/>
      </w:r>
    </w:p>
    <w:p>
      <w:pPr>
        <w:pStyle w:val="EXHIBITTITLE"/>
        <w:spacing w:before="0" w:after="0"/>
        <w:ind w:hanging="1152" w:start="1152" w:end="0"/>
        <w:rPr/>
      </w:pPr>
      <w:r>
        <w:rPr>
          <w:b/>
        </w:rPr>
        <w:t>Exhibit 11</w:t>
      </w:r>
      <w:r>
        <w:fldChar w:fldCharType="begin"/>
      </w:r>
      <w:r>
        <w:rPr/>
        <w:instrText xml:space="preserve"> ADVANCE \r12 </w:instrText>
      </w:r>
      <w:r>
        <w:rPr/>
      </w:r>
      <w:r>
        <w:rPr/>
        <w:fldChar w:fldCharType="separate"/>
      </w:r>
      <w:r>
        <w:rPr/>
      </w:r>
      <w:r>
        <w:rPr/>
      </w:r>
      <w:r>
        <w:rPr/>
        <w:fldChar w:fldCharType="end"/>
      </w:r>
      <w:r>
        <w:rPr/>
        <w:t>Enron Corporation Transaction Approval Process</w:t>
      </w:r>
    </w:p>
    <w:p>
      <w:pPr>
        <w:pStyle w:val="Normal"/>
        <w:rPr/>
      </w:pPr>
      <w:r>
        <w:rPr/>
      </w:r>
    </w:p>
    <w:p>
      <w:pPr>
        <w:pStyle w:val="NormalLeftNoSpace"/>
        <w:jc w:val="center"/>
        <w:rPr/>
      </w:pPr>
      <w:r>
        <w:rPr/>
        <w:drawing>
          <wp:inline distT="0" distB="0" distL="0" distR="0">
            <wp:extent cx="8227695" cy="4581525"/>
            <wp:effectExtent l="0" t="0" r="0" b="0"/>
            <wp:docPr id="20" name="t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ap" descr="" title=""/>
                    <pic:cNvPicPr>
                      <a:picLocks noChangeAspect="1" noChangeArrowheads="1"/>
                    </pic:cNvPicPr>
                  </pic:nvPicPr>
                  <pic:blipFill>
                    <a:blip r:embed="rId44"/>
                    <a:srcRect l="-4" t="-7" r="-4" b="-7"/>
                    <a:stretch>
                      <a:fillRect/>
                    </a:stretch>
                  </pic:blipFill>
                  <pic:spPr bwMode="auto">
                    <a:xfrm>
                      <a:off x="0" y="0"/>
                      <a:ext cx="8227695" cy="4581525"/>
                    </a:xfrm>
                    <a:prstGeom prst="rect">
                      <a:avLst/>
                    </a:prstGeom>
                    <a:noFill/>
                  </pic:spPr>
                </pic:pic>
              </a:graphicData>
            </a:graphic>
          </wp:inline>
        </w:drawing>
      </w:r>
    </w:p>
    <w:p>
      <w:pPr>
        <w:pStyle w:val="Normal"/>
        <w:rPr/>
      </w:pPr>
      <w:r>
        <w:rPr/>
      </w:r>
    </w:p>
    <w:p>
      <w:pPr>
        <w:pStyle w:val="SOURCE"/>
        <w:spacing w:lineRule="auto" w:line="240" w:before="180" w:after="120"/>
        <w:rPr/>
      </w:pPr>
      <w:r>
        <w:rPr/>
        <w:t>Source:   Enron Corp.</w:t>
      </w:r>
    </w:p>
    <w:p>
      <w:pPr>
        <w:pStyle w:val="Normal"/>
        <w:rPr/>
      </w:pPr>
      <w:r>
        <w:rPr/>
      </w:r>
    </w:p>
    <w:p>
      <w:pPr>
        <w:sectPr>
          <w:headerReference w:type="even" r:id="rId45"/>
          <w:headerReference w:type="default" r:id="rId46"/>
          <w:headerReference w:type="first" r:id="rId47"/>
          <w:footerReference w:type="even" r:id="rId48"/>
          <w:footerReference w:type="default" r:id="rId49"/>
          <w:footerReference w:type="first" r:id="rId50"/>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Normal"/>
        <w:rPr/>
      </w:pPr>
      <w:r>
        <w:rPr/>
      </w:r>
    </w:p>
    <w:p>
      <w:pPr>
        <w:pStyle w:val="Normal"/>
        <w:rPr/>
      </w:pPr>
      <w:r>
        <w:rPr>
          <w:b/>
        </w:rPr>
        <w:t>Exhibit 12</w:t>
      </w:r>
      <w:r>
        <w:rPr/>
        <w:t xml:space="preserve">  Performance Review Process (Excerpted internal email sent to all Enron employees worldwide.)  </w:t>
      </w:r>
    </w:p>
    <w:p>
      <w:pPr>
        <w:pStyle w:val="HTMLBody"/>
        <w:rPr>
          <w:rFonts w:ascii="Palatino;Book Antiqua" w:hAnsi="Palatino;Book Antiqua" w:cs="Palatino;Book Antiqua"/>
        </w:rPr>
      </w:pPr>
      <w:r>
        <w:rPr>
          <w:rFonts w:cs="Palatino;Book Antiqua" w:ascii="Palatino;Book Antiqua" w:hAnsi="Palatino;Book Antiqua"/>
        </w:rPr>
        <w:t>The key to Enron's success is the increasing quality and dedication of our talent.  As we continue to attract and retain the very best people, we all have continued to raise the performance bar throughout the organization.  At the core of our system are the following principles:</w:t>
      </w:r>
    </w:p>
    <w:p>
      <w:pPr>
        <w:pStyle w:val="HTMLBody"/>
        <w:rPr>
          <w:rFonts w:ascii="Palatino;Book Antiqua" w:hAnsi="Palatino;Book Antiqua" w:cs="Palatino;Book Antiqua"/>
        </w:rPr>
      </w:pPr>
      <w:r>
        <w:rPr>
          <w:rFonts w:cs="Palatino;Book Antiqua" w:ascii="Palatino;Book Antiqua" w:hAnsi="Palatino;Book Antiqua"/>
        </w:rPr>
      </w:r>
    </w:p>
    <w:p>
      <w:pPr>
        <w:pStyle w:val="BulletList"/>
        <w:numPr>
          <w:ilvl w:val="0"/>
          <w:numId w:val="2"/>
        </w:numPr>
        <w:spacing w:before="0" w:after="0"/>
        <w:ind w:hanging="360" w:start="418" w:end="720"/>
        <w:rPr/>
      </w:pPr>
      <w:r>
        <w:rPr/>
        <w:t>Hire the best people.</w:t>
      </w:r>
    </w:p>
    <w:p>
      <w:pPr>
        <w:pStyle w:val="BulletList"/>
        <w:numPr>
          <w:ilvl w:val="0"/>
          <w:numId w:val="2"/>
        </w:numPr>
        <w:spacing w:before="0" w:after="0"/>
        <w:ind w:hanging="360" w:start="418" w:end="720"/>
        <w:rPr/>
      </w:pPr>
      <w:r>
        <w:rPr/>
        <w:t>Provide challenging opportunities.</w:t>
      </w:r>
    </w:p>
    <w:p>
      <w:pPr>
        <w:pStyle w:val="BulletList"/>
        <w:numPr>
          <w:ilvl w:val="0"/>
          <w:numId w:val="2"/>
        </w:numPr>
        <w:spacing w:before="0" w:after="0"/>
        <w:ind w:hanging="360" w:start="418" w:end="720"/>
        <w:rPr/>
      </w:pPr>
      <w:r>
        <w:rPr/>
        <w:t>Pay well, and pay for performance (with bonuses based on merit, not entitlement).</w:t>
      </w:r>
    </w:p>
    <w:p>
      <w:pPr>
        <w:pStyle w:val="BulletList"/>
        <w:numPr>
          <w:ilvl w:val="0"/>
          <w:numId w:val="2"/>
        </w:numPr>
        <w:spacing w:before="0" w:after="0"/>
        <w:ind w:hanging="360" w:start="418" w:end="720"/>
        <w:rPr/>
      </w:pPr>
      <w:r>
        <w:rPr/>
        <w:t>Evaluate performance through a rigorous review process.</w:t>
      </w:r>
    </w:p>
    <w:p>
      <w:pPr>
        <w:pStyle w:val="BulletList"/>
        <w:numPr>
          <w:ilvl w:val="0"/>
          <w:numId w:val="2"/>
        </w:numPr>
        <w:spacing w:before="0" w:after="0"/>
        <w:ind w:hanging="360" w:start="418" w:end="720"/>
        <w:rPr/>
      </w:pPr>
      <w:r>
        <w:rPr/>
        <w:t>Provide clear feedback and direction to employees.</w:t>
      </w:r>
    </w:p>
    <w:p>
      <w:pPr>
        <w:pStyle w:val="HTMLBody"/>
        <w:rPr>
          <w:rFonts w:ascii="Palatino;Book Antiqua" w:hAnsi="Palatino;Book Antiqua" w:cs="Palatino;Book Antiqua"/>
        </w:rPr>
      </w:pPr>
      <w:r>
        <w:rPr>
          <w:rFonts w:cs="Palatino;Book Antiqua" w:ascii="Palatino;Book Antiqua" w:hAnsi="Palatino;Book Antiqua"/>
        </w:rPr>
      </w:r>
    </w:p>
    <w:p>
      <w:pPr>
        <w:pStyle w:val="HTMLBody"/>
        <w:rPr>
          <w:rFonts w:ascii="Palatino;Book Antiqua" w:hAnsi="Palatino;Book Antiqua" w:cs="Palatino;Book Antiqua"/>
        </w:rPr>
      </w:pPr>
      <w:r>
        <w:rPr>
          <w:rFonts w:cs="Palatino;Book Antiqua" w:ascii="Palatino;Book Antiqua" w:hAnsi="Palatino;Book Antiqua"/>
        </w:rPr>
        <w:t>The PRC is a critical component of our performance management system.  The PRC is built on this foundation:</w:t>
      </w:r>
    </w:p>
    <w:p>
      <w:pPr>
        <w:pStyle w:val="HTMLBody"/>
        <w:rPr>
          <w:rFonts w:ascii="Palatino;Book Antiqua" w:hAnsi="Palatino;Book Antiqua" w:cs="Palatino;Book Antiqua"/>
        </w:rPr>
      </w:pPr>
      <w:r>
        <w:rPr>
          <w:rFonts w:cs="Palatino;Book Antiqua" w:ascii="Palatino;Book Antiqua" w:hAnsi="Palatino;Book Antiqua"/>
        </w:rPr>
      </w:r>
    </w:p>
    <w:p>
      <w:pPr>
        <w:pStyle w:val="BulletList"/>
        <w:numPr>
          <w:ilvl w:val="0"/>
          <w:numId w:val="5"/>
        </w:numPr>
        <w:spacing w:before="0" w:after="0"/>
        <w:rPr/>
      </w:pPr>
      <w:r>
        <w:rPr>
          <w:rFonts w:eastAsia="Palatino;Book Antiqua"/>
        </w:rPr>
        <w:t xml:space="preserve"> </w:t>
      </w:r>
      <w:r>
        <w:rPr/>
        <w:t>360 degree performance feedback.</w:t>
      </w:r>
    </w:p>
    <w:p>
      <w:pPr>
        <w:pStyle w:val="BulletList"/>
        <w:numPr>
          <w:ilvl w:val="0"/>
          <w:numId w:val="5"/>
        </w:numPr>
        <w:spacing w:before="0" w:after="0"/>
        <w:rPr/>
      </w:pPr>
      <w:r>
        <w:rPr/>
        <w:t>Review by a broad group, not just the supervisor.</w:t>
      </w:r>
    </w:p>
    <w:p>
      <w:pPr>
        <w:pStyle w:val="BulletList"/>
        <w:numPr>
          <w:ilvl w:val="0"/>
          <w:numId w:val="5"/>
        </w:numPr>
        <w:spacing w:before="0" w:after="0"/>
        <w:rPr/>
      </w:pPr>
      <w:r>
        <w:rPr/>
        <w:t>A relative ranking of performance across Enron to determine promotions and to allocate bonus money.</w:t>
      </w:r>
    </w:p>
    <w:p>
      <w:pPr>
        <w:pStyle w:val="HTMLBody"/>
        <w:rPr>
          <w:rFonts w:ascii="Palatino;Book Antiqua" w:hAnsi="Palatino;Book Antiqua" w:cs="Palatino;Book Antiqua"/>
        </w:rPr>
      </w:pPr>
      <w:r>
        <w:rPr>
          <w:rFonts w:cs="Palatino;Book Antiqua" w:ascii="Palatino;Book Antiqua" w:hAnsi="Palatino;Book Antiqua"/>
        </w:rPr>
      </w:r>
    </w:p>
    <w:p>
      <w:pPr>
        <w:pStyle w:val="HTMLBody"/>
        <w:rPr>
          <w:rFonts w:ascii="Palatino;Book Antiqua" w:hAnsi="Palatino;Book Antiqua" w:cs="Palatino;Book Antiqua"/>
        </w:rPr>
      </w:pPr>
      <w:r>
        <w:rPr>
          <w:rFonts w:cs="Palatino;Book Antiqua" w:ascii="Palatino;Book Antiqua" w:hAnsi="Palatino;Book Antiqua"/>
        </w:rPr>
        <w:t>In addition to understanding this broad philosophy, we all need to understand the following details:</w:t>
      </w:r>
    </w:p>
    <w:p>
      <w:pPr>
        <w:pStyle w:val="HTMLBody"/>
        <w:rPr>
          <w:rFonts w:ascii="Palatino;Book Antiqua" w:hAnsi="Palatino;Book Antiqua" w:cs="Palatino;Book Antiqua"/>
        </w:rPr>
      </w:pPr>
      <w:r>
        <w:rPr>
          <w:rFonts w:cs="Palatino;Book Antiqua" w:ascii="Palatino;Book Antiqua" w:hAnsi="Palatino;Book Antiqua"/>
        </w:rPr>
      </w:r>
    </w:p>
    <w:p>
      <w:pPr>
        <w:pStyle w:val="BulletList"/>
        <w:numPr>
          <w:ilvl w:val="0"/>
          <w:numId w:val="7"/>
        </w:numPr>
        <w:rPr/>
      </w:pPr>
      <w:r>
        <w:rPr>
          <w:i/>
        </w:rPr>
        <w:t>Relative ranking</w:t>
      </w:r>
      <w:r>
        <w:rPr/>
        <w:t xml:space="preserve">.  Enron uses the descriptors "superior", "excellent", "strong", "satisfactory", "needs improvement", and "issues" to group all employees.  The qualifier "relative to his/her peers" confirms that it is possible for someone to perform at the same or higher level compared to prior periods, yet receive a lower rating for the current period if other employees' performance raised the bar.  </w:t>
      </w:r>
    </w:p>
    <w:p>
      <w:pPr>
        <w:pStyle w:val="BulletList"/>
        <w:numPr>
          <w:ilvl w:val="0"/>
          <w:numId w:val="7"/>
        </w:numPr>
        <w:rPr/>
      </w:pPr>
      <w:r>
        <w:rPr>
          <w:i/>
        </w:rPr>
        <w:t>Teamwork</w:t>
      </w:r>
      <w:r>
        <w:rPr/>
        <w:t xml:space="preserve">.  A relative ranking may invite the view that for one employee to gain, others must suffer.  However, feedback is explicitly solicited on teamwork when evaluating each individual's performance.  Anyone who attempts to gain by withholding information or refusing to collaborate with others in the organization will suffer in a relative ranking on this key performance criterion.  </w:t>
      </w:r>
    </w:p>
    <w:p>
      <w:pPr>
        <w:pStyle w:val="BulletList"/>
        <w:numPr>
          <w:ilvl w:val="0"/>
          <w:numId w:val="7"/>
        </w:numPr>
        <w:rPr/>
      </w:pPr>
      <w:r>
        <w:rPr>
          <w:i/>
        </w:rPr>
        <w:t>Preferred distribution</w:t>
      </w:r>
      <w:r>
        <w:rPr/>
        <w:t xml:space="preserve">. In large part, the quality of our workforce has been driven by our willingness to make tough decisions.  The preferred distribution (5% superior, 30% excellent, 30% strong, 20% satisfactory, and 15% needs improvement or issues) forces PRC committee members to identify those who must improve in order to remain at Enron as well as to single out top talent for special recognition.  Few, if any, organizations adhere exactly to the preferred distribution. Rather, they exercise informed discretion in the individual categories and meet a distribution that reflects their groups' overall effectiveness and need for improvement.  </w:t>
      </w:r>
    </w:p>
    <w:p>
      <w:pPr>
        <w:pStyle w:val="BulletList"/>
        <w:numPr>
          <w:ilvl w:val="0"/>
          <w:numId w:val="7"/>
        </w:numPr>
        <w:rPr/>
      </w:pPr>
      <w:r>
        <w:rPr>
          <w:i/>
        </w:rPr>
        <w:t>Communicating Ratings</w:t>
      </w:r>
      <w:r>
        <w:rPr/>
        <w:t>. Everyone rated "satisfactory" or below should know his/her rating. Each organization has determined for itself whether to communicate ratings of "strong" and above.  In all cases, employees will receive feedback about their performance against expectations, areas of success, and areas that need improvement.</w:t>
      </w:r>
    </w:p>
    <w:p>
      <w:pPr>
        <w:pStyle w:val="Normal"/>
        <w:rPr/>
      </w:pPr>
      <w:r>
        <w:rPr/>
        <w:t>We would like your feedback and ideas on how to improve the PRC process going forward.  Therefore, we will be conducting an eSpeak in the near future, and there will be other methods we will create to let us know what you think.</w:t>
      </w:r>
    </w:p>
    <w:p>
      <w:pPr>
        <w:pStyle w:val="Heading2"/>
        <w:spacing w:before="200" w:after="200"/>
        <w:ind w:hanging="0" w:start="0"/>
        <w:rPr/>
      </w:pPr>
      <w:r>
        <w:rPr/>
        <w:t>Endnotes</w:t>
      </w:r>
    </w:p>
    <w:sectPr>
      <w:headerReference w:type="even" r:id="rId51"/>
      <w:headerReference w:type="default" r:id="rId52"/>
      <w:headerReference w:type="first" r:id="rId53"/>
      <w:footerReference w:type="even" r:id="rId54"/>
      <w:footerReference w:type="default" r:id="rId55"/>
      <w:footerReference w:type="first" r:id="rId56"/>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 xml:space="preserve">Texas Lone Star,” </w:t>
      </w:r>
      <w:r>
        <w:rPr>
          <w:i/>
        </w:rPr>
        <w:t xml:space="preserve">World Link </w:t>
      </w:r>
      <w:r>
        <w:rPr/>
        <w:t>technology supplement</w:t>
      </w:r>
      <w:r>
        <w:rPr>
          <w:i/>
        </w:rPr>
        <w:t xml:space="preserve">, </w:t>
      </w:r>
      <w:r>
        <w:rPr/>
        <w:t>September/October 2000, pp.10-14.</w:t>
      </w:r>
    </w:p>
  </w:endnote>
  <w:endnote w:id="3">
    <w:p>
      <w:pPr>
        <w:pStyle w:val="EndnoteText"/>
        <w:rPr/>
      </w:pPr>
      <w:r>
        <w:rPr>
          <w:rStyle w:val="EndnoteCharacters"/>
        </w:rPr>
        <w:endnoteRef/>
      </w:r>
      <w:r>
        <w:rPr/>
        <w:t xml:space="preserve"> “</w:t>
      </w:r>
      <w:r>
        <w:rPr/>
        <w:t xml:space="preserve">Enron takes its pipeline to the Net,” </w:t>
      </w:r>
      <w:r>
        <w:rPr>
          <w:i/>
        </w:rPr>
        <w:t>Fortune</w:t>
      </w:r>
      <w:r>
        <w:rPr/>
        <w:t>, 1/25/2000, pp-127-129.</w:t>
      </w:r>
    </w:p>
  </w:endnote>
  <w:endnote w:id="4">
    <w:p>
      <w:pPr>
        <w:pStyle w:val="EndnoteText"/>
        <w:rPr/>
      </w:pPr>
      <w:r>
        <w:rPr>
          <w:rStyle w:val="EndnoteCharacters"/>
        </w:rPr>
        <w:endnoteRef/>
      </w:r>
      <w:r>
        <w:rPr/>
        <w:t xml:space="preserve"> “</w:t>
      </w:r>
      <w:r>
        <w:rPr/>
        <w:t xml:space="preserve">Enron Electrified,” </w:t>
      </w:r>
      <w:r>
        <w:rPr>
          <w:i/>
        </w:rPr>
        <w:t>Fortune</w:t>
      </w:r>
      <w:r>
        <w:rPr/>
        <w:t>, 7/24/2000, pp. EB54-58.</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14</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20</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21</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24</w:t>
    </w:r>
    <w: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11</w:t>
    </w:r>
    <w: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13</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26</w:t>
    </w:r>
    <w: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13</w:t>
    </w:r>
    <w:r>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UTHOR"/>
      <w:pBdr>
        <w:top w:val="single" w:sz="6" w:space="4" w:color="000000"/>
      </w:pBdr>
      <w:spacing w:before="120" w:after="0"/>
      <w:ind w:hanging="0" w:start="0" w:end="0"/>
      <w:rPr/>
    </w:pPr>
    <w:r>
      <w:rPr/>
      <w:t>Professor Christopher A. Bartlett and Research Associate Meg Wozny prepared this case as the basis for class discussion rather than to illustrate either effective or ineffective handling of an administrative situation.</w:t>
    </w:r>
  </w:p>
  <w:p>
    <w:pPr>
      <w:pStyle w:val="COPYRIGHT"/>
      <w:rPr/>
    </w:pPr>
    <w:r>
      <w:rPr/>
      <w:t>Copyright © 2000 by the President and Fellows of Harvard College.  To order copies or request permission to reproduce materials, call 1-800-545-7685, write Harvard Business School Publishing, Boston, MA 02163, or go to http://www.hbsp.harvard.edu.  No part of this publication may be reproduced, stored in a retrieval system, used in a spreadsheet, or transmitted in any form or by any means—electronic, mechanical, photocopying, recording, or otherwise—without the permission of Harvard Business School.</w:t>
    </w:r>
  </w:p>
  <w:p>
    <w:pPr>
      <w:pStyle w:val="footerR"/>
      <w:spacing w:before="80" w:after="120"/>
      <w:jc w:val="end"/>
      <w:rPr/>
    </w:pPr>
    <w:r>
      <w:rPr/>
      <w:fldChar w:fldCharType="begin"/>
    </w:r>
    <w:r>
      <w:rPr/>
      <w:instrText xml:space="preserve"> PAGE </w:instrText>
    </w:r>
    <w:r>
      <w:rPr/>
      <w:fldChar w:fldCharType="separate"/>
    </w:r>
    <w:r>
      <w:rPr/>
      <w:t>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Pursuing a more capital-intensive approach than EGS, Enron’s aggressive international expansion in the early 1990s was built on a belief that advantages would accrue to those who moved quickly to exploit the worldwide deregulation of the energy industry.  With an objective of developing international energy infrastructure in both developed and developing nations, the company was operating power and pipeline projects in 15 countries by 1994 and was developing similar projects in 15 others.  Investments ranged from the $1.4 billion power generation plant in Teesside, England, to a 4,000-mile pipeline that delivered two thirds of Argentina’s gas, to a $1 billion power plant in India tied to a 20-year power supply agreement.  (See </w:t>
      </w:r>
      <w:r>
        <w:rPr>
          <w:b/>
        </w:rPr>
        <w:t>Exhibit 9</w:t>
      </w:r>
      <w:r>
        <w:rPr/>
        <w:t xml:space="preserve"> for a representation of worldwide activities in 1994.) </w:t>
      </w:r>
    </w:p>
  </w:footnote>
  <w:footnote w:id="3">
    <w:p>
      <w:pPr>
        <w:pStyle w:val="FootnoteText"/>
        <w:rPr/>
      </w:pPr>
      <w:r>
        <w:rPr>
          <w:rStyle w:val="FootnoteCharacters"/>
        </w:rPr>
        <w:footnoteRef/>
      </w:r>
      <w:r>
        <w:rPr/>
        <w:t xml:space="preserve"> </w:t>
      </w:r>
      <w:r>
        <w:rPr/>
        <w:t>In the process, the company continued to revolutionize the way it delivered its products and services.  In April 1999, Louise Kitchen, a UK-based gas trader, began assembling a 350-person team to develop EnronOnline, an Internet-based trading platform that was up and running by November.  In six months, over a third of all trades were transacted online.  (For a full description see “EnronOnline,” HBS No. XXX-XXX.)</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New Economy Powerhouse</w:t>
    </w:r>
    <w:r>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New Economy Powerhouse</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22</w:t>
    </w:r>
    <w:r>
      <w:rPr/>
      <w:fldChar w:fldCharType="end"/>
    </w:r>
    <w:r>
      <w:rPr/>
      <w:t>-</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23</w:t>
    </w:r>
    <w:r>
      <w:rPr/>
      <w:fldChar w:fldCharType="end"/>
    </w:r>
    <w:r>
      <w:rPr/>
      <w:t>-</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New Economy Powerhouse</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12</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25</w:t>
    </w:r>
    <w:r>
      <w:rPr/>
      <w:fldChar w:fldCharType="end"/>
    </w:r>
    <w:r>
      <w:rPr/>
      <w:t>-</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New Economy Powerhouse</w:t>
    </w:r>
    <w:r>
      <w:rPr/>
      <w:fldChar w:fldCharType="end"/>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90" w:type="dxa"/>
      <w:jc w:val="start"/>
      <w:tblInd w:w="0" w:type="dxa"/>
      <w:tblLayout w:type="fixed"/>
      <w:tblCellMar>
        <w:top w:w="0" w:type="dxa"/>
        <w:start w:w="0" w:type="dxa"/>
        <w:bottom w:w="0" w:type="dxa"/>
        <w:end w:w="0" w:type="dxa"/>
      </w:tblCellMar>
    </w:tblPr>
    <w:tblGrid>
      <w:gridCol w:w="1094"/>
      <w:gridCol w:w="3766"/>
      <w:gridCol w:w="4130"/>
    </w:tblGrid>
    <w:tr>
      <w:trPr/>
      <w:tc>
        <w:tcPr>
          <w:tcW w:w="1094" w:type="dxa"/>
          <w:tcBorders>
            <w:top w:val="single" w:sz="18" w:space="0" w:color="000000"/>
          </w:tcBorders>
        </w:tcPr>
        <w:p>
          <w:pPr>
            <w:pStyle w:val="Shield"/>
            <w:spacing w:before="120" w:after="0"/>
            <w:rPr/>
          </w:pPr>
          <w:r>
            <w:rPr/>
            <w:drawing>
              <wp:inline distT="0" distB="0" distL="0" distR="0">
                <wp:extent cx="542925" cy="66230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542925" cy="662305"/>
                        </a:xfrm>
                        <a:prstGeom prst="rect">
                          <a:avLst/>
                        </a:prstGeom>
                        <a:noFill/>
                      </pic:spPr>
                    </pic:pic>
                  </a:graphicData>
                </a:graphic>
              </wp:inline>
            </w:drawing>
          </w:r>
        </w:p>
      </w:tc>
      <w:tc>
        <w:tcPr>
          <w:tcW w:w="3766" w:type="dxa"/>
          <w:tcBorders>
            <w:top w:val="single" w:sz="18" w:space="0" w:color="000000"/>
          </w:tcBorders>
        </w:tcPr>
        <w:p>
          <w:pPr>
            <w:pStyle w:val="Header"/>
            <w:spacing w:before="40" w:after="0"/>
            <w:jc w:val="start"/>
            <w:rPr/>
          </w:pPr>
          <w:r>
            <w:rPr/>
            <w:t>Harvard Business School</w:t>
          </w:r>
        </w:p>
      </w:tc>
      <w:tc>
        <w:tcPr>
          <w:tcW w:w="4130" w:type="dxa"/>
          <w:tcBorders>
            <w:top w:val="single" w:sz="18" w:space="0" w:color="000000"/>
          </w:tcBorders>
        </w:tcPr>
        <w:p>
          <w:pPr>
            <w:pStyle w:val="controlnumber"/>
            <w:numPr>
              <w:ilvl w:val="0"/>
              <w:numId w:val="0"/>
            </w:numPr>
            <w:spacing w:before="40" w:after="0"/>
            <w:jc w:val="end"/>
            <w:rPr/>
          </w:pPr>
          <w:r>
            <w:rPr/>
            <w:fldChar w:fldCharType="begin"/>
          </w:r>
          <w:r>
            <w:rPr/>
            <w:instrText xml:space="preserve"> KEYWORDS </w:instrText>
          </w:r>
          <w:r>
            <w:rPr/>
            <w:fldChar w:fldCharType="separate"/>
          </w:r>
          <w:r>
            <w:rPr/>
            <w:t>N9-</w:t>
          </w:r>
          <w:r>
            <w:rPr/>
            <w:fldChar w:fldCharType="end"/>
          </w:r>
          <w:r>
            <w:rPr/>
            <w:fldChar w:fldCharType="begin"/>
          </w:r>
          <w:r>
            <w:rPr/>
            <w:instrText xml:space="preserve"> SUBJECT </w:instrText>
          </w:r>
          <w:r>
            <w:rPr/>
            <w:fldChar w:fldCharType="separate"/>
          </w:r>
          <w:r>
            <w:rPr/>
            <w:t>301-064</w:t>
          </w:r>
          <w:r>
            <w:rPr/>
            <w:fldChar w:fldCharType="end"/>
          </w:r>
        </w:p>
        <w:p>
          <w:pPr>
            <w:pStyle w:val="date"/>
            <w:rPr/>
          </w:pPr>
          <w:r>
            <w:rPr/>
            <w:t>February 20, 2001</w:t>
          </w:r>
        </w:p>
      </w:tc>
    </w:tr>
  </w:tbl>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2</w:t>
    </w:r>
    <w:r>
      <w:rPr/>
      <w:fldChar w:fldCharType="end"/>
    </w:r>
    <w:r>
      <w:rPr/>
      <w: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15</w:t>
    </w:r>
    <w:r>
      <w:rPr/>
      <w:fldChar w:fldCharType="end"/>
    </w:r>
    <w:r>
      <w:rPr/>
      <w: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16</w:t>
    </w:r>
    <w:r>
      <w:rPr/>
      <w:fldChar w:fldCharType="end"/>
    </w:r>
    <w:r>
      <w:rPr/>
      <w: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17</w:t>
    </w:r>
    <w:r>
      <w:rPr/>
      <w:fldChar w:fldCharType="end"/>
    </w:r>
    <w:r>
      <w:rPr/>
      <w: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420"/>
        </w:tabs>
        <w:ind w:start="4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Helvetica" w:hAnsi="Helvetica" w:cs="Helvetica" w:hint="default"/>
        <w:sz w:val="22"/>
        <w:i w:val="false"/>
        <w:b w:val="false"/>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420"/>
        </w:tabs>
        <w:ind w:start="4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420"/>
        </w:tabs>
        <w:ind w:start="420" w:hanging="360"/>
      </w:pPr>
      <w:rPr>
        <w:rFonts w:ascii="Symbol" w:hAnsi="Symbol" w:cs="Symbol" w:hint="default"/>
      </w:rPr>
    </w:lvl>
  </w:abstractNum>
  <w:abstractNum w:abstractNumId="8">
    <w:lvl w:ilvl="0">
      <w:start w:val="1"/>
      <w:numFmt w:val="decimal"/>
      <w:lvlText w:val="%1."/>
      <w:lvlJc w:val="end"/>
      <w:pPr>
        <w:tabs>
          <w:tab w:val="num" w:pos="1080"/>
        </w:tabs>
        <w:ind w:start="1080" w:hanging="120"/>
      </w:pPr>
    </w:lvl>
  </w:abstractNum>
  <w:abstractNum w:abstractNumId="9">
    <w:lvl w:ilvl="0">
      <w:start w:val="1"/>
      <w:numFmt w:val="bullet"/>
      <w:lvlText w:val=""/>
      <w:lvlJc w:val="start"/>
      <w:pPr>
        <w:tabs>
          <w:tab w:val="num" w:pos="360"/>
        </w:tabs>
        <w:ind w:start="180" w:hanging="180"/>
      </w:pPr>
      <w:rPr>
        <w:rFonts w:ascii="Helvetica" w:hAnsi="Helvetica" w:cs="Helvetica" w:hint="default"/>
        <w:sz w:val="18"/>
        <w:i w:val="false"/>
        <w:b w:val="false"/>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00"/>
        </w:tabs>
        <w:ind w:start="300" w:hanging="3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revisionView w:insDel="0" w:formatting="0"/>
  <w:mirrorMargins/>
  <w:defaultTabStop w:val="720"/>
  <w:autoHyphenation w:val="true"/>
  <w:hyphenationZone w:val="0"/>
  <w:evenAndOddHeaders/>
  <w:footnotePr>
    <w:pos w:val="sectEnd"/>
    <w:numFmt w:val="decimal"/>
    <w:footnote w:id="0"/>
    <w:footnote w:id="1"/>
  </w:footnotePr>
  <w:endnotePr>
    <w:pos w:val="sectEnd"/>
    <w:numFmt w:val="lowerRoman"/>
    <w:endnote w:id="0"/>
    <w:endnote w:id="1"/>
  </w:endnotePr>
  <w:compat>
    <w:compatSetting w:name="compatibilityMode" w:uri="http://schemas.microsoft.com/office/word" w:val="11"/>
  </w:compat>
  <w:docVars>
    <w:docVar w:name="DOCAuthor" w:val="Autho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ind w:firstLine="720" w:start="0" w:end="0"/>
      <w:jc w:val="both"/>
    </w:pPr>
    <w:rPr>
      <w:rFonts w:ascii="Palatino;Book Antiqua" w:hAnsi="Palatino;Book Antiqua" w:eastAsia="Times New Roman" w:cs="Palatino;Book Antiqua"/>
      <w:color w:val="000000"/>
      <w:sz w:val="20"/>
      <w:szCs w:val="20"/>
      <w:lang w:val="en-US" w:bidi="ar-SA" w:eastAsia="zh-CN"/>
    </w:rPr>
  </w:style>
  <w:style w:type="paragraph" w:styleId="Heading1">
    <w:name w:val="heading 1"/>
    <w:next w:val="Normal"/>
    <w:qFormat/>
    <w:pPr>
      <w:keepNext w:val="true"/>
      <w:widowControl/>
      <w:numPr>
        <w:ilvl w:val="0"/>
        <w:numId w:val="1"/>
      </w:numPr>
      <w:bidi w:val="0"/>
      <w:spacing w:before="560" w:after="200"/>
      <w:jc w:val="center"/>
      <w:outlineLvl w:val="0"/>
    </w:pPr>
    <w:rPr>
      <w:rFonts w:ascii="Helvetica" w:hAnsi="Helvetica" w:eastAsia="Times New Roman" w:cs="Helvetica"/>
      <w:b/>
      <w:color w:val="000000"/>
      <w:sz w:val="24"/>
      <w:szCs w:val="20"/>
      <w:lang w:val="en-US" w:bidi="ar-SA" w:eastAsia="zh-CN"/>
    </w:rPr>
  </w:style>
  <w:style w:type="paragraph" w:styleId="Heading2">
    <w:name w:val="heading 2"/>
    <w:basedOn w:val="Heading1"/>
    <w:next w:val="Normal"/>
    <w:qFormat/>
    <w:pPr>
      <w:numPr>
        <w:ilvl w:val="1"/>
        <w:numId w:val="1"/>
      </w:numPr>
      <w:spacing w:before="200" w:after="200"/>
      <w:jc w:val="start"/>
      <w:outlineLvl w:val="1"/>
    </w:pPr>
    <w:rPr>
      <w:sz w:val="22"/>
    </w:rPr>
  </w:style>
  <w:style w:type="paragraph" w:styleId="Heading3">
    <w:name w:val="heading 3"/>
    <w:basedOn w:val="Normal"/>
    <w:next w:val="Normal"/>
    <w:qFormat/>
    <w:pPr>
      <w:numPr>
        <w:ilvl w:val="2"/>
        <w:numId w:val="1"/>
      </w:numPr>
      <w:ind w:hanging="0" w:start="0" w:end="0"/>
      <w:outlineLvl w:val="2"/>
    </w:pPr>
    <w:rPr/>
  </w:style>
  <w:style w:type="paragraph" w:styleId="Heading4">
    <w:name w:val="heading 4"/>
    <w:basedOn w:val="Normal"/>
    <w:next w:val="Normal"/>
    <w:qFormat/>
    <w:pPr>
      <w:keepNext w:val="true"/>
      <w:numPr>
        <w:ilvl w:val="3"/>
        <w:numId w:val="1"/>
      </w:numPr>
      <w:spacing w:lineRule="auto" w:line="480"/>
      <w:outlineLvl w:val="3"/>
    </w:pPr>
    <w:rPr>
      <w:b/>
    </w:rPr>
  </w:style>
  <w:style w:type="paragraph" w:styleId="Heading5">
    <w:name w:val="heading 5"/>
    <w:basedOn w:val="Normal"/>
    <w:next w:val="Normal"/>
    <w:qFormat/>
    <w:pPr>
      <w:keepNext w:val="true"/>
      <w:numPr>
        <w:ilvl w:val="4"/>
        <w:numId w:val="1"/>
      </w:numPr>
      <w:spacing w:before="0" w:after="0"/>
      <w:ind w:hanging="0" w:start="0" w:end="0"/>
      <w:outlineLvl w:val="4"/>
    </w:pPr>
    <w:rPr>
      <w:b/>
    </w:rPr>
  </w:style>
  <w:style w:type="paragraph" w:styleId="Heading6">
    <w:name w:val="heading 6"/>
    <w:basedOn w:val="Normal"/>
    <w:next w:val="Normal"/>
    <w:qFormat/>
    <w:pPr>
      <w:keepNext w:val="true"/>
      <w:numPr>
        <w:ilvl w:val="5"/>
        <w:numId w:val="1"/>
      </w:numPr>
      <w:spacing w:lineRule="auto" w:line="480" w:before="0" w:after="0"/>
      <w:ind w:hanging="0" w:start="0" w:end="0"/>
      <w:outlineLvl w:val="5"/>
    </w:pPr>
    <w:rPr>
      <w:b/>
      <w:sz w:val="18"/>
    </w:rPr>
  </w:style>
  <w:style w:type="character" w:styleId="WW8Num2z0">
    <w:name w:val="WW8Num2z0"/>
    <w:qFormat/>
    <w:rPr>
      <w:rFonts w:ascii="Symbol" w:hAnsi="Symbol" w:cs="Symbol"/>
    </w:rPr>
  </w:style>
  <w:style w:type="character" w:styleId="WW8Num4z0">
    <w:name w:val="WW8Num4z0"/>
    <w:qFormat/>
    <w:rPr>
      <w:rFonts w:ascii="Helvetica" w:hAnsi="Helvetica" w:cs="Helvetica"/>
      <w:b w:val="false"/>
      <w:i w:val="false"/>
      <w:sz w:val="22"/>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Helvetica" w:hAnsi="Helvetica" w:cs="Helvetica"/>
      <w:b w:val="false"/>
      <w:i w:val="false"/>
      <w:sz w:val="18"/>
    </w:rPr>
  </w:style>
  <w:style w:type="character" w:styleId="WW8Num16z0">
    <w:name w:val="WW8Num16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St1z0">
    <w:name w:val="WW8NumSt1z0"/>
    <w:qFormat/>
    <w:rPr>
      <w:rFonts w:ascii="Times" w:hAnsi="Times" w:cs="Times"/>
    </w:rPr>
  </w:style>
  <w:style w:type="character" w:styleId="WW8NumSt7z0">
    <w:name w:val="WW8NumSt7z0"/>
    <w:qFormat/>
    <w:rPr>
      <w:rFonts w:ascii="Courier" w:hAnsi="Courier" w:cs="Courie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ractions">
    <w:name w:val="Fractions"/>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qFormat/>
    <w:pPr>
      <w:pBdr>
        <w:top w:val="single" w:sz="6" w:space="4" w:color="000000"/>
      </w:pBdr>
      <w:spacing w:before="120" w:after="0"/>
      <w:ind w:hanging="0" w:start="0" w:end="0"/>
    </w:pPr>
    <w:rPr>
      <w:i/>
      <w:sz w:val="18"/>
    </w:rPr>
  </w:style>
  <w:style w:type="paragraph" w:styleId="BIB">
    <w:name w:val="BIB"/>
    <w:basedOn w:val="Normal"/>
    <w:qFormat/>
    <w:pPr>
      <w:ind w:hanging="720" w:start="720" w:end="0"/>
    </w:pPr>
    <w:rPr/>
  </w:style>
  <w:style w:type="paragraph" w:styleId="BulletList">
    <w:name w:val="Bullet List"/>
    <w:basedOn w:val="Normal"/>
    <w:qFormat/>
    <w:pPr>
      <w:numPr>
        <w:ilvl w:val="0"/>
        <w:numId w:val="3"/>
      </w:numPr>
      <w:ind w:firstLine="720" w:start="1080" w:end="720"/>
    </w:pPr>
    <w:rPr/>
  </w:style>
  <w:style w:type="paragraph" w:styleId="controlnumber">
    <w:name w:val="control number"/>
    <w:basedOn w:val="Heading1"/>
    <w:qFormat/>
    <w:pPr>
      <w:numPr>
        <w:ilvl w:val="0"/>
        <w:numId w:val="0"/>
      </w:numPr>
      <w:spacing w:before="40" w:after="0"/>
      <w:jc w:val="end"/>
      <w:outlineLvl w:val="9"/>
    </w:pPr>
    <w:rPr>
      <w:sz w:val="28"/>
    </w:rPr>
  </w:style>
  <w:style w:type="paragraph" w:styleId="COPYRIGHT">
    <w:name w:val="COPYRIGHT"/>
    <w:basedOn w:val="Normal"/>
    <w:qFormat/>
    <w:pPr>
      <w:pBdr>
        <w:top w:val="single" w:sz="6" w:space="4" w:color="000000"/>
      </w:pBdr>
      <w:ind w:hanging="0" w:start="0" w:end="0"/>
    </w:pPr>
    <w:rPr>
      <w:sz w:val="18"/>
    </w:rPr>
  </w:style>
  <w:style w:type="paragraph" w:styleId="date">
    <w:name w:val="date"/>
    <w:basedOn w:val="Normal"/>
    <w:qFormat/>
    <w:pPr>
      <w:spacing w:before="0" w:after="0"/>
      <w:ind w:hanging="0" w:start="0" w:end="0"/>
      <w:jc w:val="end"/>
    </w:pPr>
    <w:rPr>
      <w:sz w:val="16"/>
    </w:rPr>
  </w:style>
  <w:style w:type="paragraph" w:styleId="PicR">
    <w:name w:val="PicR"/>
    <w:basedOn w:val="Normal"/>
    <w:qFormat/>
    <w:pPr>
      <w:keepNext w:val="true"/>
    </w:pPr>
    <w:rPr/>
  </w:style>
  <w:style w:type="paragraph" w:styleId="PicC">
    <w:name w:val="PicC"/>
    <w:basedOn w:val="PicR"/>
    <w:qFormat/>
    <w:pPr/>
    <w:rPr/>
  </w:style>
  <w:style w:type="paragraph" w:styleId="DescC">
    <w:name w:val="DescC"/>
    <w:basedOn w:val="PicC"/>
    <w:next w:val="Normal"/>
    <w:qFormat/>
    <w:pPr>
      <w:keepNext w:val="false"/>
      <w:jc w:val="center"/>
    </w:pPr>
    <w:rPr/>
  </w:style>
  <w:style w:type="paragraph" w:styleId="PicL">
    <w:name w:val="PicL"/>
    <w:basedOn w:val="PicR"/>
    <w:qFormat/>
    <w:pPr/>
    <w:rPr/>
  </w:style>
  <w:style w:type="paragraph" w:styleId="DescL">
    <w:name w:val="DescL"/>
    <w:basedOn w:val="PicL"/>
    <w:next w:val="Normal"/>
    <w:qFormat/>
    <w:pPr>
      <w:keepNext w:val="false"/>
      <w:jc w:val="center"/>
    </w:pPr>
    <w:rPr/>
  </w:style>
  <w:style w:type="paragraph" w:styleId="DescR">
    <w:name w:val="DescR"/>
    <w:basedOn w:val="PicR"/>
    <w:next w:val="Normal"/>
    <w:qFormat/>
    <w:pPr>
      <w:keepNext w:val="false"/>
      <w:jc w:val="center"/>
    </w:pPr>
    <w:rPr/>
  </w:style>
  <w:style w:type="paragraph" w:styleId="Dialogue">
    <w:name w:val="Dialogue"/>
    <w:basedOn w:val="Normal"/>
    <w:qFormat/>
    <w:pPr>
      <w:ind w:hanging="360" w:start="360" w:end="0"/>
    </w:pPr>
    <w:rPr/>
  </w:style>
  <w:style w:type="paragraph" w:styleId="EXHIBITTITLE">
    <w:name w:val="EXHIBITTITLE"/>
    <w:next w:val="Normal"/>
    <w:qFormat/>
    <w:pPr>
      <w:widowControl/>
      <w:bidi w:val="0"/>
      <w:spacing w:before="240" w:after="120"/>
    </w:pPr>
    <w:rPr>
      <w:rFonts w:ascii="Palatino;Book Antiqua" w:hAnsi="Palatino;Book Antiqua" w:eastAsia="Times New Roman" w:cs="Palatino;Book Antiqua"/>
      <w:color w:val="000000"/>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12" w:space="1" w:color="000000"/>
      </w:pBdr>
      <w:tabs>
        <w:tab w:val="clear" w:pos="720"/>
        <w:tab w:val="center" w:pos="4320" w:leader="none"/>
        <w:tab w:val="right" w:pos="8640" w:leader="none"/>
      </w:tabs>
    </w:pPr>
    <w:rPr>
      <w:rFonts w:ascii="Helvetica" w:hAnsi="Helvetica" w:cs="Helvetica"/>
      <w:b/>
      <w:sz w:val="18"/>
    </w:rPr>
  </w:style>
  <w:style w:type="paragraph" w:styleId="footerL">
    <w:name w:val="footerL"/>
    <w:basedOn w:val="Footer"/>
    <w:qFormat/>
    <w:pPr>
      <w:spacing w:before="80" w:after="120"/>
      <w:ind w:hanging="0" w:start="0" w:end="0"/>
    </w:pPr>
    <w:rPr/>
  </w:style>
  <w:style w:type="paragraph" w:styleId="footerR">
    <w:name w:val="footerR"/>
    <w:basedOn w:val="Footer"/>
    <w:qFormat/>
    <w:pPr>
      <w:spacing w:before="80" w:after="120"/>
      <w:jc w:val="end"/>
    </w:pPr>
    <w:rPr/>
  </w:style>
  <w:style w:type="paragraph" w:styleId="FootnoteText">
    <w:name w:val="footnote text"/>
    <w:basedOn w:val="Normal"/>
    <w:pPr>
      <w:tabs>
        <w:tab w:val="clear" w:pos="720"/>
        <w:tab w:val="left" w:pos="360" w:leader="none"/>
      </w:tabs>
      <w:spacing w:before="0" w:after="0"/>
      <w:ind w:hanging="0" w:start="0" w:end="0"/>
    </w:pPr>
    <w:rPr>
      <w:sz w:val="18"/>
    </w:rPr>
  </w:style>
  <w:style w:type="paragraph" w:styleId="Header">
    <w:name w:val="header"/>
    <w:basedOn w:val="controlnumber"/>
    <w:pPr>
      <w:jc w:val="start"/>
    </w:pPr>
    <w:rPr/>
  </w:style>
  <w:style w:type="paragraph" w:styleId="oddevenhead">
    <w:name w:val="oddevenhead"/>
    <w:qFormat/>
    <w:pPr>
      <w:widowControl/>
      <w:tabs>
        <w:tab w:val="clear" w:pos="720"/>
        <w:tab w:val="right" w:pos="9000" w:leader="none"/>
      </w:tabs>
      <w:bidi w:val="0"/>
      <w:spacing w:before="0" w:after="480"/>
    </w:pPr>
    <w:rPr>
      <w:rFonts w:ascii="Helvetica" w:hAnsi="Helvetica" w:eastAsia="Times New Roman" w:cs="Helvetica"/>
      <w:b/>
      <w:color w:val="auto"/>
      <w:sz w:val="16"/>
      <w:szCs w:val="20"/>
      <w:lang w:val="en-US" w:bidi="ar-SA" w:eastAsia="zh-CN"/>
    </w:rPr>
  </w:style>
  <w:style w:type="paragraph" w:styleId="landhead">
    <w:name w:val="landhead"/>
    <w:basedOn w:val="oddevenhead"/>
    <w:qFormat/>
    <w:pPr>
      <w:tabs>
        <w:tab w:val="right" w:pos="9000" w:leader="none"/>
        <w:tab w:val="right" w:pos="12600" w:leader="none"/>
      </w:tabs>
      <w:spacing w:before="0" w:after="240"/>
      <w:jc w:val="end"/>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bidi="ar-SA" w:eastAsia="zh-CN"/>
    </w:rPr>
  </w:style>
  <w:style w:type="paragraph" w:styleId="NormalLeft">
    <w:name w:val="NormalLeft"/>
    <w:basedOn w:val="Normal"/>
    <w:next w:val="Normal"/>
    <w:qFormat/>
    <w:pPr>
      <w:ind w:hanging="0" w:start="0" w:end="0"/>
    </w:pPr>
    <w:rPr/>
  </w:style>
  <w:style w:type="paragraph" w:styleId="NormalLeftNoSpace">
    <w:name w:val="NormalLeftNoSpace"/>
    <w:basedOn w:val="NormalLeft"/>
    <w:qFormat/>
    <w:pPr>
      <w:spacing w:before="0" w:after="0"/>
    </w:pPr>
    <w:rPr/>
  </w:style>
  <w:style w:type="paragraph" w:styleId="NumberedList">
    <w:name w:val="Numbered List"/>
    <w:basedOn w:val="Normal"/>
    <w:qFormat/>
    <w:pPr>
      <w:numPr>
        <w:ilvl w:val="0"/>
        <w:numId w:val="8"/>
      </w:numPr>
      <w:ind w:firstLine="720" w:start="0" w:end="720"/>
    </w:pPr>
    <w:rPr/>
  </w:style>
  <w:style w:type="paragraph" w:styleId="opening">
    <w:name w:val="opening"/>
    <w:basedOn w:val="Normal"/>
    <w:next w:val="Normal"/>
    <w:qFormat/>
    <w:pPr>
      <w:spacing w:before="240" w:after="120"/>
      <w:ind w:firstLine="720" w:start="720" w:end="720"/>
    </w:pPr>
    <w:rPr>
      <w:i/>
    </w:rPr>
  </w:style>
  <w:style w:type="paragraph" w:styleId="QUOTE">
    <w:name w:val="QUOTE"/>
    <w:basedOn w:val="Normal"/>
    <w:next w:val="Normal"/>
    <w:qFormat/>
    <w:pPr>
      <w:ind w:firstLine="720" w:start="720" w:end="720"/>
    </w:pPr>
    <w:rPr/>
  </w:style>
  <w:style w:type="paragraph" w:styleId="QUOTEFL">
    <w:name w:val="QUOTE_FL"/>
    <w:basedOn w:val="QUOTE"/>
    <w:next w:val="Normal"/>
    <w:qFormat/>
    <w:pPr>
      <w:ind w:hanging="0" w:start="720" w:end="720"/>
    </w:pPr>
    <w:rPr/>
  </w:style>
  <w:style w:type="paragraph" w:styleId="Shield">
    <w:name w:val="Shield"/>
    <w:basedOn w:val="Header"/>
    <w:qFormat/>
    <w:pPr>
      <w:spacing w:before="120" w:after="0"/>
    </w:pPr>
    <w:rPr/>
  </w:style>
  <w:style w:type="paragraph" w:styleId="TBFL">
    <w:name w:val="TB_FL"/>
    <w:basedOn w:val="Normal"/>
    <w:qFormat/>
    <w:pPr>
      <w:spacing w:lineRule="exact" w:line="220" w:before="40" w:after="40"/>
      <w:ind w:hanging="0" w:start="0" w:end="0"/>
      <w:jc w:val="start"/>
    </w:pPr>
    <w:rPr>
      <w:rFonts w:ascii="Helvetica" w:hAnsi="Helvetica" w:cs="Helvetica"/>
      <w:sz w:val="18"/>
    </w:rPr>
  </w:style>
  <w:style w:type="paragraph" w:styleId="TFN">
    <w:name w:val="TFN"/>
    <w:basedOn w:val="TBFL"/>
    <w:qFormat/>
    <w:pPr>
      <w:suppressAutoHyphens w:val="true"/>
      <w:spacing w:before="40" w:after="0"/>
    </w:pPr>
    <w:rPr>
      <w:spacing w:val="-2"/>
      <w:sz w:val="16"/>
    </w:rPr>
  </w:style>
  <w:style w:type="paragraph" w:styleId="SOURCE">
    <w:name w:val="SOURCE"/>
    <w:basedOn w:val="TFN"/>
    <w:qFormat/>
    <w:pPr/>
    <w:rPr/>
  </w:style>
  <w:style w:type="paragraph" w:styleId="TBBULLET">
    <w:name w:val="TB_BULLET"/>
    <w:basedOn w:val="TBFL"/>
    <w:qFormat/>
    <w:pPr>
      <w:numPr>
        <w:ilvl w:val="0"/>
        <w:numId w:val="9"/>
      </w:numPr>
      <w:tabs>
        <w:tab w:val="clear" w:pos="720"/>
        <w:tab w:val="left" w:pos="180" w:leader="none"/>
      </w:tabs>
      <w:spacing w:before="0" w:after="0"/>
    </w:pPr>
    <w:rPr/>
  </w:style>
  <w:style w:type="paragraph" w:styleId="TBCTR">
    <w:name w:val="TB_CTR"/>
    <w:basedOn w:val="TBFL"/>
    <w:qFormat/>
    <w:pPr>
      <w:jc w:val="center"/>
    </w:pPr>
    <w:rPr/>
  </w:style>
  <w:style w:type="paragraph" w:styleId="TBDEC">
    <w:name w:val="TB_DEC"/>
    <w:basedOn w:val="TBFL"/>
    <w:qFormat/>
    <w:pPr>
      <w:tabs>
        <w:tab w:val="clear" w:pos="720"/>
        <w:tab w:val="decimal" w:pos="173" w:leader="none"/>
      </w:tabs>
    </w:pPr>
    <w:rPr/>
  </w:style>
  <w:style w:type="paragraph" w:styleId="TBFLHANG">
    <w:name w:val="TB_FL_HANG"/>
    <w:basedOn w:val="TBFL"/>
    <w:qFormat/>
    <w:pPr>
      <w:ind w:hanging="180" w:start="180" w:end="0"/>
    </w:pPr>
    <w:rPr/>
  </w:style>
  <w:style w:type="paragraph" w:styleId="TBFLIND1">
    <w:name w:val="TB_FL_IND1"/>
    <w:basedOn w:val="TBFL"/>
    <w:qFormat/>
    <w:pPr>
      <w:ind w:hanging="180" w:start="360" w:end="0"/>
    </w:pPr>
    <w:rPr/>
  </w:style>
  <w:style w:type="paragraph" w:styleId="TBFLIND2">
    <w:name w:val="TB_FL_IND2"/>
    <w:basedOn w:val="TBFLIND1"/>
    <w:qFormat/>
    <w:pPr>
      <w:ind w:hanging="180" w:start="540" w:end="0"/>
    </w:pPr>
    <w:rPr/>
  </w:style>
  <w:style w:type="paragraph" w:styleId="TBFLIND3">
    <w:name w:val="TB_FL_IND3"/>
    <w:basedOn w:val="TBFLIND2"/>
    <w:qFormat/>
    <w:pPr>
      <w:ind w:hanging="187" w:start="667" w:end="0"/>
    </w:pPr>
    <w:rPr/>
  </w:style>
  <w:style w:type="paragraph" w:styleId="TBFR">
    <w:name w:val="TB_FR"/>
    <w:basedOn w:val="TBFL"/>
    <w:qFormat/>
    <w:pPr>
      <w:jc w:val="end"/>
    </w:pPr>
    <w:rPr/>
  </w:style>
  <w:style w:type="paragraph" w:styleId="TBNumberedList">
    <w:name w:val="TB_NumberedList"/>
    <w:basedOn w:val="TBFL"/>
    <w:qFormat/>
    <w:pPr>
      <w:numPr>
        <w:ilvl w:val="0"/>
        <w:numId w:val="11"/>
      </w:numPr>
      <w:spacing w:before="0" w:after="0"/>
      <w:ind w:hanging="300" w:start="300" w:end="0"/>
    </w:pPr>
    <w:rPr/>
  </w:style>
  <w:style w:type="paragraph" w:styleId="TEACHINGNOTE">
    <w:name w:val="TEACHINGNOTE"/>
    <w:basedOn w:val="Heading1"/>
    <w:next w:val="Normal"/>
    <w:qFormat/>
    <w:pPr>
      <w:keepNext w:val="false"/>
      <w:numPr>
        <w:ilvl w:val="0"/>
        <w:numId w:val="0"/>
      </w:numPr>
      <w:spacing w:before="240" w:after="240"/>
      <w:outlineLvl w:val="9"/>
    </w:pPr>
    <w:rPr>
      <w:sz w:val="28"/>
    </w:rPr>
  </w:style>
  <w:style w:type="paragraph" w:styleId="THFL">
    <w:name w:val="TH_FL"/>
    <w:basedOn w:val="Normal"/>
    <w:qFormat/>
    <w:pPr>
      <w:spacing w:lineRule="exact" w:line="220" w:before="40" w:after="40"/>
      <w:ind w:hanging="0" w:start="0" w:end="0"/>
      <w:jc w:val="start"/>
    </w:pPr>
    <w:rPr>
      <w:rFonts w:ascii="Helvetica" w:hAnsi="Helvetica" w:cs="Helvetica"/>
      <w:b/>
      <w:sz w:val="18"/>
    </w:rPr>
  </w:style>
  <w:style w:type="paragraph" w:styleId="THCTR">
    <w:name w:val="TH_CTR"/>
    <w:basedOn w:val="THFL"/>
    <w:qFormat/>
    <w:pPr>
      <w:jc w:val="center"/>
    </w:pPr>
    <w:rPr/>
  </w:style>
  <w:style w:type="paragraph" w:styleId="THDEC">
    <w:name w:val="TH_DEC"/>
    <w:basedOn w:val="THFL"/>
    <w:qFormat/>
    <w:pPr>
      <w:tabs>
        <w:tab w:val="clear" w:pos="720"/>
        <w:tab w:val="decimal" w:pos="173" w:leader="none"/>
      </w:tabs>
    </w:pPr>
    <w:rPr/>
  </w:style>
  <w:style w:type="paragraph" w:styleId="THFR">
    <w:name w:val="TH_FR"/>
    <w:basedOn w:val="THFL"/>
    <w:qFormat/>
    <w:pPr>
      <w:jc w:val="end"/>
    </w:pPr>
    <w:rPr/>
  </w:style>
  <w:style w:type="paragraph" w:styleId="TITLE">
    <w:name w:val="TITLE"/>
    <w:basedOn w:val="Heading1"/>
    <w:next w:val="Normal"/>
    <w:qFormat/>
    <w:pPr>
      <w:numPr>
        <w:ilvl w:val="0"/>
        <w:numId w:val="0"/>
      </w:numPr>
      <w:spacing w:before="720" w:after="240"/>
      <w:outlineLvl w:val="9"/>
    </w:pPr>
    <w:rPr>
      <w:sz w:val="36"/>
    </w:rPr>
  </w:style>
  <w:style w:type="paragraph" w:styleId="TitleSubHead">
    <w:name w:val="TitleSubHead"/>
    <w:basedOn w:val="TITLE"/>
    <w:next w:val="Normal"/>
    <w:qFormat/>
    <w:pPr>
      <w:spacing w:before="0" w:after="240"/>
    </w:pPr>
    <w:rPr>
      <w:b w:val="false"/>
      <w:sz w:val="28"/>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lineRule="auto" w:line="480"/>
    </w:pPr>
    <w:rPr/>
  </w:style>
  <w:style w:type="paragraph" w:styleId="HTMLBody">
    <w:name w:val="HTML Body"/>
    <w:qFormat/>
    <w:pPr>
      <w:widowControl/>
      <w:bidi w:val="0"/>
    </w:pPr>
    <w:rPr>
      <w:rFonts w:ascii="Arial" w:hAnsi="Arial" w:eastAsia="Times New Roman" w:cs="Arial"/>
      <w:color w:val="auto"/>
      <w:sz w:val="20"/>
      <w:szCs w:val="20"/>
      <w:lang w:val="en-US" w:bidi="ar-SA" w:eastAsia="zh-CN"/>
    </w:rPr>
  </w:style>
  <w:style w:type="paragraph" w:styleId="EndnoteText">
    <w:name w:val="endnote text"/>
    <w:basedOn w:val="Normal"/>
    <w:pPr>
      <w:spacing w:before="0" w:after="0"/>
      <w:ind w:hanging="0" w:start="0" w:end="0"/>
      <w:jc w:val="start"/>
    </w:pPr>
    <w:rPr>
      <w:rFonts w:ascii="Times New Roman" w:hAnsi="Times New Roman" w:cs="Times New Roman"/>
      <w:color w:val="auto"/>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wmf"/><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package" Target="embeddings/oleObject1.xlsx"/><Relationship Id="rId16" Type="http://schemas.openxmlformats.org/officeDocument/2006/relationships/image" Target="media/image3.wmf"/><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oleObject" Target="embeddings/oleObject2.bin"/><Relationship Id="rId30" Type="http://schemas.openxmlformats.org/officeDocument/2006/relationships/image" Target="media/image4.wmf"/><Relationship Id="rId31" Type="http://schemas.openxmlformats.org/officeDocument/2006/relationships/image" Target="media/image5.wmf"/><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header" Target="header15.xml"/><Relationship Id="rId35" Type="http://schemas.openxmlformats.org/officeDocument/2006/relationships/footer" Target="footer13.xml"/><Relationship Id="rId36" Type="http://schemas.openxmlformats.org/officeDocument/2006/relationships/footer" Target="footer14.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40" Type="http://schemas.openxmlformats.org/officeDocument/2006/relationships/header" Target="header18.xml"/><Relationship Id="rId41" Type="http://schemas.openxmlformats.org/officeDocument/2006/relationships/footer" Target="footer16.xml"/><Relationship Id="rId42" Type="http://schemas.openxmlformats.org/officeDocument/2006/relationships/footer" Target="footer17.xml"/><Relationship Id="rId43" Type="http://schemas.openxmlformats.org/officeDocument/2006/relationships/footer" Target="footer18.xml"/><Relationship Id="rId44" Type="http://schemas.openxmlformats.org/officeDocument/2006/relationships/image" Target="media/image6.png"/><Relationship Id="rId45" Type="http://schemas.openxmlformats.org/officeDocument/2006/relationships/header" Target="header19.xml"/><Relationship Id="rId46" Type="http://schemas.openxmlformats.org/officeDocument/2006/relationships/header" Target="header20.xml"/><Relationship Id="rId47" Type="http://schemas.openxmlformats.org/officeDocument/2006/relationships/header" Target="header21.xml"/><Relationship Id="rId48" Type="http://schemas.openxmlformats.org/officeDocument/2006/relationships/footer" Target="footer19.xml"/><Relationship Id="rId49" Type="http://schemas.openxmlformats.org/officeDocument/2006/relationships/footer" Target="footer20.xml"/><Relationship Id="rId50" Type="http://schemas.openxmlformats.org/officeDocument/2006/relationships/footer" Target="footer21.xml"/><Relationship Id="rId51" Type="http://schemas.openxmlformats.org/officeDocument/2006/relationships/header" Target="header22.xml"/><Relationship Id="rId52" Type="http://schemas.openxmlformats.org/officeDocument/2006/relationships/header" Target="header23.xml"/><Relationship Id="rId53" Type="http://schemas.openxmlformats.org/officeDocument/2006/relationships/header" Target="header24.xml"/><Relationship Id="rId54" Type="http://schemas.openxmlformats.org/officeDocument/2006/relationships/footer" Target="footer22.xml"/><Relationship Id="rId55" Type="http://schemas.openxmlformats.org/officeDocument/2006/relationships/footer" Target="footer23.xml"/><Relationship Id="rId56" Type="http://schemas.openxmlformats.org/officeDocument/2006/relationships/footer" Target="footer24.xml"/><Relationship Id="rId57" Type="http://schemas.openxmlformats.org/officeDocument/2006/relationships/footnotes" Target="footnotes.xml"/><Relationship Id="rId58" Type="http://schemas.openxmlformats.org/officeDocument/2006/relationships/endnotes" Target="endnotes.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hbscase.dot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2001-02-27T15:19:00Z</dcterms:created>
  <dc:creator>Author</dc:creator>
  <dc:description/>
  <cp:keywords>N9-</cp:keywords>
  <dc:language>en-CA</dc:language>
  <cp:lastModifiedBy>cpatric</cp:lastModifiedBy>
  <cp:lastPrinted>2001-02-02T11:03:00Z</cp:lastPrinted>
  <dcterms:modified xsi:type="dcterms:W3CDTF">2001-02-27T15:19:00Z</dcterms:modified>
  <cp:revision>2</cp:revision>
  <dc:subject>301-064</dc:subject>
  <dc:title>Enron's Transformation:  From Gas Pipelines to New Economy Powerhouse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Name</vt:lpwstr>
  </property>
  <property fmtid="{D5CDD505-2E9C-101B-9397-08002B2CF9AE}" pid="3" name="Date completed">
    <vt:lpwstr>Date</vt:lpwstr>
  </property>
  <property fmtid="{D5CDD505-2E9C-101B-9397-08002B2CF9AE}" pid="4" name="Disposition">
    <vt:lpwstr>Email or Disk Returned</vt:lpwstr>
  </property>
  <property fmtid="{D5CDD505-2E9C-101B-9397-08002B2CF9AE}" pid="5" name="Reference">
    <vt:lpwstr>99-</vt:lpwstr>
  </property>
  <property fmtid="{D5CDD505-2E9C-101B-9397-08002B2CF9AE}" pid="6" name="Summary">
    <vt:lpwstr>No</vt:lpwstr>
  </property>
  <property fmtid="{D5CDD505-2E9C-101B-9397-08002B2CF9AE}" pid="7" name="Typist">
    <vt:lpwstr>Aimee Hamel</vt:lpwstr>
  </property>
</Properties>
</file>