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CG Times" w:hAnsi="CG Times" w:cs="CG Times"/>
          <w:spacing w:val="-3"/>
          <w:sz w:val="24"/>
        </w:rPr>
      </w:pPr>
      <w:r>
        <w:rPr>
          <w:rFonts w:cs="CG Times" w:ascii="CG Times" w:hAnsi="CG Times"/>
          <w:b/>
          <w:spacing w:val="-3"/>
          <w:sz w:val="24"/>
        </w:rPr>
        <w:t>JOSEPH ROBERT HARTSOE</w:t>
      </w:r>
    </w:p>
    <w:p>
      <w:pPr>
        <w:pStyle w:val="Heading8"/>
        <w:ind w:hanging="0" w:start="0"/>
        <w:rPr/>
      </w:pPr>
      <w:r>
        <w:rPr/>
        <w:tab/>
        <w:t>4633 Lescot Place</w:t>
      </w:r>
    </w:p>
    <w:p>
      <w:pPr>
        <w:pStyle w:val="Normal"/>
        <w:tabs>
          <w:tab w:val="clear" w:pos="720"/>
          <w:tab w:val="center" w:pos="4680" w:leader="none"/>
        </w:tabs>
        <w:suppressAutoHyphens w:val="true"/>
        <w:jc w:val="both"/>
        <w:rPr>
          <w:rFonts w:ascii="CG Times" w:hAnsi="CG Times" w:cs="CG Times"/>
          <w:spacing w:val="-3"/>
          <w:sz w:val="24"/>
        </w:rPr>
      </w:pPr>
      <w:r>
        <w:rPr>
          <w:rFonts w:cs="CG Times" w:ascii="CG Times" w:hAnsi="CG Times"/>
          <w:spacing w:val="-3"/>
          <w:sz w:val="24"/>
        </w:rPr>
        <w:tab/>
        <w:t>Annandale, Virginia  22003</w:t>
      </w:r>
    </w:p>
    <w:p>
      <w:pPr>
        <w:pStyle w:val="Normal"/>
        <w:tabs>
          <w:tab w:val="clear" w:pos="720"/>
          <w:tab w:val="center" w:pos="4680" w:leader="none"/>
        </w:tabs>
        <w:suppressAutoHyphens w:val="true"/>
        <w:jc w:val="center"/>
        <w:rPr>
          <w:rFonts w:ascii="CG Times" w:hAnsi="CG Times" w:cs="CG Times"/>
          <w:sz w:val="24"/>
        </w:rPr>
      </w:pPr>
      <w:r>
        <w:rPr>
          <w:rFonts w:cs="CG Times" w:ascii="CG Times" w:hAnsi="CG Times"/>
          <w:sz w:val="24"/>
        </w:rPr>
        <w:t>Office:  (202) 466-9150;  Home: (703) 503-0555</w:t>
      </w:r>
    </w:p>
    <w:p>
      <w:pPr>
        <w:pStyle w:val="Normal"/>
        <w:tabs>
          <w:tab w:val="clear" w:pos="720"/>
          <w:tab w:val="center" w:pos="4680" w:leader="none"/>
        </w:tabs>
        <w:suppressAutoHyphens w:val="true"/>
        <w:jc w:val="center"/>
        <w:rPr>
          <w:rFonts w:ascii="CG Times" w:hAnsi="CG Times" w:cs="CG Times"/>
          <w:sz w:val="24"/>
        </w:rPr>
      </w:pPr>
      <w:r>
        <w:rPr>
          <w:rFonts w:cs="CG Times" w:ascii="CG Times" w:hAnsi="CG Times"/>
          <w:sz w:val="24"/>
        </w:rPr>
        <w:t>E-mail: dbva@radix.net</w:t>
      </w:r>
    </w:p>
    <w:p>
      <w:pPr>
        <w:pStyle w:val="EndnoteText"/>
        <w:rPr>
          <w:rFonts w:ascii="CG Times" w:hAnsi="CG Times" w:cs="CG Times"/>
          <w:i/>
          <w:i/>
          <w:sz w:val="24"/>
        </w:rPr>
      </w:pPr>
      <w:r>
        <w:rPr>
          <w:rFonts w:cs="CG Times" w:ascii="CG Times" w:hAnsi="CG Times"/>
          <w:i/>
          <w:sz w:val="24"/>
        </w:rPr>
      </w:r>
    </w:p>
    <w:p>
      <w:pPr>
        <w:pStyle w:val="Normal"/>
        <w:jc w:val="center"/>
        <w:rPr>
          <w:rFonts w:ascii="CG Times" w:hAnsi="CG Times" w:cs="CG Times"/>
          <w:i/>
          <w:i/>
          <w:spacing w:val="-3"/>
          <w:sz w:val="24"/>
        </w:rPr>
      </w:pPr>
      <w:r>
        <w:rPr>
          <w:rFonts w:cs="CG Times" w:ascii="CG Times" w:hAnsi="CG Times"/>
          <w:i/>
          <w:spacing w:val="-3"/>
          <w:sz w:val="24"/>
        </w:rPr>
      </w:r>
    </w:p>
    <w:p>
      <w:pPr>
        <w:pStyle w:val="Heading2"/>
        <w:ind w:hanging="0" w:start="0"/>
        <w:rPr>
          <w:i w:val="false"/>
          <w:i w:val="false"/>
        </w:rPr>
      </w:pPr>
      <w:r>
        <w:rPr>
          <w:i w:val="false"/>
        </w:rPr>
        <w:t>EXPERIENCE</w:t>
      </w:r>
    </w:p>
    <w:p>
      <w:pPr>
        <w:pStyle w:val="Normal"/>
        <w:tabs>
          <w:tab w:val="clear" w:pos="720"/>
          <w:tab w:val="left" w:pos="360" w:leader="none"/>
        </w:tabs>
        <w:suppressAutoHyphens w:val="true"/>
        <w:jc w:val="both"/>
        <w:rPr>
          <w:rFonts w:ascii="CG Times" w:hAnsi="CG Times" w:cs="CG Times"/>
          <w:i/>
          <w:i/>
          <w:spacing w:val="-3"/>
          <w:sz w:val="24"/>
        </w:rPr>
      </w:pPr>
      <w:r>
        <w:rPr>
          <w:rFonts w:cs="CG Times" w:ascii="CG Times" w:hAnsi="CG Times"/>
          <w:i/>
          <w:spacing w:val="-3"/>
          <w:sz w:val="24"/>
        </w:rPr>
      </w:r>
    </w:p>
    <w:p>
      <w:pPr>
        <w:pStyle w:val="Normal"/>
        <w:tabs>
          <w:tab w:val="clear" w:pos="720"/>
          <w:tab w:val="left" w:pos="360" w:leader="none"/>
        </w:tabs>
        <w:suppressAutoHyphens w:val="true"/>
        <w:ind w:start="360" w:end="0"/>
        <w:jc w:val="both"/>
        <w:rPr/>
      </w:pPr>
      <w:r>
        <w:rPr>
          <w:rFonts w:cs="CG Times" w:ascii="CG Times" w:hAnsi="CG Times"/>
          <w:b/>
          <w:i/>
          <w:spacing w:val="-3"/>
          <w:sz w:val="24"/>
        </w:rPr>
        <w:t>ENRON CORP</w:t>
      </w:r>
      <w:r>
        <w:rPr>
          <w:rFonts w:cs="CG Times" w:ascii="CG Times" w:hAnsi="CG Times"/>
          <w:spacing w:val="-3"/>
          <w:sz w:val="24"/>
        </w:rPr>
        <w:t>., October 1989 to present, Houston, Texas and Washington, DC.</w:t>
      </w:r>
    </w:p>
    <w:p>
      <w:pPr>
        <w:pStyle w:val="Normal"/>
        <w:tabs>
          <w:tab w:val="left" w:pos="720" w:leader="none"/>
        </w:tabs>
        <w:suppressAutoHyphens w:val="true"/>
        <w:rPr>
          <w:rFonts w:ascii="CG Times" w:hAnsi="CG Times" w:cs="CG Times"/>
          <w:spacing w:val="-3"/>
          <w:sz w:val="24"/>
        </w:rPr>
      </w:pPr>
      <w:r>
        <w:rPr>
          <w:rFonts w:cs="CG Times" w:ascii="CG Times" w:hAnsi="CG Times"/>
          <w:spacing w:val="-3"/>
          <w:sz w:val="24"/>
        </w:rPr>
      </w:r>
    </w:p>
    <w:p>
      <w:pPr>
        <w:pStyle w:val="Normal"/>
        <w:tabs>
          <w:tab w:val="left" w:pos="720" w:leader="none"/>
        </w:tabs>
        <w:suppressAutoHyphens w:val="true"/>
        <w:ind w:start="720" w:end="0"/>
        <w:rPr/>
      </w:pPr>
      <w:r>
        <w:rPr>
          <w:rFonts w:cs="CG Times" w:ascii="CG Times" w:hAnsi="CG Times"/>
          <w:b/>
          <w:i/>
          <w:spacing w:val="-3"/>
          <w:sz w:val="24"/>
        </w:rPr>
        <w:t xml:space="preserve">Vice President, Federal Regulatory Affairs, </w:t>
      </w:r>
      <w:r>
        <w:rPr>
          <w:rFonts w:cs="CG Times" w:ascii="CG Times" w:hAnsi="CG Times"/>
          <w:spacing w:val="-3"/>
          <w:sz w:val="24"/>
        </w:rPr>
        <w:t>Enron Corp., January 1997 to present, Washington, DC.</w:t>
      </w:r>
    </w:p>
    <w:p>
      <w:pPr>
        <w:pStyle w:val="Normal"/>
        <w:tabs>
          <w:tab w:val="left" w:pos="720" w:leader="none"/>
        </w:tabs>
        <w:suppressAutoHyphens w:val="true"/>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t>Direct and approve Enron’s participation in electric proceedings before the Federal Energy Regulatory Commission (Commission), and United States Courts of Appeals; and meetings of the North American Electric Reliability Council (NERC), trade associations and other groups concerning the electric industry’s transition to a competitive wholesale market.</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t xml:space="preserve">Designed, staffed, trained and directed an office of professionals who apply an inter-disciplinary, team approach to advise on and support Enron’s power marketing activities and initiatives.  This approach provided contractual, engineering, regulatory and advocacy expertise in direct support of Enron’s electricity traders and originators, and ties Enron’s regulatory agenda to the economic objectives of the deal-makers.  </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t xml:space="preserve">Represent Enron before the Commission, the NERC Board of Directors as a substitute, and two NERC work groups concerned with the reformation of NERC. Activities included active participation in the drafting of legislation to reform NERC.  Served on the Board of Directors of MAIN (a NERC Region), the Tennessee Valley Electric System Advisory Committee of the Secretary of Energy Advisory Board, the Members Committee of the Independent System Operator in Pennsylvania, New Jersey, and Maryland (PJM Interconnection, LLC), and currently Chair the Power Marketing Working Group of the Electric Power Supply Association.  </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pPr>
      <w:r>
        <w:rPr>
          <w:rFonts w:cs="CG Times" w:ascii="CG Times" w:hAnsi="CG Times"/>
          <w:spacing w:val="-3"/>
          <w:sz w:val="24"/>
        </w:rPr>
        <w:t xml:space="preserve">Supervise, review, and edit briefs, pleadings, testimony, and rulemaking comments.  Provide legal advice to and representation for other Enron companies on an </w:t>
      </w:r>
      <w:r>
        <w:rPr>
          <w:rFonts w:cs="CG Times" w:ascii="CG Times" w:hAnsi="CG Times"/>
          <w:spacing w:val="-3"/>
          <w:sz w:val="24"/>
          <w:u w:val="single"/>
        </w:rPr>
        <w:t>ad</w:t>
      </w:r>
      <w:r>
        <w:rPr>
          <w:rFonts w:cs="CG Times" w:ascii="CG Times" w:hAnsi="CG Times"/>
          <w:spacing w:val="-3"/>
          <w:sz w:val="24"/>
        </w:rPr>
        <w:t xml:space="preserve"> </w:t>
      </w:r>
      <w:r>
        <w:rPr>
          <w:rFonts w:cs="CG Times" w:ascii="CG Times" w:hAnsi="CG Times"/>
          <w:spacing w:val="-3"/>
          <w:sz w:val="24"/>
          <w:u w:val="single"/>
        </w:rPr>
        <w:t>hoc</w:t>
      </w:r>
      <w:r>
        <w:rPr>
          <w:rFonts w:cs="CG Times" w:ascii="CG Times" w:hAnsi="CG Times"/>
          <w:spacing w:val="-3"/>
          <w:sz w:val="24"/>
        </w:rPr>
        <w:t xml:space="preserve"> basis on such matters as the formation of an independent transmission company.</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tabs>
          <w:tab w:val="left" w:pos="720" w:leader="none"/>
        </w:tabs>
        <w:suppressAutoHyphens w:val="true"/>
        <w:ind w:start="720" w:end="0"/>
        <w:rPr/>
      </w:pPr>
      <w:r>
        <w:rPr>
          <w:rFonts w:cs="CG Times" w:ascii="CG Times" w:hAnsi="CG Times"/>
          <w:b/>
          <w:i/>
          <w:spacing w:val="-3"/>
          <w:sz w:val="24"/>
        </w:rPr>
        <w:t>Vice President, Federal Regulatory Affairs</w:t>
      </w:r>
      <w:r>
        <w:rPr>
          <w:rFonts w:cs="CG Times" w:ascii="CG Times" w:hAnsi="CG Times"/>
          <w:spacing w:val="-3"/>
          <w:sz w:val="24"/>
        </w:rPr>
        <w:t xml:space="preserve">, Enron Pipeline Company, July 1996 to December 1996; </w:t>
      </w:r>
      <w:r>
        <w:rPr>
          <w:rFonts w:cs="CG Times" w:ascii="CG Times" w:hAnsi="CG Times"/>
          <w:b/>
          <w:i/>
          <w:spacing w:val="-3"/>
          <w:sz w:val="24"/>
        </w:rPr>
        <w:t>Federal Regulatory Counsel</w:t>
      </w:r>
      <w:r>
        <w:rPr>
          <w:rFonts w:cs="CG Times" w:ascii="CG Times" w:hAnsi="CG Times"/>
          <w:spacing w:val="-3"/>
          <w:sz w:val="24"/>
        </w:rPr>
        <w:t>, Enron Corp., November 1991 to June 1996, Washington, DC.</w:t>
      </w:r>
    </w:p>
    <w:p>
      <w:pPr>
        <w:pStyle w:val="Normal"/>
        <w:tabs>
          <w:tab w:val="clear" w:pos="720"/>
          <w:tab w:val="left" w:pos="450" w:leader="none"/>
        </w:tabs>
        <w:suppressAutoHyphens w:val="true"/>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t xml:space="preserve">Served as primary liaison with the Federal Energy Regulatory Commission (Commission) and facilitated Commission action on the numerous filings made by Enron’s interstate gas pipeline companies (Pipelines).  Advised on business, policy and legal issues encompassing all aspects of the Commission's jurisdiction affecting Enron's </w:t>
      </w:r>
      <w:r>
        <w:br w:type="page"/>
      </w:r>
    </w:p>
    <w:p>
      <w:pPr>
        <w:pStyle w:val="Normal"/>
        <w:tabs>
          <w:tab w:val="clear" w:pos="720"/>
          <w:tab w:val="left" w:pos="0" w:leader="none"/>
        </w:tabs>
        <w:suppressAutoHyphens w:val="true"/>
        <w:rPr>
          <w:rFonts w:ascii="CG Times" w:hAnsi="CG Times" w:cs="CG Times"/>
          <w:sz w:val="24"/>
        </w:rPr>
      </w:pPr>
      <w:r>
        <w:rPr>
          <w:rFonts w:cs="CG Times" w:ascii="CG Times" w:hAnsi="CG Times"/>
          <w:sz w:val="24"/>
        </w:rPr>
        <w:t>Joseph Robert Hartsoe, Page 2</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tabs>
          <w:tab w:val="clear" w:pos="720"/>
          <w:tab w:val="left" w:pos="0" w:leader="none"/>
        </w:tabs>
        <w:suppressAutoHyphens w:val="true"/>
        <w:ind w:start="1080" w:end="0"/>
        <w:rPr>
          <w:rFonts w:ascii="CG Times" w:hAnsi="CG Times" w:cs="CG Times"/>
          <w:b/>
          <w:sz w:val="24"/>
        </w:rPr>
      </w:pPr>
      <w:r>
        <w:rPr>
          <w:rFonts w:cs="CG Times" w:ascii="CG Times" w:hAnsi="CG Times"/>
          <w:spacing w:val="-3"/>
          <w:sz w:val="24"/>
        </w:rPr>
        <w:t>Pipelines with primary emphasis on rate cases, major certificate applications, and complex tariff filings.</w:t>
      </w:r>
    </w:p>
    <w:p>
      <w:pPr>
        <w:pStyle w:val="Normal"/>
        <w:tabs>
          <w:tab w:val="clear" w:pos="720"/>
          <w:tab w:val="left" w:pos="0" w:leader="none"/>
        </w:tabs>
        <w:suppressAutoHyphens w:val="true"/>
        <w:rPr>
          <w:rFonts w:ascii="CG Times" w:hAnsi="CG Times" w:cs="CG Times"/>
          <w:b/>
          <w:spacing w:val="-3"/>
          <w:sz w:val="24"/>
        </w:rPr>
      </w:pPr>
      <w:r>
        <w:rPr>
          <w:rFonts w:cs="CG Times" w:ascii="CG Times" w:hAnsi="CG Times"/>
          <w:b/>
          <w:spacing w:val="-3"/>
          <w:sz w:val="24"/>
        </w:rPr>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t>Represented Enron's Pipelines before the Commission, United States Courts of Appeal, and trade associations.  Served as Chairman of the Regulatory Affairs</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t>Committee of the Interstate Natural Gas Association of America for the 1994-1995 term and Co-Chairman of the Federal Policy Subcommittee of the American Gas Association for the 1995-1996 term.</w:t>
      </w:r>
    </w:p>
    <w:p>
      <w:pPr>
        <w:pStyle w:val="Normal"/>
        <w:tabs>
          <w:tab w:val="clear" w:pos="720"/>
          <w:tab w:val="left" w:pos="0" w:leader="none"/>
        </w:tabs>
        <w:suppressAutoHyphens w:val="true"/>
        <w:ind w:start="1080" w:end="0"/>
        <w:rPr>
          <w:rFonts w:ascii="CG Times" w:hAnsi="CG Times" w:cs="CG Times"/>
          <w:spacing w:val="-3"/>
          <w:sz w:val="24"/>
        </w:rPr>
      </w:pPr>
      <w:r>
        <w:rPr>
          <w:rFonts w:cs="CG Times" w:ascii="CG Times" w:hAnsi="CG Times"/>
          <w:spacing w:val="-3"/>
          <w:sz w:val="24"/>
        </w:rPr>
      </w:r>
    </w:p>
    <w:p>
      <w:pPr>
        <w:pStyle w:val="Normal"/>
        <w:suppressAutoHyphens w:val="true"/>
        <w:ind w:start="720" w:end="0"/>
        <w:rPr/>
      </w:pPr>
      <w:r>
        <w:rPr>
          <w:rFonts w:cs="CG Times" w:ascii="CG Times" w:hAnsi="CG Times"/>
          <w:b/>
          <w:i/>
          <w:spacing w:val="-3"/>
          <w:sz w:val="24"/>
        </w:rPr>
        <w:t>Assistant General Counsel (lead counsel)</w:t>
      </w:r>
      <w:r>
        <w:rPr>
          <w:rFonts w:cs="CG Times" w:ascii="CG Times" w:hAnsi="CG Times"/>
          <w:spacing w:val="-3"/>
          <w:sz w:val="24"/>
        </w:rPr>
        <w:t xml:space="preserve">, Florida Gas Transmission Company (FGT), August 1990 to October 1991; </w:t>
      </w:r>
      <w:r>
        <w:rPr>
          <w:rFonts w:cs="CG Times" w:ascii="CG Times" w:hAnsi="CG Times"/>
          <w:b/>
          <w:i/>
          <w:spacing w:val="-3"/>
          <w:sz w:val="24"/>
        </w:rPr>
        <w:t>Senior Counsel</w:t>
      </w:r>
      <w:r>
        <w:rPr>
          <w:rFonts w:cs="CG Times" w:ascii="CG Times" w:hAnsi="CG Times"/>
          <w:spacing w:val="-3"/>
          <w:sz w:val="24"/>
        </w:rPr>
        <w:t>, Enron Interstate Pipeline Co., Office of the General Counsel, October 1989 to August 1990, Houston, Texas.</w:t>
      </w:r>
    </w:p>
    <w:p>
      <w:pPr>
        <w:pStyle w:val="Normal"/>
        <w:suppressAutoHyphens w:val="true"/>
        <w:rPr>
          <w:rFonts w:ascii="CG Times" w:hAnsi="CG Times" w:cs="CG Times"/>
          <w:spacing w:val="-3"/>
          <w:sz w:val="24"/>
        </w:rPr>
      </w:pPr>
      <w:r>
        <w:rPr>
          <w:rFonts w:cs="CG Times" w:ascii="CG Times" w:hAnsi="CG Times"/>
          <w:spacing w:val="-3"/>
          <w:sz w:val="24"/>
        </w:rPr>
      </w:r>
    </w:p>
    <w:p>
      <w:pPr>
        <w:pStyle w:val="BodyTextIndent"/>
        <w:rPr/>
      </w:pPr>
      <w:r>
        <w:rPr/>
        <w:t>Supervised FGT’s legal department.  Advised on issues concerning FGT’s and Transwestern Pipeline Company’s transition to open-access service and FGT’s periodic rate case proceeding that sought performance based rates.</w:t>
      </w:r>
    </w:p>
    <w:p>
      <w:pPr>
        <w:pStyle w:val="BodyTextIndent"/>
        <w:rPr/>
      </w:pPr>
      <w:r>
        <w:rPr/>
      </w:r>
    </w:p>
    <w:p>
      <w:pPr>
        <w:pStyle w:val="Normal"/>
        <w:tabs>
          <w:tab w:val="clear" w:pos="720"/>
          <w:tab w:val="left" w:pos="360" w:leader="none"/>
        </w:tabs>
        <w:suppressAutoHyphens w:val="true"/>
        <w:ind w:start="360" w:end="0"/>
        <w:rPr/>
      </w:pPr>
      <w:r>
        <w:rPr>
          <w:rFonts w:cs="CG Times" w:ascii="CG Times" w:hAnsi="CG Times"/>
          <w:b/>
          <w:i/>
          <w:spacing w:val="-3"/>
          <w:sz w:val="24"/>
        </w:rPr>
        <w:t>UNITED GAS PIPELINE COMPANY</w:t>
      </w:r>
      <w:r>
        <w:rPr>
          <w:rFonts w:cs="CG Times" w:ascii="CG Times" w:hAnsi="CG Times"/>
          <w:spacing w:val="-3"/>
          <w:sz w:val="24"/>
        </w:rPr>
        <w:t xml:space="preserve">, March 1988 to September 1989, Houston, Texas.  </w:t>
      </w:r>
      <w:r>
        <w:rPr>
          <w:rFonts w:cs="CG Times" w:ascii="CG Times" w:hAnsi="CG Times"/>
          <w:b/>
          <w:i/>
          <w:spacing w:val="-3"/>
          <w:sz w:val="24"/>
        </w:rPr>
        <w:t>Senior Attorney</w:t>
      </w:r>
      <w:r>
        <w:rPr>
          <w:rFonts w:cs="CG Times" w:ascii="CG Times" w:hAnsi="CG Times"/>
          <w:spacing w:val="-3"/>
          <w:sz w:val="24"/>
        </w:rPr>
        <w:t xml:space="preserve"> and </w:t>
      </w:r>
      <w:r>
        <w:rPr>
          <w:rFonts w:cs="CG Times" w:ascii="CG Times" w:hAnsi="CG Times"/>
          <w:b/>
          <w:i/>
          <w:spacing w:val="-3"/>
          <w:sz w:val="24"/>
        </w:rPr>
        <w:t>Attorney</w:t>
      </w:r>
      <w:r>
        <w:rPr>
          <w:rFonts w:cs="CG Times" w:ascii="CG Times" w:hAnsi="CG Times"/>
          <w:spacing w:val="-3"/>
          <w:sz w:val="24"/>
        </w:rPr>
        <w:t>, Office of the General Counsel.</w:t>
      </w:r>
    </w:p>
    <w:p>
      <w:pPr>
        <w:pStyle w:val="Normal"/>
        <w:tabs>
          <w:tab w:val="clear" w:pos="720"/>
          <w:tab w:val="left" w:pos="360" w:leader="none"/>
        </w:tabs>
        <w:suppressAutoHyphens w:val="true"/>
        <w:ind w:start="360" w:end="0"/>
        <w:rPr>
          <w:rFonts w:ascii="CG Times" w:hAnsi="CG Times" w:cs="CG Times"/>
          <w:spacing w:val="-3"/>
          <w:sz w:val="24"/>
        </w:rPr>
      </w:pPr>
      <w:r>
        <w:rPr>
          <w:rFonts w:cs="CG Times" w:ascii="CG Times" w:hAnsi="CG Times"/>
          <w:spacing w:val="-3"/>
          <w:sz w:val="24"/>
        </w:rPr>
      </w:r>
    </w:p>
    <w:p>
      <w:pPr>
        <w:pStyle w:val="BodyTextIndent"/>
        <w:tabs>
          <w:tab w:val="clear" w:pos="1080"/>
          <w:tab w:val="left" w:pos="0" w:leader="none"/>
        </w:tabs>
        <w:rPr/>
      </w:pPr>
      <w:r>
        <w:rPr/>
        <w:t xml:space="preserve">Advised on policy and legal issues with primary emphasis on certificate, tariff and operational matters, including United’s application for Gateway Pipeline in Mobile Bay, Alabama.  </w:t>
      </w:r>
    </w:p>
    <w:p>
      <w:pPr>
        <w:pStyle w:val="BodyTextIndent"/>
        <w:tabs>
          <w:tab w:val="clear" w:pos="1080"/>
          <w:tab w:val="left" w:pos="0" w:leader="none"/>
        </w:tabs>
        <w:rPr/>
      </w:pPr>
      <w:r>
        <w:rPr/>
      </w:r>
    </w:p>
    <w:p>
      <w:pPr>
        <w:pStyle w:val="Normal"/>
        <w:tabs>
          <w:tab w:val="clear" w:pos="720"/>
          <w:tab w:val="left" w:pos="360" w:leader="none"/>
        </w:tabs>
        <w:suppressAutoHyphens w:val="true"/>
        <w:ind w:start="360" w:end="0"/>
        <w:rPr/>
      </w:pPr>
      <w:r>
        <w:rPr>
          <w:rFonts w:cs="CG Times" w:ascii="CG Times" w:hAnsi="CG Times"/>
          <w:b/>
          <w:i/>
          <w:spacing w:val="-3"/>
          <w:sz w:val="24"/>
        </w:rPr>
        <w:t>FEDERAL ENERGY REGULATORY COMMISSION</w:t>
      </w:r>
      <w:r>
        <w:rPr>
          <w:rFonts w:cs="CG Times" w:ascii="CG Times" w:hAnsi="CG Times"/>
          <w:b/>
          <w:spacing w:val="-3"/>
          <w:sz w:val="24"/>
        </w:rPr>
        <w:t xml:space="preserve">, </w:t>
      </w:r>
      <w:r>
        <w:rPr>
          <w:rFonts w:cs="CG Times" w:ascii="CG Times" w:hAnsi="CG Times"/>
          <w:b/>
          <w:i/>
          <w:spacing w:val="-3"/>
          <w:sz w:val="24"/>
        </w:rPr>
        <w:t>Office of the General Counsel</w:t>
      </w:r>
      <w:r>
        <w:rPr>
          <w:rFonts w:cs="CG Times" w:ascii="CG Times" w:hAnsi="CG Times"/>
          <w:spacing w:val="-3"/>
          <w:sz w:val="24"/>
        </w:rPr>
        <w:t>, 1980 to 1988, Washington, DC.</w:t>
      </w:r>
    </w:p>
    <w:p>
      <w:pPr>
        <w:pStyle w:val="Normal"/>
        <w:tabs>
          <w:tab w:val="clear" w:pos="720"/>
          <w:tab w:val="left" w:pos="0" w:leader="none"/>
        </w:tabs>
        <w:suppressAutoHyphens w:val="true"/>
        <w:rPr>
          <w:rFonts w:ascii="CG Times" w:hAnsi="CG Times" w:cs="CG Times"/>
          <w:spacing w:val="-3"/>
          <w:sz w:val="24"/>
        </w:rPr>
      </w:pPr>
      <w:r>
        <w:rPr>
          <w:rFonts w:cs="CG Times" w:ascii="CG Times" w:hAnsi="CG Times"/>
          <w:spacing w:val="-3"/>
          <w:sz w:val="24"/>
        </w:rPr>
      </w:r>
    </w:p>
    <w:p>
      <w:pPr>
        <w:pStyle w:val="Normal"/>
        <w:tabs>
          <w:tab w:val="left" w:pos="720" w:leader="none"/>
        </w:tabs>
        <w:suppressAutoHyphens w:val="true"/>
        <w:ind w:start="720" w:end="0"/>
        <w:rPr/>
      </w:pPr>
      <w:r>
        <w:rPr>
          <w:rFonts w:cs="CG Times" w:ascii="CG Times" w:hAnsi="CG Times"/>
          <w:b/>
          <w:i/>
          <w:spacing w:val="-3"/>
          <w:sz w:val="24"/>
        </w:rPr>
        <w:t>Deputy Assistant General Counsel</w:t>
      </w:r>
      <w:r>
        <w:rPr>
          <w:rFonts w:cs="CG Times" w:ascii="CG Times" w:hAnsi="CG Times"/>
          <w:spacing w:val="-3"/>
          <w:sz w:val="24"/>
        </w:rPr>
        <w:t xml:space="preserve">, Rulemaking and Legislative Analysis, 1986 to 1988; </w:t>
      </w:r>
      <w:r>
        <w:rPr>
          <w:rFonts w:cs="CG Times" w:ascii="CG Times" w:hAnsi="CG Times"/>
          <w:b/>
          <w:i/>
          <w:spacing w:val="-3"/>
          <w:sz w:val="24"/>
        </w:rPr>
        <w:t>Staff Attorney</w:t>
      </w:r>
      <w:r>
        <w:rPr>
          <w:rFonts w:cs="CG Times" w:ascii="CG Times" w:hAnsi="CG Times"/>
          <w:spacing w:val="-3"/>
          <w:sz w:val="24"/>
        </w:rPr>
        <w:t xml:space="preserve">, Rulemaking and Legislative Analysis, 1983 to 1986, and Legal Affairs, 1980 to 1983. </w:t>
      </w:r>
    </w:p>
    <w:p>
      <w:pPr>
        <w:pStyle w:val="Normal"/>
        <w:tabs>
          <w:tab w:val="left" w:pos="720" w:leader="none"/>
        </w:tabs>
        <w:suppressAutoHyphens w:val="true"/>
        <w:rPr>
          <w:rFonts w:ascii="CG Times" w:hAnsi="CG Times" w:cs="CG Times"/>
          <w:spacing w:val="-3"/>
          <w:sz w:val="24"/>
        </w:rPr>
      </w:pPr>
      <w:r>
        <w:rPr>
          <w:rFonts w:cs="CG Times" w:ascii="CG Times" w:hAnsi="CG Times"/>
          <w:spacing w:val="-3"/>
          <w:sz w:val="24"/>
        </w:rPr>
      </w:r>
    </w:p>
    <w:p>
      <w:pPr>
        <w:pStyle w:val="BodyTextIndent"/>
        <w:tabs>
          <w:tab w:val="clear" w:pos="1080"/>
          <w:tab w:val="left" w:pos="0" w:leader="none"/>
        </w:tabs>
        <w:rPr/>
      </w:pPr>
      <w:r>
        <w:rPr/>
        <w:t>Reviewed, edited and drafted rulemakings, including the Commission’s open-access rules for natural gas pipelines and its discovery rules for administrative litigation.</w:t>
      </w:r>
    </w:p>
    <w:p>
      <w:pPr>
        <w:pStyle w:val="BodyTextIndent"/>
        <w:tabs>
          <w:tab w:val="clear" w:pos="1080"/>
          <w:tab w:val="left" w:pos="0" w:leader="none"/>
        </w:tabs>
        <w:rPr/>
      </w:pPr>
      <w:r>
        <w:rPr/>
      </w:r>
    </w:p>
    <w:p>
      <w:pPr>
        <w:pStyle w:val="BodyTextIndent"/>
        <w:tabs>
          <w:tab w:val="clear" w:pos="1080"/>
          <w:tab w:val="left" w:pos="0" w:leader="none"/>
        </w:tabs>
        <w:rPr>
          <w:rFonts w:eastAsia="CG Times"/>
        </w:rPr>
      </w:pPr>
      <w:r>
        <w:rPr>
          <w:rFonts w:eastAsia="CG Times"/>
        </w:rPr>
        <w:t xml:space="preserve">  </w:t>
      </w:r>
    </w:p>
    <w:p>
      <w:pPr>
        <w:pStyle w:val="Heading2"/>
        <w:ind w:hanging="0" w:start="0"/>
        <w:rPr>
          <w:i w:val="false"/>
          <w:i w:val="false"/>
        </w:rPr>
      </w:pPr>
      <w:r>
        <w:rPr>
          <w:i w:val="false"/>
        </w:rPr>
        <w:t>CERTIFICATIONS AND PROFESSIONAL ORGANIZATIONS</w:t>
      </w:r>
    </w:p>
    <w:p>
      <w:pPr>
        <w:pStyle w:val="Normal"/>
        <w:tabs>
          <w:tab w:val="clear" w:pos="720"/>
          <w:tab w:val="left" w:pos="0" w:leader="none"/>
        </w:tabs>
        <w:suppressAutoHyphens w:val="true"/>
        <w:jc w:val="both"/>
        <w:rPr>
          <w:rFonts w:ascii="CG Times" w:hAnsi="CG Times" w:cs="CG Times"/>
          <w:i/>
          <w:i/>
          <w:spacing w:val="-3"/>
          <w:sz w:val="24"/>
        </w:rPr>
      </w:pPr>
      <w:r>
        <w:rPr>
          <w:rFonts w:cs="CG Times" w:ascii="CG Times" w:hAnsi="CG Times"/>
          <w:i/>
          <w:spacing w:val="-3"/>
          <w:sz w:val="24"/>
        </w:rPr>
      </w:r>
    </w:p>
    <w:p>
      <w:pPr>
        <w:pStyle w:val="Normal"/>
        <w:tabs>
          <w:tab w:val="clear" w:pos="720"/>
          <w:tab w:val="left" w:pos="360" w:leader="none"/>
        </w:tabs>
        <w:suppressAutoHyphens w:val="true"/>
        <w:ind w:start="360" w:end="0"/>
        <w:rPr>
          <w:rFonts w:ascii="CG Times" w:hAnsi="CG Times" w:cs="CG Times"/>
          <w:sz w:val="24"/>
        </w:rPr>
      </w:pPr>
      <w:r>
        <w:rPr>
          <w:rFonts w:cs="CG Times" w:ascii="CG Times" w:hAnsi="CG Times"/>
          <w:sz w:val="24"/>
        </w:rPr>
        <w:t>Supreme Court of the United States, the United States Courts of Appeals for the Fifth, Tenth and District of Columbia Circuits, the Court of Appeals for the District of Columbia, and the Supreme Courts of Texas and the Commonwealth of Virginia.</w:t>
      </w:r>
    </w:p>
    <w:p>
      <w:pPr>
        <w:pStyle w:val="Normal"/>
        <w:tabs>
          <w:tab w:val="clear" w:pos="720"/>
          <w:tab w:val="left" w:pos="360" w:leader="none"/>
        </w:tabs>
        <w:suppressAutoHyphens w:val="true"/>
        <w:ind w:start="360" w:end="0"/>
        <w:rPr>
          <w:rFonts w:ascii="CG Times" w:hAnsi="CG Times" w:cs="CG Times"/>
          <w:spacing w:val="-3"/>
          <w:sz w:val="24"/>
        </w:rPr>
      </w:pPr>
      <w:r>
        <w:rPr>
          <w:rFonts w:cs="CG Times" w:ascii="CG Times" w:hAnsi="CG Times"/>
          <w:spacing w:val="-3"/>
          <w:sz w:val="24"/>
        </w:rPr>
      </w:r>
    </w:p>
    <w:p>
      <w:pPr>
        <w:pStyle w:val="BodyTextIndent3"/>
        <w:rPr>
          <w:rFonts w:ascii="CG Times" w:hAnsi="CG Times" w:cs="CG Times"/>
          <w:sz w:val="24"/>
        </w:rPr>
      </w:pPr>
      <w:r>
        <w:rPr>
          <w:rFonts w:cs="CG Times" w:ascii="CG Times" w:hAnsi="CG Times"/>
          <w:sz w:val="24"/>
        </w:rPr>
        <w:t>American Bar Association, Virginia Bar Association, District of Columbia Bar Association, Texas Bar Association, Energy Bar Association.</w:t>
      </w:r>
    </w:p>
    <w:p>
      <w:pPr>
        <w:pStyle w:val="BodyTextIndent3"/>
        <w:rPr>
          <w:rFonts w:ascii="CG Times" w:hAnsi="CG Times" w:cs="CG Times"/>
          <w:sz w:val="24"/>
        </w:rPr>
      </w:pPr>
      <w:r>
        <w:rPr>
          <w:rFonts w:cs="CG Times" w:ascii="CG Times" w:hAnsi="CG Times"/>
          <w:sz w:val="24"/>
        </w:rPr>
        <w:tab/>
        <w:tab/>
        <w:tab/>
      </w:r>
    </w:p>
    <w:p>
      <w:pPr>
        <w:pStyle w:val="BodyTextIndent3"/>
        <w:rPr>
          <w:rFonts w:ascii="CG Times" w:hAnsi="CG Times" w:cs="CG Times"/>
          <w:sz w:val="24"/>
        </w:rPr>
      </w:pPr>
      <w:r>
        <w:rPr>
          <w:rFonts w:cs="CG Times" w:ascii="CG Times" w:hAnsi="CG Times"/>
          <w:sz w:val="24"/>
        </w:rPr>
        <w:t>Member, Sigma Pi Sigma (national physics honor society), an organization of the American Institute of Physics.</w:t>
      </w:r>
    </w:p>
    <w:p>
      <w:pPr>
        <w:pStyle w:val="BodyTextIndent"/>
        <w:tabs>
          <w:tab w:val="clear" w:pos="1080"/>
          <w:tab w:val="left" w:pos="0" w:leader="none"/>
        </w:tabs>
        <w:ind w:start="0" w:end="0"/>
        <w:rPr/>
      </w:pPr>
      <w:r>
        <w:rPr/>
        <w:t>Joseph Robert Hartsoe, Page 3</w:t>
      </w:r>
    </w:p>
    <w:p>
      <w:pPr>
        <w:pStyle w:val="Normal"/>
        <w:tabs>
          <w:tab w:val="clear" w:pos="720"/>
          <w:tab w:val="left" w:pos="0" w:leader="none"/>
        </w:tabs>
        <w:suppressAutoHyphens w:val="true"/>
        <w:jc w:val="both"/>
        <w:rPr>
          <w:rFonts w:ascii="CG Times" w:hAnsi="CG Times" w:cs="CG Times"/>
          <w:spacing w:val="-3"/>
          <w:sz w:val="24"/>
          <w:u w:val="single"/>
        </w:rPr>
      </w:pPr>
      <w:r>
        <w:rPr>
          <w:rFonts w:cs="CG Times" w:ascii="CG Times" w:hAnsi="CG Times"/>
          <w:spacing w:val="-3"/>
          <w:sz w:val="24"/>
          <w:u w:val="single"/>
        </w:rPr>
      </w:r>
    </w:p>
    <w:p>
      <w:pPr>
        <w:pStyle w:val="Heading6"/>
        <w:ind w:hanging="0" w:start="0"/>
        <w:rPr>
          <w:rFonts w:ascii="CG Times" w:hAnsi="CG Times" w:cs="CG Times"/>
          <w:spacing w:val="-3"/>
          <w:sz w:val="24"/>
          <w:u w:val="single"/>
        </w:rPr>
      </w:pPr>
      <w:r>
        <w:rPr>
          <w:rFonts w:cs="CG Times" w:ascii="CG Times" w:hAnsi="CG Times"/>
          <w:spacing w:val="-3"/>
          <w:sz w:val="24"/>
          <w:u w:val="single"/>
        </w:rPr>
      </w:r>
    </w:p>
    <w:p>
      <w:pPr>
        <w:pStyle w:val="Heading6"/>
        <w:ind w:hanging="0" w:start="0"/>
        <w:rPr>
          <w:rFonts w:ascii="CG Times" w:hAnsi="CG Times" w:cs="CG Times"/>
          <w:sz w:val="24"/>
        </w:rPr>
      </w:pPr>
      <w:r>
        <w:rPr>
          <w:rFonts w:cs="CG Times" w:ascii="CG Times" w:hAnsi="CG Times"/>
          <w:sz w:val="24"/>
        </w:rPr>
        <w:t>EDUCATION</w:t>
      </w:r>
    </w:p>
    <w:p>
      <w:pPr>
        <w:pStyle w:val="Normal"/>
        <w:tabs>
          <w:tab w:val="clear" w:pos="720"/>
          <w:tab w:val="left" w:pos="0" w:leader="none"/>
        </w:tabs>
        <w:suppressAutoHyphens w:val="true"/>
        <w:rPr>
          <w:rFonts w:ascii="CG Times" w:hAnsi="CG Times" w:cs="CG Times"/>
          <w:spacing w:val="-3"/>
          <w:sz w:val="24"/>
        </w:rPr>
      </w:pPr>
      <w:r>
        <w:rPr>
          <w:rFonts w:cs="CG Times" w:ascii="CG Times" w:hAnsi="CG Times"/>
          <w:spacing w:val="-3"/>
          <w:sz w:val="24"/>
        </w:rPr>
      </w:r>
    </w:p>
    <w:p>
      <w:pPr>
        <w:pStyle w:val="Normal"/>
        <w:tabs>
          <w:tab w:val="clear" w:pos="720"/>
          <w:tab w:val="left" w:pos="360" w:leader="none"/>
        </w:tabs>
        <w:suppressAutoHyphens w:val="true"/>
        <w:ind w:start="360" w:end="0"/>
        <w:rPr/>
      </w:pPr>
      <w:r>
        <w:rPr>
          <w:rFonts w:cs="CG Times" w:ascii="CG Times" w:hAnsi="CG Times"/>
          <w:b/>
          <w:i/>
          <w:spacing w:val="-3"/>
          <w:sz w:val="24"/>
        </w:rPr>
        <w:t>Master of Law in Taxation</w:t>
      </w:r>
      <w:r>
        <w:rPr>
          <w:rFonts w:cs="CG Times" w:ascii="CG Times" w:hAnsi="CG Times"/>
          <w:spacing w:val="-3"/>
          <w:sz w:val="24"/>
        </w:rPr>
        <w:t>, 1982, Georgetown University Law Center, Washington, DC</w:t>
      </w:r>
    </w:p>
    <w:p>
      <w:pPr>
        <w:pStyle w:val="Normal"/>
        <w:tabs>
          <w:tab w:val="clear" w:pos="720"/>
          <w:tab w:val="left" w:pos="360" w:leader="none"/>
        </w:tabs>
        <w:suppressAutoHyphens w:val="true"/>
        <w:ind w:start="360" w:end="0"/>
        <w:rPr/>
      </w:pPr>
      <w:r>
        <w:rPr>
          <w:rFonts w:cs="CG Times" w:ascii="CG Times" w:hAnsi="CG Times"/>
          <w:b/>
          <w:i/>
          <w:spacing w:val="-3"/>
          <w:sz w:val="24"/>
        </w:rPr>
        <w:t>Juris Doctor</w:t>
      </w:r>
      <w:r>
        <w:rPr>
          <w:rFonts w:cs="CG Times" w:ascii="CG Times" w:hAnsi="CG Times"/>
          <w:spacing w:val="-3"/>
          <w:sz w:val="24"/>
        </w:rPr>
        <w:t>, 1980, University of Virginia School of Law, Charlottesville, VA</w:t>
      </w:r>
    </w:p>
    <w:p>
      <w:pPr>
        <w:pStyle w:val="Normal"/>
        <w:tabs>
          <w:tab w:val="clear" w:pos="720"/>
          <w:tab w:val="left" w:pos="360" w:leader="none"/>
        </w:tabs>
        <w:suppressAutoHyphens w:val="true"/>
        <w:ind w:start="360" w:end="0"/>
        <w:rPr/>
      </w:pPr>
      <w:r>
        <w:rPr>
          <w:rFonts w:cs="CG Times" w:ascii="CG Times" w:hAnsi="CG Times"/>
          <w:b/>
          <w:i/>
          <w:spacing w:val="-3"/>
          <w:sz w:val="24"/>
        </w:rPr>
        <w:t>Bachelor of Science in Mathematics</w:t>
      </w:r>
      <w:r>
        <w:rPr>
          <w:rFonts w:cs="CG Times" w:ascii="CG Times" w:hAnsi="CG Times"/>
          <w:spacing w:val="-3"/>
          <w:sz w:val="24"/>
        </w:rPr>
        <w:t>, 1977, Davidson College, Davidson, NC</w:t>
      </w:r>
    </w:p>
    <w:p>
      <w:pPr>
        <w:pStyle w:val="Normal"/>
        <w:pBdr>
          <w:bottom w:val="single" w:sz="6" w:space="1" w:color="000000"/>
        </w:pBdr>
        <w:tabs>
          <w:tab w:val="clear" w:pos="720"/>
          <w:tab w:val="left" w:pos="0" w:leader="none"/>
        </w:tabs>
        <w:suppressAutoHyphens w:val="true"/>
        <w:rPr>
          <w:rFonts w:ascii="CG Times" w:hAnsi="CG Times" w:cs="CG Times"/>
          <w:spacing w:val="-3"/>
          <w:sz w:val="24"/>
        </w:rPr>
      </w:pPr>
      <w:r>
        <w:rPr>
          <w:rFonts w:cs="CG Times" w:ascii="CG Times" w:hAnsi="CG Times"/>
          <w:spacing w:val="-3"/>
          <w:sz w:val="24"/>
        </w:rPr>
      </w:r>
    </w:p>
    <w:p>
      <w:pPr>
        <w:pStyle w:val="Heading5"/>
        <w:ind w:hanging="0" w:start="0"/>
        <w:rPr>
          <w:rFonts w:ascii="CG Times" w:hAnsi="CG Times" w:cs="CG Times"/>
          <w:spacing w:val="-3"/>
          <w:sz w:val="24"/>
        </w:rPr>
      </w:pPr>
      <w:r>
        <w:rPr>
          <w:rFonts w:cs="CG Times" w:ascii="CG Times" w:hAnsi="CG Times"/>
          <w:spacing w:val="-3"/>
          <w:sz w:val="24"/>
        </w:rPr>
      </w:r>
    </w:p>
    <w:p>
      <w:pPr>
        <w:pStyle w:val="Heading5"/>
        <w:ind w:hanging="0" w:start="0"/>
        <w:rPr>
          <w:rFonts w:ascii="CG Times" w:hAnsi="CG Times" w:cs="CG Times"/>
          <w:sz w:val="24"/>
        </w:rPr>
      </w:pPr>
      <w:r>
        <w:rPr>
          <w:rFonts w:cs="CG Times" w:ascii="CG Times" w:hAnsi="CG Times"/>
          <w:sz w:val="24"/>
        </w:rPr>
        <w:t>REFERENCES</w:t>
      </w:r>
    </w:p>
    <w:p>
      <w:pPr>
        <w:pStyle w:val="Normal"/>
        <w:tabs>
          <w:tab w:val="clear" w:pos="720"/>
          <w:tab w:val="left" w:pos="0" w:leader="none"/>
        </w:tabs>
        <w:suppressAutoHyphens w:val="true"/>
        <w:jc w:val="both"/>
        <w:rPr>
          <w:rFonts w:ascii="CG Times" w:hAnsi="CG Times" w:cs="CG Times"/>
          <w:spacing w:val="-3"/>
          <w:sz w:val="24"/>
        </w:rPr>
      </w:pPr>
      <w:r>
        <w:rPr>
          <w:rFonts w:cs="CG Times" w:ascii="CG Times" w:hAnsi="CG Times"/>
          <w:spacing w:val="-3"/>
          <w:sz w:val="24"/>
        </w:rPr>
      </w:r>
    </w:p>
    <w:p>
      <w:pPr>
        <w:pStyle w:val="Normal"/>
        <w:tabs>
          <w:tab w:val="clear" w:pos="720"/>
          <w:tab w:val="left" w:pos="360" w:leader="none"/>
        </w:tabs>
        <w:suppressAutoHyphens w:val="true"/>
        <w:ind w:start="360" w:end="0"/>
        <w:jc w:val="both"/>
        <w:rPr>
          <w:rFonts w:ascii="CG Times" w:hAnsi="CG Times" w:cs="CG Times"/>
          <w:spacing w:val="-3"/>
          <w:sz w:val="24"/>
        </w:rPr>
      </w:pPr>
      <w:r>
        <w:rPr>
          <w:rFonts w:cs="CG Times" w:ascii="CG Times" w:hAnsi="CG Times"/>
          <w:spacing w:val="-3"/>
          <w:sz w:val="24"/>
        </w:rPr>
        <w:t>Available upon request.</w:t>
      </w:r>
    </w:p>
    <w:p>
      <w:pPr>
        <w:pStyle w:val="Normal"/>
        <w:tabs>
          <w:tab w:val="clear" w:pos="720"/>
          <w:tab w:val="left" w:pos="360" w:leader="none"/>
        </w:tabs>
        <w:suppressAutoHyphens w:val="true"/>
        <w:ind w:start="360" w:end="0"/>
        <w:jc w:val="both"/>
        <w:rPr>
          <w:rFonts w:ascii="CG Times" w:hAnsi="CG Times" w:cs="CG Times"/>
          <w:spacing w:val="-3"/>
          <w:sz w:val="24"/>
        </w:rPr>
      </w:pPr>
      <w:r>
        <w:rPr>
          <w:rFonts w:cs="CG Times" w:ascii="CG Times" w:hAnsi="CG Times"/>
          <w:spacing w:val="-3"/>
          <w:sz w:val="24"/>
        </w:rPr>
      </w:r>
    </w:p>
    <w:sectPr>
      <w:type w:val="nextPage"/>
      <w:pgSz w:w="12240" w:h="15840"/>
      <w:pgMar w:left="1440" w:right="1440" w:gutter="0" w:header="0" w:top="810" w:footer="0" w:bottom="90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charset w:val="00" w:characterSet="windows-1252"/>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pBdr>
        <w:bottom w:val="single" w:sz="6" w:space="1" w:color="000000"/>
      </w:pBdr>
      <w:tabs>
        <w:tab w:val="clear" w:pos="720"/>
        <w:tab w:val="left" w:pos="0" w:leader="none"/>
      </w:tabs>
      <w:suppressAutoHyphens w:val="true"/>
      <w:outlineLvl w:val="0"/>
    </w:pPr>
    <w:rPr>
      <w:rFonts w:ascii="CG Times" w:hAnsi="CG Times" w:cs="CG Times"/>
      <w:b/>
      <w:spacing w:val="-3"/>
      <w:sz w:val="24"/>
    </w:rPr>
  </w:style>
  <w:style w:type="paragraph" w:styleId="Heading2">
    <w:name w:val="heading 2"/>
    <w:basedOn w:val="Normal"/>
    <w:next w:val="Normal"/>
    <w:qFormat/>
    <w:pPr>
      <w:keepNext w:val="true"/>
      <w:numPr>
        <w:ilvl w:val="1"/>
        <w:numId w:val="1"/>
      </w:numPr>
      <w:pBdr>
        <w:bottom w:val="single" w:sz="6" w:space="1" w:color="000000"/>
      </w:pBdr>
      <w:tabs>
        <w:tab w:val="clear" w:pos="720"/>
        <w:tab w:val="left" w:pos="0" w:leader="none"/>
      </w:tabs>
      <w:suppressAutoHyphens w:val="true"/>
      <w:outlineLvl w:val="1"/>
    </w:pPr>
    <w:rPr>
      <w:rFonts w:ascii="CG Times" w:hAnsi="CG Times" w:cs="CG Times"/>
      <w:b/>
      <w:i/>
      <w:spacing w:val="-3"/>
      <w:sz w:val="24"/>
    </w:rPr>
  </w:style>
  <w:style w:type="paragraph" w:styleId="Heading3">
    <w:name w:val="heading 3"/>
    <w:basedOn w:val="Normal"/>
    <w:next w:val="Normal"/>
    <w:qFormat/>
    <w:pPr>
      <w:keepNext w:val="true"/>
      <w:numPr>
        <w:ilvl w:val="2"/>
        <w:numId w:val="1"/>
      </w:numPr>
      <w:pBdr>
        <w:bottom w:val="single" w:sz="6" w:space="1" w:color="000000"/>
      </w:pBdr>
      <w:tabs>
        <w:tab w:val="clear" w:pos="720"/>
        <w:tab w:val="left" w:pos="0" w:leader="none"/>
      </w:tabs>
      <w:suppressAutoHyphens w:val="true"/>
      <w:outlineLvl w:val="2"/>
    </w:pPr>
    <w:rPr>
      <w:rFonts w:ascii="CG Times" w:hAnsi="CG Times" w:cs="CG Times"/>
      <w:b/>
      <w:spacing w:val="-3"/>
      <w:sz w:val="22"/>
    </w:rPr>
  </w:style>
  <w:style w:type="paragraph" w:styleId="Heading4">
    <w:name w:val="heading 4"/>
    <w:basedOn w:val="Normal"/>
    <w:next w:val="Normal"/>
    <w:qFormat/>
    <w:pPr>
      <w:keepNext w:val="true"/>
      <w:numPr>
        <w:ilvl w:val="3"/>
        <w:numId w:val="1"/>
      </w:numPr>
      <w:pBdr>
        <w:bottom w:val="single" w:sz="6" w:space="1" w:color="000000"/>
      </w:pBdr>
      <w:tabs>
        <w:tab w:val="clear" w:pos="720"/>
        <w:tab w:val="left" w:pos="0" w:leader="none"/>
      </w:tabs>
      <w:suppressAutoHyphens w:val="true"/>
      <w:jc w:val="both"/>
      <w:outlineLvl w:val="3"/>
    </w:pPr>
    <w:rPr>
      <w:rFonts w:ascii="CG Times" w:hAnsi="CG Times" w:cs="CG Times"/>
      <w:b/>
      <w:spacing w:val="-3"/>
      <w:sz w:val="22"/>
    </w:rPr>
  </w:style>
  <w:style w:type="paragraph" w:styleId="Heading5">
    <w:name w:val="heading 5"/>
    <w:basedOn w:val="Normal"/>
    <w:next w:val="Normal"/>
    <w:qFormat/>
    <w:pPr>
      <w:keepNext w:val="true"/>
      <w:numPr>
        <w:ilvl w:val="4"/>
        <w:numId w:val="1"/>
      </w:numPr>
      <w:pBdr>
        <w:bottom w:val="single" w:sz="6" w:space="1" w:color="000000"/>
      </w:pBdr>
      <w:tabs>
        <w:tab w:val="clear" w:pos="720"/>
        <w:tab w:val="left" w:pos="0" w:leader="none"/>
      </w:tabs>
      <w:suppressAutoHyphens w:val="true"/>
      <w:outlineLvl w:val="4"/>
    </w:pPr>
    <w:rPr>
      <w:rFonts w:ascii="CG Times (W1);Times New Roman" w:hAnsi="CG Times (W1);Times New Roman" w:cs="CG Times (W1);Times New Roman"/>
      <w:b/>
      <w:spacing w:val="-3"/>
      <w:sz w:val="28"/>
    </w:rPr>
  </w:style>
  <w:style w:type="paragraph" w:styleId="Heading6">
    <w:name w:val="heading 6"/>
    <w:basedOn w:val="Normal"/>
    <w:next w:val="Normal"/>
    <w:qFormat/>
    <w:pPr>
      <w:keepNext w:val="true"/>
      <w:numPr>
        <w:ilvl w:val="5"/>
        <w:numId w:val="1"/>
      </w:numPr>
      <w:pBdr>
        <w:bottom w:val="single" w:sz="6" w:space="1" w:color="000000"/>
      </w:pBdr>
      <w:tabs>
        <w:tab w:val="clear" w:pos="720"/>
        <w:tab w:val="left" w:pos="0" w:leader="none"/>
      </w:tabs>
      <w:suppressAutoHyphens w:val="true"/>
      <w:jc w:val="both"/>
      <w:outlineLvl w:val="5"/>
    </w:pPr>
    <w:rPr>
      <w:rFonts w:ascii="CG Times (W1);Times New Roman" w:hAnsi="CG Times (W1);Times New Roman" w:cs="CG Times (W1);Times New Roman"/>
      <w:b/>
      <w:spacing w:val="-3"/>
      <w:sz w:val="28"/>
    </w:rPr>
  </w:style>
  <w:style w:type="paragraph" w:styleId="Heading7">
    <w:name w:val="heading 7"/>
    <w:basedOn w:val="Normal"/>
    <w:next w:val="Normal"/>
    <w:qFormat/>
    <w:pPr>
      <w:keepNext w:val="true"/>
      <w:numPr>
        <w:ilvl w:val="6"/>
        <w:numId w:val="1"/>
      </w:numPr>
      <w:tabs>
        <w:tab w:val="clear" w:pos="720"/>
        <w:tab w:val="center" w:pos="4680" w:leader="none"/>
      </w:tabs>
      <w:suppressAutoHyphens w:val="true"/>
      <w:jc w:val="center"/>
      <w:outlineLvl w:val="6"/>
    </w:pPr>
    <w:rPr>
      <w:rFonts w:ascii="CG Times (W1);Times New Roman" w:hAnsi="CG Times (W1);Times New Roman" w:cs="CG Times (W1);Times New Roman"/>
      <w:spacing w:val="-3"/>
      <w:sz w:val="28"/>
    </w:rPr>
  </w:style>
  <w:style w:type="paragraph" w:styleId="Heading8">
    <w:name w:val="heading 8"/>
    <w:basedOn w:val="Normal"/>
    <w:next w:val="Normal"/>
    <w:qFormat/>
    <w:pPr>
      <w:keepNext w:val="true"/>
      <w:numPr>
        <w:ilvl w:val="7"/>
        <w:numId w:val="1"/>
      </w:numPr>
      <w:tabs>
        <w:tab w:val="clear" w:pos="720"/>
        <w:tab w:val="center" w:pos="4680" w:leader="none"/>
      </w:tabs>
      <w:suppressAutoHyphens w:val="true"/>
      <w:jc w:val="both"/>
      <w:outlineLvl w:val="7"/>
    </w:pPr>
    <w:rPr>
      <w:rFonts w:ascii="CG Times" w:hAnsi="CG Times" w:cs="CG Times"/>
      <w:spacing w:val="-3"/>
      <w:sz w:val="24"/>
    </w:rPr>
  </w:style>
  <w:style w:type="paragraph" w:styleId="Heading9">
    <w:name w:val="heading 9"/>
    <w:basedOn w:val="Normal"/>
    <w:next w:val="Normal"/>
    <w:qFormat/>
    <w:pPr>
      <w:keepNext w:val="true"/>
      <w:numPr>
        <w:ilvl w:val="8"/>
        <w:numId w:val="1"/>
      </w:numPr>
      <w:tabs>
        <w:tab w:val="left" w:pos="720" w:leader="none"/>
      </w:tabs>
      <w:suppressAutoHyphens w:val="true"/>
      <w:ind w:hanging="0" w:start="720" w:end="0"/>
      <w:jc w:val="end"/>
      <w:outlineLvl w:val="8"/>
    </w:pPr>
    <w:rPr>
      <w:rFonts w:ascii="CG Times" w:hAnsi="CG Times" w:cs="CG Times"/>
      <w:b/>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080" w:leader="none"/>
      </w:tabs>
      <w:suppressAutoHyphens w:val="true"/>
      <w:ind w:hanging="0" w:start="1080" w:end="0"/>
    </w:pPr>
    <w:rPr>
      <w:rFonts w:ascii="CG Times" w:hAnsi="CG Times" w:cs="CG Times"/>
      <w:spacing w:val="-3"/>
      <w:sz w:val="24"/>
    </w:rPr>
  </w:style>
  <w:style w:type="paragraph" w:styleId="BodyTextIndent2">
    <w:name w:val="Body Text Indent 2"/>
    <w:basedOn w:val="Normal"/>
    <w:qFormat/>
    <w:pPr>
      <w:tabs>
        <w:tab w:val="clear" w:pos="720"/>
        <w:tab w:val="left" w:pos="360" w:leader="none"/>
      </w:tabs>
      <w:suppressAutoHyphens w:val="true"/>
      <w:ind w:hanging="0" w:start="360" w:end="0"/>
    </w:pPr>
    <w:rPr>
      <w:rFonts w:ascii="CG Times" w:hAnsi="CG Times" w:cs="CG Times"/>
      <w:spacing w:val="-3"/>
      <w:sz w:val="24"/>
    </w:rPr>
  </w:style>
  <w:style w:type="paragraph" w:styleId="BodyTextIndent3">
    <w:name w:val="Body Text Indent 3"/>
    <w:basedOn w:val="Normal"/>
    <w:qFormat/>
    <w:pPr>
      <w:tabs>
        <w:tab w:val="clear" w:pos="720"/>
        <w:tab w:val="left" w:pos="360" w:leader="none"/>
      </w:tabs>
      <w:suppressAutoHyphens w:val="true"/>
      <w:ind w:hanging="0" w:start="360" w:end="0"/>
    </w:pPr>
    <w:rPr>
      <w:rFonts w:ascii="CG Times (W1);Times New Roman" w:hAnsi="CG Times (W1);Times New Roman" w:cs="CG Times (W1);Times New Roman"/>
      <w:spacing w:val="-3"/>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2000-11-29T19:26:00Z</dcterms:created>
  <dc:creator>Susan &amp; Joe Hartsoe</dc:creator>
  <dc:description/>
  <dc:language>en-CA</dc:language>
  <cp:lastModifiedBy>Compaq</cp:lastModifiedBy>
  <cp:lastPrinted>2000-10-10T07:08:00Z</cp:lastPrinted>
  <dcterms:modified xsi:type="dcterms:W3CDTF">2000-11-29T19:59:00Z</dcterms:modified>
  <cp:revision>3</cp:revision>
  <dc:subject/>
  <dc:title>	JOSEPH R. HARTSOE</dc:title>
</cp:coreProperties>
</file>