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footer6.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8.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pPr>
      <w:r>
        <w:rPr/>
        <w:t>STATE OF CONNECTICUT</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pPr>
      <w:r>
        <w:rPr/>
        <w:t>DEPARTMENT OF PUBLIC UTILITY CONTROL</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tbl>
      <w:tblPr>
        <w:tblW w:w="8856" w:type="dxa"/>
        <w:jc w:val="start"/>
        <w:tblInd w:w="0" w:type="dxa"/>
        <w:tblLayout w:type="fixed"/>
        <w:tblCellMar>
          <w:top w:w="0" w:type="dxa"/>
          <w:start w:w="108" w:type="dxa"/>
          <w:bottom w:w="0" w:type="dxa"/>
          <w:end w:w="108" w:type="dxa"/>
        </w:tblCellMar>
      </w:tblPr>
      <w:tblGrid>
        <w:gridCol w:w="4518"/>
        <w:gridCol w:w="360"/>
        <w:gridCol w:w="3978"/>
      </w:tblGrid>
      <w:tr>
        <w:trPr/>
        <w:tc>
          <w:tcPr>
            <w:tcW w:w="4518"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DPUC REVIEW OF CONNECTICUT LIGHT AND POWER COMPANY'S CONSERVATION AND LOAD MANAGEMENT PROGRAMS FOR 2000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both"/>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DPUC REVIEW OF THE UNITED ILLUMINATING COMPANY'S CONSERVATION AND LOAD MANAGEMENT PLAN FOR 2000</w:t>
            </w:r>
          </w:p>
        </w:tc>
        <w:tc>
          <w:tcPr>
            <w:tcW w:w="360"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tc>
        <w:tc>
          <w:tcPr>
            <w:tcW w:w="3978"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DOCKET NO. 99-09-30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DOCKET NO. 99-10-18</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NOVEMBER 9, 2000</w:t>
            </w:r>
          </w:p>
        </w:tc>
      </w:tr>
    </w:tbl>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REQUEST TO REOPEN PROCEEDINGS</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b/>
          <w:caps/>
          <w:u w:val="single"/>
        </w:rPr>
      </w:pPr>
      <w:r>
        <w:rPr>
          <w:caps/>
          <w:u w:val="single"/>
        </w:rPr>
        <w:t>CONNECTICUT RESOURCES RECOVERY AUTHORITY</w:t>
      </w:r>
    </w:p>
    <w:p>
      <w:pPr>
        <w:pStyle w:val="Footer"/>
        <w:tabs>
          <w:tab w:val="clear" w:pos="4320"/>
          <w:tab w:val="clear" w:pos="8640"/>
          <w:tab w:val="clear" w:pos="9360"/>
          <w:tab w:val="left" w:pos="720" w:leader="none"/>
          <w:tab w:val="left" w:pos="1440" w:leader="none"/>
          <w:tab w:val="left" w:pos="2160" w:leader="none"/>
          <w:tab w:val="left" w:pos="2880" w:leader="none"/>
          <w:tab w:val="left" w:pos="3240" w:leader="none"/>
          <w:tab w:val="left" w:pos="4680" w:leader="none"/>
          <w:tab w:val="left" w:pos="5040" w:leader="none"/>
        </w:tabs>
        <w:rPr>
          <w:b/>
          <w:caps/>
          <w:u w:val="single"/>
        </w:rPr>
      </w:pPr>
      <w:r>
        <w:rPr>
          <w:b/>
          <w:caps/>
          <w:u w:val="singl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I.</w:t>
        <w:tab/>
        <w:t>INTRODUCTION</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Fuel cells </w:t>
      </w:r>
      <w:r>
        <w:rPr>
          <w:strike/>
        </w:rPr>
        <w:t>promise</w:t>
      </w:r>
      <w:r>
        <w:rPr/>
        <w:t xml:space="preserve"> </w:t>
      </w:r>
      <w:r>
        <w:rPr>
          <w:b/>
          <w:u w:val="double"/>
        </w:rPr>
        <w:t>provide</w:t>
      </w:r>
      <w:r>
        <w:rPr/>
        <w:t xml:space="preserve"> efficient electricity generation with </w:t>
      </w:r>
      <w:r>
        <w:rPr>
          <w:strike/>
        </w:rPr>
        <w:t>virtually no</w:t>
      </w:r>
      <w:r>
        <w:rPr/>
        <w:t xml:space="preserve"> </w:t>
      </w:r>
      <w:r>
        <w:rPr>
          <w:b/>
          <w:u w:val="double"/>
        </w:rPr>
        <w:t>very low</w:t>
      </w:r>
      <w:r>
        <w:rPr/>
        <w:t xml:space="preserve"> emissions.  But today, the </w:t>
      </w:r>
      <w:r>
        <w:rPr>
          <w:strike/>
        </w:rPr>
        <w:t>relatively</w:t>
      </w:r>
      <w:r>
        <w:rPr/>
        <w:t xml:space="preserve"> high capital cost of fuel cells hinders their acceptance in the marketplace.  In this proceeding, the Department has the opportunity to drive down these capital costs while facilitating retail electricity competition and stimulating Connecticut's economic development.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To achieve these goals, the Connecticut Resources Recovery Authority  ("CRRA") files this Request to Reopen (Request) Docket No. 99-09-30, </w:t>
      </w:r>
      <w:r>
        <w:rPr>
          <w:u w:val="single"/>
        </w:rPr>
        <w:t>DPUC Review of the Connecticut Light and Power Company's Conservation and Load Management Programs for 2000</w:t>
      </w:r>
      <w:r>
        <w:rPr/>
        <w:t xml:space="preserve"> (CL&amp;P Docket) and Docket No. 99-10-18, </w:t>
      </w:r>
      <w:r>
        <w:rPr>
          <w:u w:val="single"/>
        </w:rPr>
        <w:t>DPUC Review of the United Illuminating Company's Conservation and Load Management Plan for 2000</w:t>
      </w:r>
      <w:r>
        <w:rPr/>
        <w:t xml:space="preserve"> (UI Docket)(together referred to as the "2000 C&amp;LM Plan Dockets") pursuant to Connecticut General Statutes §§ 4-181a and 16-9.  In the reopening, CRRA requests that the Department amend the year 2000 Conservation and Load Management Plans of the Connecticut Light and Power Company (CL&amp;P) and </w:t>
      </w:r>
      <w:r>
        <w:rPr>
          <w:strike/>
        </w:rPr>
        <w:t>the</w:t>
      </w:r>
      <w:r>
        <w:rPr/>
        <w:t xml:space="preserve"> </w:t>
      </w:r>
      <w:r>
        <w:rPr>
          <w:b/>
          <w:u w:val="double"/>
        </w:rPr>
        <w:t>The</w:t>
      </w:r>
      <w:r>
        <w:rPr/>
        <w:t xml:space="preserve"> United Illuminating Company (UI) to include a multi-year market transformation initiative and a companion ongoing conservation and load management program.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This two-phase proposal includes the </w:t>
      </w:r>
      <w:r>
        <w:rPr>
          <w:b/>
          <w:u w:val="double"/>
        </w:rPr>
        <w:t>development,</w:t>
      </w:r>
      <w:r>
        <w:rPr/>
        <w:t xml:space="preserve"> construction and installation of up to five fuel cell farms by CRRA through its project developer Enron North America Corp. ("Project Developer").  CRRA will control and operate the fuel cells.  This multi-year market transformation initiative and ongoing conservation and load management program will provide a Class I renewable energy resource which will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w:t>
      </w:r>
      <w:r>
        <w:rPr>
          <w:strike/>
        </w:rPr>
        <w:t>electric supply</w:t>
      </w:r>
      <w:r>
        <w:rPr/>
        <w:t xml:space="preserve"> </w:t>
      </w:r>
      <w:r>
        <w:rPr>
          <w:b/>
          <w:u w:val="double"/>
        </w:rPr>
        <w:t>retail electricity</w:t>
      </w:r>
      <w:r>
        <w:rPr/>
        <w:t xml:space="preserve"> market. </w:t>
      </w:r>
      <w:r>
        <w:rPr>
          <w:strike/>
        </w:rPr>
        <w:t>Most important, the initiative will drive the capital costs for fuel cells down by approximately 30%.</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This Request sets forth a description of CRRA's proposal; financial information; policy benefits of the market transformation initiative; environmental and economic development benefits; and cost effectiveness of the ongoing conservation and load management program; as well as proposed Findings of Fact, </w:t>
      </w:r>
      <w:r>
        <w:rPr>
          <w:strike/>
        </w:rPr>
        <w:t>Conclusion</w:t>
      </w:r>
      <w:r>
        <w:rPr/>
        <w:t xml:space="preserve"> </w:t>
      </w:r>
      <w:r>
        <w:rPr>
          <w:b/>
          <w:u w:val="double"/>
        </w:rPr>
        <w:t>Conclusions</w:t>
      </w:r>
      <w:r>
        <w:rPr/>
        <w:t xml:space="preserve"> and Orders.  The project is summarized in this Request.  Additional detail is contained in the attached pre-filed testimony of Mr. Robert E. Wright, President of CRRA, and Mr. Jeffrey Ader </w:t>
      </w:r>
      <w:r>
        <w:rPr>
          <w:b/>
          <w:u w:val="double"/>
        </w:rPr>
        <w:t>and Ms. Heather Kroll</w:t>
      </w:r>
      <w:r>
        <w:rPr/>
        <w:t xml:space="preserve"> of Enron North America.</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firstLine="720" w:end="0"/>
        <w:rPr/>
      </w:pPr>
      <w:r>
        <w:rPr/>
        <w:t>The persons to whom correspondence and other filings with respect to this Request should be directed are: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Robert E. Wright, President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Connecticut Resources Recovery Authority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100 Constitution Plaza</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Hartford, CT 06103-1702</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(860) 757-7700</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rFonts w:eastAsia="CG Times"/>
        </w:rPr>
        <w:t xml:space="preserve"> </w:t>
      </w:r>
      <w:r>
        <w:rPr>
          <w:strike/>
        </w:rPr>
        <w:t>and</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t>Paul R. McCary, Esq.</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t>Sandra L. Fischer, Esq.</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t>Murtha Cullina LLP</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t>CityPlace I</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t>185 Asylum Street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t>Hartford, Connecticut 06103-3469</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t>(860) 240-6000</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 xml:space="preserve">II. </w:t>
        <w:tab/>
        <w:t>DESCRIPTION OF PROPOSAL</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tab/>
        <w:t>A.</w:t>
        <w:tab/>
        <w:t>General overview</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BodyText"/>
        <w:tabs>
          <w:tab w:val="left" w:pos="720" w:leader="none"/>
        </w:tabs>
        <w:spacing w:lineRule="auto" w:line="480"/>
        <w:rPr/>
      </w:pPr>
      <w:r>
        <w:rPr/>
        <w:tab/>
      </w:r>
      <w:r>
        <w:rPr>
          <w:rFonts w:cs="CG Times" w:ascii="CG Times" w:hAnsi="CG Times"/>
          <w:sz w:val="24"/>
        </w:rPr>
        <w:t xml:space="preserve">CRRA will enter into a contract with the Project Developer to cause the </w:t>
      </w:r>
      <w:r>
        <w:rPr>
          <w:rFonts w:cs="CG Times" w:ascii="CG Times" w:hAnsi="CG Times"/>
          <w:b/>
          <w:sz w:val="24"/>
          <w:u w:val="double"/>
        </w:rPr>
        <w:t>development,</w:t>
      </w:r>
      <w:r>
        <w:rPr>
          <w:rFonts w:cs="CG Times" w:ascii="CG Times" w:hAnsi="CG Times"/>
          <w:sz w:val="24"/>
        </w:rPr>
        <w:t xml:space="preserve"> construction and installation of up to five fuel cell farms and related facilities with a combined nominal generating capacity of 50 MW on sites currently owned, controlled, or to be controlled by CRRA.  CRRA will control and have responsibility for the operation of the fuel cell farms and related facilities.</w:t>
      </w:r>
      <w:r>
        <w:rPr>
          <w:rFonts w:cs="CG Times" w:ascii="CG Times" w:hAnsi="CG Times"/>
          <w:b/>
          <w:sz w:val="24"/>
          <w:u w:val="double"/>
        </w:rPr>
        <w:t xml:space="preserve">  The Project Developer and CRRA will mitigate the technology and performance risk of the investment through the requirement of an acceptance test.  If any individual fuel cell power plant fails to meet the minimum performance standards required by this acceptance test, the Project Developer will cause to be refunded to the Energy Conservation and Load Management Fund the individual plant’s cost.</w:t>
      </w:r>
      <w:r>
        <w:rPr>
          <w:rFonts w:cs="CG Times" w:ascii="CG Times" w:hAnsi="CG Times"/>
          <w:sz w:val="24"/>
        </w:rPr>
        <w:t xml:space="preserve">  The Project Developer will receive a development fee of 10% of the proposed cost of the market transformation initiative.  </w:t>
      </w:r>
    </w:p>
    <w:p>
      <w:pPr>
        <w:pStyle w:val="BodyText"/>
        <w:tabs>
          <w:tab w:val="left" w:pos="720" w:leader="none"/>
        </w:tabs>
        <w:spacing w:lineRule="auto" w:line="480"/>
        <w:rPr/>
      </w:pPr>
      <w:r>
        <w:rPr>
          <w:rFonts w:cs="CG Times" w:ascii="CG Times" w:hAnsi="CG Times"/>
          <w:sz w:val="24"/>
        </w:rPr>
        <w:tab/>
        <w:t xml:space="preserve">The </w:t>
      </w:r>
      <w:r>
        <w:rPr>
          <w:rFonts w:cs="CG Times" w:ascii="CG Times" w:hAnsi="CG Times"/>
          <w:strike/>
          <w:sz w:val="24"/>
        </w:rPr>
        <w:t>Project Developer</w:t>
      </w:r>
      <w:r>
        <w:rPr>
          <w:rFonts w:cs="CG Times" w:ascii="CG Times" w:hAnsi="CG Times"/>
          <w:sz w:val="24"/>
        </w:rPr>
        <w:t xml:space="preserve"> </w:t>
      </w:r>
      <w:r>
        <w:rPr>
          <w:rFonts w:cs="CG Times" w:ascii="CG Times" w:hAnsi="CG Times"/>
          <w:b/>
          <w:sz w:val="24"/>
          <w:u w:val="double"/>
        </w:rPr>
        <w:t>facilities</w:t>
      </w:r>
      <w:r>
        <w:rPr>
          <w:rFonts w:cs="CG Times" w:ascii="CG Times" w:hAnsi="CG Times"/>
          <w:sz w:val="24"/>
        </w:rPr>
        <w:t xml:space="preserve"> will </w:t>
      </w:r>
      <w:r>
        <w:rPr>
          <w:rFonts w:cs="CG Times" w:ascii="CG Times" w:hAnsi="CG Times"/>
          <w:strike/>
          <w:sz w:val="24"/>
        </w:rPr>
        <w:t>purchase</w:t>
      </w:r>
      <w:r>
        <w:rPr>
          <w:rFonts w:cs="CG Times" w:ascii="CG Times" w:hAnsi="CG Times"/>
          <w:sz w:val="24"/>
        </w:rPr>
        <w:t xml:space="preserve"> </w:t>
      </w:r>
      <w:r>
        <w:rPr>
          <w:rFonts w:cs="CG Times" w:ascii="CG Times" w:hAnsi="CG Times"/>
          <w:b/>
          <w:sz w:val="24"/>
          <w:u w:val="double"/>
        </w:rPr>
        <w:t>utilize</w:t>
      </w:r>
      <w:r>
        <w:rPr>
          <w:rFonts w:cs="CG Times" w:ascii="CG Times" w:hAnsi="CG Times"/>
          <w:sz w:val="24"/>
        </w:rPr>
        <w:t xml:space="preserve"> fuel cell electrical generation equipment </w:t>
      </w:r>
      <w:r>
        <w:rPr>
          <w:rFonts w:cs="CG Times" w:ascii="CG Times" w:hAnsi="CG Times"/>
          <w:strike/>
          <w:sz w:val="24"/>
        </w:rPr>
        <w:t>from</w:t>
      </w:r>
      <w:r>
        <w:rPr>
          <w:rFonts w:cs="CG Times" w:ascii="CG Times" w:hAnsi="CG Times"/>
          <w:sz w:val="24"/>
        </w:rPr>
        <w:t xml:space="preserve"> </w:t>
      </w:r>
      <w:r>
        <w:rPr>
          <w:rFonts w:cs="CG Times" w:ascii="CG Times" w:hAnsi="CG Times"/>
          <w:b/>
          <w:sz w:val="24"/>
          <w:u w:val="double"/>
        </w:rPr>
        <w:t>manufactured and licensed by</w:t>
      </w:r>
      <w:r>
        <w:rPr>
          <w:rFonts w:cs="CG Times" w:ascii="CG Times" w:hAnsi="CG Times"/>
          <w:sz w:val="24"/>
        </w:rPr>
        <w:t xml:space="preserve"> FuelCell Energy, Inc. of Danbury, Connecticut.  </w:t>
      </w:r>
      <w:r>
        <w:rPr>
          <w:rFonts w:cs="CG Times" w:ascii="CG Times" w:hAnsi="CG Times"/>
          <w:strike/>
          <w:sz w:val="24"/>
        </w:rPr>
        <w:t>[Add description of</w:t>
      </w:r>
      <w:r>
        <w:rPr>
          <w:rFonts w:cs="CG Times" w:ascii="CG Times" w:hAnsi="CG Times"/>
          <w:sz w:val="24"/>
        </w:rPr>
        <w:t xml:space="preserve"> FuelCell Energy, Inc. </w:t>
      </w:r>
      <w:r>
        <w:rPr>
          <w:rFonts w:cs="CG Times" w:ascii="CG Times" w:hAnsi="CG Times"/>
          <w:strike/>
          <w:sz w:val="24"/>
        </w:rPr>
        <w:t>]</w:t>
      </w:r>
      <w:r>
        <w:rPr>
          <w:rFonts w:cs="CG Times" w:ascii="CG Times" w:hAnsi="CG Times"/>
          <w:sz w:val="24"/>
        </w:rPr>
        <w:t xml:space="preserve"> </w:t>
      </w:r>
      <w:r>
        <w:rPr>
          <w:rFonts w:cs="CG Times" w:ascii="CG Times" w:hAnsi="CG Times"/>
          <w:b/>
          <w:sz w:val="24"/>
          <w:u w:val="double"/>
        </w:rPr>
        <w:t>has provided electrochemical research solutions to various private sector and governmental customers for nearly 30 years.  FuelCell Energy, Inc. has developed a multi-fuel capable fuel cell.  FuelCell Energy Inc.'s design allows its fuel cell to utilize natural gas, methanol, ethanol, bio-gas and any other fuel that contains methane.</w:t>
      </w:r>
      <w:r>
        <w:rPr>
          <w:rFonts w:cs="CG Times" w:ascii="CG Times" w:hAnsi="CG Times"/>
          <w:sz w:val="24"/>
        </w:rPr>
        <w:t xml:space="preserve">  All fuel cell modules will be manufactured </w:t>
      </w:r>
      <w:r>
        <w:rPr>
          <w:rFonts w:cs="CG Times" w:ascii="CG Times" w:hAnsi="CG Times"/>
          <w:b/>
          <w:sz w:val="24"/>
          <w:u w:val="double"/>
        </w:rPr>
        <w:t>exclusively</w:t>
      </w:r>
      <w:r>
        <w:rPr>
          <w:rFonts w:cs="CG Times" w:ascii="CG Times" w:hAnsi="CG Times"/>
          <w:sz w:val="24"/>
        </w:rPr>
        <w:t xml:space="preserve"> in Connecticut.  Construction of all fuel cells and related facilities is anticipated to be complete by December 31, 2004.  This schedule supports compliance with the state’s renewable energy portfolio standard which requires that electric suppliers' aggregate portfolios be comprised of approximately 116 MW of Class I resources by July 1, 2004.  (2.0% of total Connecticut load) (</w:t>
      </w:r>
      <w:r>
        <w:rPr>
          <w:rFonts w:cs="CG Times" w:ascii="CG Times" w:hAnsi="CG Times"/>
          <w:sz w:val="24"/>
          <w:u w:val="single"/>
        </w:rPr>
        <w:t>See</w:t>
      </w:r>
      <w:r>
        <w:rPr>
          <w:rFonts w:cs="CG Times" w:ascii="CG Times" w:hAnsi="CG Times"/>
          <w:sz w:val="24"/>
        </w:rPr>
        <w:t xml:space="preserve">, Exhibit </w:t>
      </w:r>
      <w:r>
        <w:rPr>
          <w:rFonts w:cs="CG Times" w:ascii="CG Times" w:hAnsi="CG Times"/>
          <w:strike/>
          <w:sz w:val="24"/>
        </w:rPr>
        <w:t>1.)</w:t>
      </w:r>
      <w:r>
        <w:rPr>
          <w:rFonts w:cs="CG Times" w:ascii="CG Times" w:hAnsi="CG Times"/>
          <w:sz w:val="24"/>
        </w:rPr>
        <w:t xml:space="preserve"> </w:t>
      </w:r>
      <w:r>
        <w:rPr>
          <w:rFonts w:cs="CG Times" w:ascii="CG Times" w:hAnsi="CG Times"/>
          <w:b/>
          <w:sz w:val="24"/>
          <w:u w:val="double"/>
        </w:rPr>
        <w:t>A.)</w:t>
      </w:r>
      <w:r>
        <w:rPr>
          <w:rFonts w:cs="CG Times" w:ascii="CG Times" w:hAnsi="CG Times"/>
          <w:sz w:val="24"/>
        </w:rPr>
        <w:t xml:space="preserve">  Conn. Gen. Stat. § 16-245a.</w:t>
      </w:r>
    </w:p>
    <w:p>
      <w:pPr>
        <w:pStyle w:val="BodyText"/>
        <w:tabs>
          <w:tab w:val="left" w:pos="720" w:leader="none"/>
        </w:tabs>
        <w:spacing w:lineRule="auto" w:line="480"/>
        <w:rPr/>
      </w:pPr>
      <w:r>
        <w:rPr/>
        <w:tab/>
        <w:t>The proposed sites and configurations, which are subject to further permitting requirements, are listed below.  Other contingency sites within Connecticut are being developed in order to maintain the budget and installation schedule in the event a site becomes unusable or uneconomical for some unforeseen reason.</w:t>
      </w:r>
    </w:p>
    <w:tbl>
      <w:tblPr>
        <w:tblW w:w="6408" w:type="dxa"/>
        <w:jc w:val="start"/>
        <w:tblInd w:w="0" w:type="dxa"/>
        <w:tblLayout w:type="fixed"/>
        <w:tblCellMar>
          <w:top w:w="0" w:type="dxa"/>
          <w:start w:w="108" w:type="dxa"/>
          <w:bottom w:w="0" w:type="dxa"/>
          <w:end w:w="108" w:type="dxa"/>
        </w:tblCellMar>
      </w:tblPr>
      <w:tblGrid>
        <w:gridCol w:w="2952"/>
        <w:gridCol w:w="1728"/>
        <w:gridCol w:w="1728"/>
      </w:tblGrid>
      <w:tr>
        <w:trPr>
          <w:trHeight w:val="918" w:hRule="atLeast"/>
        </w:trPr>
        <w:tc>
          <w:tcPr>
            <w:tcW w:w="2952" w:type="dxa"/>
            <w:tcBorders/>
          </w:tcPr>
          <w:p>
            <w:pPr>
              <w:pStyle w:val="BodyText"/>
              <w:pBdr>
                <w:bottom w:val="single" w:sz="6" w:space="1" w:color="000000"/>
              </w:pBdr>
              <w:rPr>
                <w:rFonts w:ascii="CG Times" w:hAnsi="CG Times" w:cs="CG Times"/>
                <w:b/>
                <w:sz w:val="24"/>
              </w:rPr>
            </w:pPr>
            <w:r>
              <w:rPr>
                <w:rFonts w:cs="CG Times" w:ascii="CG Times" w:hAnsi="CG Times"/>
                <w:b/>
                <w:sz w:val="24"/>
              </w:rPr>
              <w:br/>
              <w:t>Site</w:t>
            </w:r>
          </w:p>
        </w:tc>
        <w:tc>
          <w:tcPr>
            <w:tcW w:w="1728" w:type="dxa"/>
            <w:tcBorders/>
          </w:tcPr>
          <w:p>
            <w:pPr>
              <w:pStyle w:val="BodyText"/>
              <w:pBdr>
                <w:bottom w:val="single" w:sz="6" w:space="1" w:color="000000"/>
              </w:pBdr>
              <w:rPr>
                <w:rFonts w:ascii="CG Times" w:hAnsi="CG Times" w:cs="CG Times"/>
                <w:b/>
                <w:sz w:val="24"/>
              </w:rPr>
            </w:pPr>
            <w:r>
              <w:rPr>
                <w:rFonts w:cs="CG Times" w:ascii="CG Times" w:hAnsi="CG Times"/>
                <w:b/>
                <w:sz w:val="24"/>
              </w:rPr>
              <w:t>Number of Units</w:t>
            </w:r>
          </w:p>
        </w:tc>
        <w:tc>
          <w:tcPr>
            <w:tcW w:w="1728" w:type="dxa"/>
            <w:tcBorders/>
          </w:tcPr>
          <w:p>
            <w:pPr>
              <w:pStyle w:val="BodyText"/>
              <w:pBdr>
                <w:bottom w:val="single" w:sz="6" w:space="1" w:color="000000"/>
              </w:pBdr>
              <w:rPr>
                <w:rFonts w:ascii="CG Times" w:hAnsi="CG Times" w:cs="CG Times"/>
                <w:b/>
                <w:sz w:val="24"/>
              </w:rPr>
            </w:pPr>
            <w:r>
              <w:rPr>
                <w:rFonts w:cs="CG Times" w:ascii="CG Times" w:hAnsi="CG Times"/>
                <w:b/>
                <w:sz w:val="24"/>
              </w:rPr>
              <w:br/>
              <w:t>Total MWs</w:t>
            </w:r>
          </w:p>
        </w:tc>
      </w:tr>
      <w:tr>
        <w:trPr/>
        <w:tc>
          <w:tcPr>
            <w:tcW w:w="2952" w:type="dxa"/>
            <w:tcBorders/>
          </w:tcPr>
          <w:p>
            <w:pPr>
              <w:pStyle w:val="BodyText"/>
              <w:spacing w:lineRule="auto" w:line="480"/>
              <w:rPr>
                <w:rFonts w:ascii="CG Times" w:hAnsi="CG Times" w:cs="CG Times"/>
                <w:sz w:val="24"/>
              </w:rPr>
            </w:pPr>
            <w:r>
              <w:rPr>
                <w:rFonts w:cs="CG Times" w:ascii="CG Times" w:hAnsi="CG Times"/>
                <w:sz w:val="24"/>
              </w:rPr>
              <w:t>Wallingford</w:t>
            </w:r>
          </w:p>
        </w:tc>
        <w:tc>
          <w:tcPr>
            <w:tcW w:w="1728" w:type="dxa"/>
            <w:tcBorders/>
          </w:tcPr>
          <w:p>
            <w:pPr>
              <w:pStyle w:val="BodyText"/>
              <w:spacing w:lineRule="auto" w:line="480"/>
              <w:rPr>
                <w:rFonts w:ascii="CG Times" w:hAnsi="CG Times" w:cs="CG Times"/>
                <w:sz w:val="24"/>
              </w:rPr>
            </w:pPr>
            <w:r>
              <w:rPr>
                <w:rFonts w:cs="CG Times" w:ascii="CG Times" w:hAnsi="CG Times"/>
                <w:sz w:val="24"/>
              </w:rPr>
              <w:t>10</w:t>
            </w:r>
          </w:p>
        </w:tc>
        <w:tc>
          <w:tcPr>
            <w:tcW w:w="1728" w:type="dxa"/>
            <w:tcBorders/>
          </w:tcPr>
          <w:p>
            <w:pPr>
              <w:pStyle w:val="BodyText"/>
              <w:spacing w:lineRule="auto" w:line="480"/>
              <w:rPr>
                <w:rFonts w:ascii="CG Times" w:hAnsi="CG Times" w:cs="CG Times"/>
                <w:sz w:val="24"/>
              </w:rPr>
            </w:pPr>
            <w:r>
              <w:rPr>
                <w:rFonts w:cs="CG Times" w:ascii="CG Times" w:hAnsi="CG Times"/>
                <w:sz w:val="24"/>
              </w:rPr>
              <w:t>21.2</w:t>
            </w:r>
          </w:p>
        </w:tc>
      </w:tr>
      <w:tr>
        <w:trPr/>
        <w:tc>
          <w:tcPr>
            <w:tcW w:w="2952" w:type="dxa"/>
            <w:tcBorders/>
          </w:tcPr>
          <w:p>
            <w:pPr>
              <w:pStyle w:val="BodyText"/>
              <w:spacing w:lineRule="auto" w:line="480"/>
              <w:rPr>
                <w:rFonts w:ascii="CG Times" w:hAnsi="CG Times" w:cs="CG Times"/>
                <w:sz w:val="24"/>
              </w:rPr>
            </w:pPr>
            <w:r>
              <w:rPr>
                <w:rFonts w:cs="CG Times" w:ascii="CG Times" w:hAnsi="CG Times"/>
                <w:sz w:val="24"/>
              </w:rPr>
              <w:t>Hartford</w:t>
            </w:r>
          </w:p>
        </w:tc>
        <w:tc>
          <w:tcPr>
            <w:tcW w:w="1728" w:type="dxa"/>
            <w:tcBorders/>
          </w:tcPr>
          <w:p>
            <w:pPr>
              <w:pStyle w:val="BodyText"/>
              <w:pBdr>
                <w:bottom w:val="single" w:sz="6" w:space="1" w:color="000000"/>
              </w:pBdr>
              <w:spacing w:lineRule="auto" w:line="480"/>
              <w:rPr>
                <w:rFonts w:ascii="CG Times" w:hAnsi="CG Times" w:cs="CG Times"/>
                <w:sz w:val="24"/>
              </w:rPr>
            </w:pPr>
            <w:r>
              <w:rPr>
                <w:rFonts w:cs="CG Times" w:ascii="CG Times" w:hAnsi="CG Times"/>
                <w:sz w:val="24"/>
              </w:rPr>
              <w:t>12</w:t>
            </w:r>
          </w:p>
        </w:tc>
        <w:tc>
          <w:tcPr>
            <w:tcW w:w="1728" w:type="dxa"/>
            <w:tcBorders/>
          </w:tcPr>
          <w:p>
            <w:pPr>
              <w:pStyle w:val="BodyText"/>
              <w:pBdr>
                <w:bottom w:val="single" w:sz="6" w:space="1" w:color="000000"/>
              </w:pBdr>
              <w:spacing w:lineRule="auto" w:line="480"/>
              <w:rPr>
                <w:rFonts w:ascii="CG Times" w:hAnsi="CG Times" w:cs="CG Times"/>
                <w:sz w:val="24"/>
              </w:rPr>
            </w:pPr>
            <w:r>
              <w:rPr>
                <w:rFonts w:cs="CG Times" w:ascii="CG Times" w:hAnsi="CG Times"/>
                <w:sz w:val="24"/>
              </w:rPr>
              <w:t>28.8</w:t>
            </w:r>
          </w:p>
        </w:tc>
      </w:tr>
      <w:tr>
        <w:trPr/>
        <w:tc>
          <w:tcPr>
            <w:tcW w:w="2952" w:type="dxa"/>
            <w:tcBorders/>
          </w:tcPr>
          <w:p>
            <w:pPr>
              <w:pStyle w:val="BodyText"/>
              <w:spacing w:lineRule="auto" w:line="480"/>
              <w:rPr>
                <w:rFonts w:ascii="CG Times" w:hAnsi="CG Times" w:cs="CG Times"/>
                <w:sz w:val="24"/>
              </w:rPr>
            </w:pPr>
            <w:r>
              <w:rPr>
                <w:rFonts w:cs="CG Times" w:ascii="CG Times" w:hAnsi="CG Times"/>
                <w:sz w:val="24"/>
              </w:rPr>
              <w:t>Total</w:t>
            </w:r>
          </w:p>
        </w:tc>
        <w:tc>
          <w:tcPr>
            <w:tcW w:w="1728" w:type="dxa"/>
            <w:tcBorders/>
          </w:tcPr>
          <w:p>
            <w:pPr>
              <w:pStyle w:val="BodyText"/>
              <w:spacing w:lineRule="auto" w:line="480"/>
              <w:rPr>
                <w:rFonts w:ascii="CG Times" w:hAnsi="CG Times" w:cs="CG Times"/>
                <w:sz w:val="24"/>
              </w:rPr>
            </w:pPr>
            <w:r>
              <w:rPr>
                <w:rFonts w:cs="CG Times" w:ascii="CG Times" w:hAnsi="CG Times"/>
                <w:sz w:val="24"/>
              </w:rPr>
              <w:t>22</w:t>
            </w:r>
          </w:p>
        </w:tc>
        <w:tc>
          <w:tcPr>
            <w:tcW w:w="1728" w:type="dxa"/>
            <w:tcBorders/>
          </w:tcPr>
          <w:p>
            <w:pPr>
              <w:pStyle w:val="BodyText"/>
              <w:spacing w:lineRule="auto" w:line="480"/>
              <w:rPr>
                <w:rFonts w:ascii="CG Times" w:hAnsi="CG Times" w:cs="CG Times"/>
                <w:b/>
                <w:sz w:val="24"/>
              </w:rPr>
            </w:pPr>
            <w:r>
              <w:rPr>
                <w:rFonts w:cs="CG Times" w:ascii="CG Times" w:hAnsi="CG Times"/>
                <w:b/>
                <w:sz w:val="24"/>
              </w:rPr>
              <w:t>50.0</w:t>
            </w:r>
          </w:p>
        </w:tc>
      </w:tr>
    </w:tbl>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rFonts w:eastAsia="CG Times"/>
        </w:rPr>
        <w:t xml:space="preserve"> </w:t>
      </w:r>
      <w:r>
        <w:rPr>
          <w:strike/>
        </w:rPr>
        <w:t>The Wallingford site is on land now owned by [?] and is the site of the [14 MW] Wallingford Resource Recovery Facility. The Hartford site is now the site of both CRRA's Mid-Connecticut Resource Recovery Project and CL&amp;P's South Meadow Station. CRRA is now in the final stages of negotiating definitive documents with CL&amp;P pursuant to which CRRA will acquire most of the South Meadow station, which is being divested by CL&amp;P in accordance with Connecticut's electric restructuring legislation.</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CRRA will schedule the </w:t>
      </w:r>
      <w:r>
        <w:rPr>
          <w:strike/>
        </w:rPr>
        <w:t>unit</w:t>
      </w:r>
      <w:r>
        <w:rPr/>
        <w:t xml:space="preserve"> output </w:t>
      </w:r>
      <w:r>
        <w:rPr>
          <w:b/>
          <w:u w:val="double"/>
        </w:rPr>
        <w:t>from the facilities</w:t>
      </w:r>
      <w:r>
        <w:rPr/>
        <w:t xml:space="preserve"> into the NEPOOL power grid and make the power available to market participants.  The Class I renewable credit will first be made available to retail electric suppliers marketing to serve Connecticut load at </w:t>
      </w:r>
      <w:r>
        <w:rPr>
          <w:strike/>
        </w:rPr>
        <w:t>[anything to be said about price?]</w:t>
      </w:r>
      <w:r>
        <w:rPr/>
        <w:t xml:space="preserve"> </w:t>
      </w:r>
      <w:r>
        <w:rPr>
          <w:b/>
          <w:u w:val="double"/>
        </w:rPr>
        <w:t>market based prices</w:t>
      </w:r>
      <w:r>
        <w:rPr/>
        <w:t>.</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tab/>
        <w:t>B.</w:t>
        <w:tab/>
        <w:t xml:space="preserve">Financial information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BodyText"/>
        <w:tabs>
          <w:tab w:val="left" w:pos="720" w:leader="none"/>
        </w:tabs>
        <w:spacing w:lineRule="auto" w:line="480"/>
        <w:rPr/>
      </w:pPr>
      <w:r>
        <w:rPr>
          <w:rFonts w:cs="CG Times" w:ascii="CG Times" w:hAnsi="CG Times"/>
          <w:b/>
          <w:sz w:val="24"/>
        </w:rPr>
        <w:tab/>
      </w:r>
      <w:r>
        <w:rPr>
          <w:rFonts w:cs="CG Times" w:ascii="CG Times" w:hAnsi="CG Times"/>
          <w:sz w:val="24"/>
        </w:rPr>
        <w:t>1.</w:t>
        <w:tab/>
        <w:t xml:space="preserve">Cost per fuel cell </w:t>
      </w:r>
    </w:p>
    <w:p>
      <w:pPr>
        <w:pStyle w:val="BodyText"/>
        <w:tabs>
          <w:tab w:val="left" w:pos="720" w:leader="none"/>
        </w:tabs>
        <w:spacing w:lineRule="auto" w:line="480"/>
        <w:rPr>
          <w:rFonts w:ascii="CG Times" w:hAnsi="CG Times" w:cs="CG Times"/>
          <w:sz w:val="24"/>
        </w:rPr>
      </w:pPr>
      <w:r>
        <w:rPr>
          <w:rFonts w:cs="CG Times" w:ascii="CG Times" w:hAnsi="CG Times"/>
          <w:strike/>
          <w:sz w:val="24"/>
        </w:rPr>
        <w:t>Currently the</w:t>
      </w:r>
    </w:p>
    <w:p>
      <w:pPr>
        <w:pStyle w:val="BodyText"/>
        <w:tabs>
          <w:tab w:val="left" w:pos="720" w:leader="none"/>
        </w:tabs>
        <w:spacing w:lineRule="auto" w:line="480"/>
        <w:rPr/>
      </w:pPr>
      <w:r>
        <w:rPr>
          <w:rFonts w:cs="CG Times" w:ascii="CG Times" w:hAnsi="CG Times"/>
          <w:sz w:val="24"/>
        </w:rPr>
        <w:tab/>
      </w:r>
      <w:r>
        <w:rPr>
          <w:rFonts w:cs="CG Times" w:ascii="CG Times" w:hAnsi="CG Times"/>
          <w:b/>
          <w:sz w:val="24"/>
          <w:u w:val="double"/>
        </w:rPr>
        <w:t>Current</w:t>
      </w:r>
      <w:r>
        <w:rPr>
          <w:rFonts w:cs="CG Times" w:ascii="CG Times" w:hAnsi="CG Times"/>
          <w:sz w:val="24"/>
        </w:rPr>
        <w:t xml:space="preserve"> installed </w:t>
      </w:r>
      <w:r>
        <w:rPr>
          <w:rFonts w:cs="CG Times" w:ascii="CG Times" w:hAnsi="CG Times"/>
          <w:strike/>
          <w:sz w:val="24"/>
        </w:rPr>
        <w:t>cost</w:t>
      </w:r>
      <w:r>
        <w:rPr>
          <w:rFonts w:cs="CG Times" w:ascii="CG Times" w:hAnsi="CG Times"/>
          <w:sz w:val="24"/>
        </w:rPr>
        <w:t xml:space="preserve"> </w:t>
      </w:r>
      <w:r>
        <w:rPr>
          <w:rFonts w:cs="CG Times" w:ascii="CG Times" w:hAnsi="CG Times"/>
          <w:b/>
          <w:sz w:val="24"/>
          <w:u w:val="double"/>
        </w:rPr>
        <w:t>costs</w:t>
      </w:r>
      <w:r>
        <w:rPr>
          <w:rFonts w:cs="CG Times" w:ascii="CG Times" w:hAnsi="CG Times"/>
          <w:sz w:val="24"/>
        </w:rPr>
        <w:t xml:space="preserve"> of </w:t>
      </w:r>
      <w:r>
        <w:rPr>
          <w:rFonts w:cs="CG Times" w:ascii="CG Times" w:hAnsi="CG Times"/>
          <w:strike/>
          <w:sz w:val="24"/>
        </w:rPr>
        <w:t>a</w:t>
      </w:r>
      <w:r>
        <w:rPr>
          <w:rFonts w:cs="CG Times" w:ascii="CG Times" w:hAnsi="CG Times"/>
          <w:sz w:val="24"/>
        </w:rPr>
        <w:t xml:space="preserve"> fuel </w:t>
      </w:r>
      <w:r>
        <w:rPr>
          <w:rFonts w:cs="CG Times" w:ascii="CG Times" w:hAnsi="CG Times"/>
          <w:strike/>
          <w:sz w:val="24"/>
        </w:rPr>
        <w:t>cell ranges</w:t>
      </w:r>
      <w:r>
        <w:rPr>
          <w:rFonts w:cs="CG Times" w:ascii="CG Times" w:hAnsi="CG Times"/>
          <w:sz w:val="24"/>
        </w:rPr>
        <w:t xml:space="preserve"> </w:t>
      </w:r>
      <w:r>
        <w:rPr>
          <w:rFonts w:cs="CG Times" w:ascii="CG Times" w:hAnsi="CG Times"/>
          <w:b/>
          <w:sz w:val="24"/>
          <w:u w:val="double"/>
        </w:rPr>
        <w:t>cells range</w:t>
      </w:r>
      <w:r>
        <w:rPr>
          <w:rFonts w:cs="CG Times" w:ascii="CG Times" w:hAnsi="CG Times"/>
          <w:sz w:val="24"/>
        </w:rPr>
        <w:t xml:space="preserve"> between </w:t>
      </w:r>
      <w:r>
        <w:rPr>
          <w:rFonts w:cs="CG Times" w:ascii="CG Times" w:hAnsi="CG Times"/>
          <w:strike/>
          <w:sz w:val="24"/>
        </w:rPr>
        <w:t>$4,000</w:t>
      </w:r>
      <w:r>
        <w:rPr>
          <w:rFonts w:cs="CG Times" w:ascii="CG Times" w:hAnsi="CG Times"/>
          <w:sz w:val="24"/>
        </w:rPr>
        <w:t xml:space="preserve"> </w:t>
      </w:r>
      <w:r>
        <w:rPr>
          <w:rFonts w:cs="CG Times" w:ascii="CG Times" w:hAnsi="CG Times"/>
          <w:b/>
          <w:sz w:val="24"/>
          <w:u w:val="double"/>
        </w:rPr>
        <w:t>$5,000</w:t>
      </w:r>
      <w:r>
        <w:rPr>
          <w:rFonts w:cs="CG Times" w:ascii="CG Times" w:hAnsi="CG Times"/>
          <w:sz w:val="24"/>
        </w:rPr>
        <w:t xml:space="preserve"> and $6,000 per kilowatt.  While </w:t>
      </w:r>
      <w:r>
        <w:rPr>
          <w:rFonts w:cs="CG Times" w:ascii="CG Times" w:hAnsi="CG Times"/>
          <w:strike/>
          <w:sz w:val="24"/>
        </w:rPr>
        <w:t>the</w:t>
      </w:r>
      <w:r>
        <w:rPr>
          <w:rFonts w:cs="CG Times" w:ascii="CG Times" w:hAnsi="CG Times"/>
          <w:sz w:val="24"/>
        </w:rPr>
        <w:t xml:space="preserve"> </w:t>
      </w:r>
      <w:r>
        <w:rPr>
          <w:rFonts w:cs="CG Times" w:ascii="CG Times" w:hAnsi="CG Times"/>
          <w:b/>
          <w:sz w:val="24"/>
          <w:u w:val="double"/>
        </w:rPr>
        <w:t>fuel cell</w:t>
      </w:r>
      <w:r>
        <w:rPr>
          <w:rFonts w:cs="CG Times" w:ascii="CG Times" w:hAnsi="CG Times"/>
          <w:sz w:val="24"/>
        </w:rPr>
        <w:t xml:space="preserve"> technology is proven and reliable, manufacturers have not been able to achieve economic commercialization due to the high capital expenditures required to build up their manufacturing process without sufficient unit purchase orders to support those expenditures.</w:t>
      </w:r>
    </w:p>
    <w:p>
      <w:pPr>
        <w:pStyle w:val="BodyText"/>
        <w:tabs>
          <w:tab w:val="left" w:pos="720" w:leader="none"/>
        </w:tabs>
        <w:spacing w:lineRule="auto" w:line="480"/>
        <w:rPr>
          <w:rFonts w:ascii="CG Times" w:hAnsi="CG Times" w:cs="CG Times"/>
          <w:sz w:val="24"/>
        </w:rPr>
      </w:pPr>
      <w:r>
        <w:rPr>
          <w:rFonts w:cs="CG Times" w:ascii="CG Times" w:hAnsi="CG Times"/>
          <w:sz w:val="24"/>
        </w:rPr>
        <w:tab/>
        <w:t xml:space="preserve">This 50 MW order sufficiently supports the manufacturing investment required to automate and develop economies of scale associated with volume manufacturing and to </w:t>
      </w:r>
      <w:r>
        <w:rPr>
          <w:rFonts w:cs="CG Times" w:ascii="CG Times" w:hAnsi="CG Times"/>
          <w:strike/>
          <w:sz w:val="24"/>
        </w:rPr>
        <w:t>continue</w:t>
      </w:r>
      <w:r>
        <w:rPr>
          <w:rFonts w:cs="CG Times" w:ascii="CG Times" w:hAnsi="CG Times"/>
          <w:sz w:val="24"/>
        </w:rPr>
        <w:t xml:space="preserve"> </w:t>
      </w:r>
      <w:r>
        <w:rPr>
          <w:rFonts w:cs="CG Times" w:ascii="CG Times" w:hAnsi="CG Times"/>
          <w:b/>
          <w:sz w:val="24"/>
          <w:u w:val="double"/>
        </w:rPr>
        <w:t>begin</w:t>
      </w:r>
      <w:r>
        <w:rPr>
          <w:rFonts w:cs="CG Times" w:ascii="CG Times" w:hAnsi="CG Times"/>
          <w:sz w:val="24"/>
        </w:rPr>
        <w:t xml:space="preserve"> the commercialization of fuel cells as a viable and economical power supply.  </w:t>
      </w:r>
      <w:r>
        <w:rPr>
          <w:rFonts w:cs="CG Times" w:ascii="CG Times" w:hAnsi="CG Times"/>
          <w:strike/>
          <w:sz w:val="24"/>
        </w:rPr>
        <w:t>This project will dramatically lower the capital costs of fuel cells, thereby opening many new markets for the fuel cell manufacturer.</w:t>
      </w:r>
      <w:r>
        <w:rPr>
          <w:rFonts w:cs="CG Times" w:ascii="CG Times" w:hAnsi="CG Times"/>
          <w:sz w:val="24"/>
        </w:rPr>
        <w:t xml:space="preserve"> The average installed cost for all 22 units in this 50 MW installation is </w:t>
      </w:r>
      <w:r>
        <w:rPr>
          <w:rFonts w:cs="CG Times" w:ascii="CG Times" w:hAnsi="CG Times"/>
          <w:b/>
          <w:sz w:val="24"/>
          <w:u w:val="double"/>
        </w:rPr>
        <w:t>approximately</w:t>
      </w:r>
      <w:r>
        <w:rPr>
          <w:rFonts w:cs="CG Times" w:ascii="CG Times" w:hAnsi="CG Times"/>
          <w:sz w:val="24"/>
        </w:rPr>
        <w:t xml:space="preserve"> $3,725 </w:t>
      </w:r>
      <w:r>
        <w:rPr>
          <w:rFonts w:cs="CG Times" w:ascii="CG Times" w:hAnsi="CG Times"/>
          <w:strike/>
          <w:sz w:val="24"/>
        </w:rPr>
        <w:t>per kilowatt. The first unit costs $5,252</w:t>
      </w:r>
      <w:r>
        <w:rPr>
          <w:rFonts w:cs="CG Times" w:ascii="CG Times" w:hAnsi="CG Times"/>
          <w:sz w:val="24"/>
        </w:rPr>
        <w:t xml:space="preserve"> per kilowatt.  </w:t>
      </w:r>
      <w:r>
        <w:rPr>
          <w:rFonts w:cs="CG Times" w:ascii="CG Times" w:hAnsi="CG Times"/>
          <w:sz w:val="24"/>
          <w:u w:val="single"/>
        </w:rPr>
        <w:t>See</w:t>
      </w:r>
      <w:r>
        <w:rPr>
          <w:rFonts w:cs="CG Times" w:ascii="CG Times" w:hAnsi="CG Times"/>
          <w:sz w:val="24"/>
        </w:rPr>
        <w:t xml:space="preserve">, </w:t>
      </w:r>
      <w:r>
        <w:rPr>
          <w:rFonts w:cs="CG Times" w:ascii="CG Times" w:hAnsi="CG Times"/>
          <w:strike/>
          <w:sz w:val="24"/>
        </w:rPr>
        <w:t>Attachment A</w:t>
      </w:r>
      <w:r>
        <w:rPr>
          <w:rFonts w:cs="CG Times" w:ascii="CG Times" w:hAnsi="CG Times"/>
          <w:sz w:val="24"/>
        </w:rPr>
        <w:t xml:space="preserve"> </w:t>
      </w:r>
      <w:r>
        <w:rPr>
          <w:rFonts w:cs="CG Times" w:ascii="CG Times" w:hAnsi="CG Times"/>
          <w:b/>
          <w:sz w:val="24"/>
          <w:u w:val="double"/>
        </w:rPr>
        <w:t>Exhibit B</w:t>
      </w:r>
      <w:r>
        <w:rPr>
          <w:rFonts w:cs="CG Times" w:ascii="CG Times" w:hAnsi="CG Times"/>
          <w:sz w:val="24"/>
        </w:rPr>
        <w:t xml:space="preserve"> filed under Protective Order.</w:t>
        <w:tab/>
      </w:r>
      <w:r>
        <w:rPr>
          <w:rFonts w:cs="CG Times" w:ascii="CG Times" w:hAnsi="CG Times"/>
          <w:strike/>
          <w:sz w:val="24"/>
        </w:rPr>
        <w:t>Thus, the project will itself drive down the capital costs for these units by some 30%.</w:t>
      </w:r>
    </w:p>
    <w:p>
      <w:pPr>
        <w:pStyle w:val="BodyText"/>
        <w:tabs>
          <w:tab w:val="left" w:pos="720" w:leader="none"/>
        </w:tabs>
        <w:spacing w:lineRule="auto" w:line="480"/>
        <w:rPr>
          <w:rFonts w:ascii="CG Times" w:hAnsi="CG Times" w:cs="CG Times"/>
          <w:sz w:val="24"/>
        </w:rPr>
      </w:pPr>
      <w:r>
        <w:rPr>
          <w:rFonts w:cs="CG Times" w:ascii="CG Times" w:hAnsi="CG Times"/>
          <w:sz w:val="24"/>
        </w:rPr>
        <w:tab/>
        <w:t>2. Funding of total cost of market transformation initiative</w:t>
      </w:r>
    </w:p>
    <w:p>
      <w:pPr>
        <w:pStyle w:val="BodyText"/>
        <w:tabs>
          <w:tab w:val="left" w:pos="720" w:leader="none"/>
        </w:tabs>
        <w:spacing w:lineRule="auto" w:line="480"/>
        <w:rPr/>
      </w:pPr>
      <w:r>
        <w:rPr>
          <w:rFonts w:cs="CG Times" w:ascii="CG Times" w:hAnsi="CG Times"/>
          <w:sz w:val="24"/>
        </w:rPr>
        <w:tab/>
        <w:t xml:space="preserve">The expected </w:t>
      </w:r>
      <w:r>
        <w:rPr>
          <w:rFonts w:cs="CG Times" w:ascii="CG Times" w:hAnsi="CG Times"/>
          <w:b/>
          <w:sz w:val="24"/>
          <w:u w:val="double"/>
        </w:rPr>
        <w:t>total</w:t>
      </w:r>
      <w:r>
        <w:rPr>
          <w:rFonts w:cs="CG Times" w:ascii="CG Times" w:hAnsi="CG Times"/>
          <w:sz w:val="24"/>
        </w:rPr>
        <w:t xml:space="preserve"> installed cost of the </w:t>
      </w:r>
      <w:r>
        <w:rPr>
          <w:rFonts w:cs="CG Times" w:ascii="CG Times" w:hAnsi="CG Times"/>
          <w:strike/>
          <w:sz w:val="24"/>
        </w:rPr>
        <w:t>capital costs of this</w:t>
      </w:r>
      <w:r>
        <w:rPr>
          <w:rFonts w:cs="CG Times" w:ascii="CG Times" w:hAnsi="CG Times"/>
          <w:sz w:val="24"/>
        </w:rPr>
        <w:t xml:space="preserve"> market transformation initiative is approximately $187,000,000.  </w:t>
      </w:r>
      <w:r>
        <w:rPr>
          <w:rFonts w:cs="CG Times" w:ascii="CG Times" w:hAnsi="CG Times"/>
          <w:b/>
          <w:sz w:val="24"/>
          <w:u w:val="double"/>
        </w:rPr>
        <w:t>See, Exhibit C.</w:t>
      </w:r>
      <w:r>
        <w:rPr>
          <w:rFonts w:cs="CG Times" w:ascii="CG Times" w:hAnsi="CG Times"/>
          <w:sz w:val="24"/>
        </w:rPr>
        <w:t xml:space="preserve">  Funding for the market transformation initiative will come from the Energy Conservation and Load Management Fund established pursuant to Conn. Gen. Stat. § 16-245m(b). </w:t>
      </w:r>
      <w:r>
        <w:rPr>
          <w:rFonts w:cs="CG Times" w:ascii="CG Times" w:hAnsi="CG Times"/>
          <w:strike/>
          <w:sz w:val="24"/>
        </w:rPr>
        <w:t>Based on the strength of the Department's orders approving this project,</w:t>
      </w:r>
      <w:r>
        <w:rPr>
          <w:rFonts w:cs="CG Times" w:ascii="CG Times" w:hAnsi="CG Times"/>
          <w:sz w:val="24"/>
        </w:rPr>
        <w:t xml:space="preserve">  CRRA will issue bonds for the total amount of the market transformation initiative to allow the project to proceed immediately.  CRRA requests that the Department order CL&amp;P and UI to commit a portion of the Energy Conservation and Load Management Fund proceeds each year to pay back the bonds.  Three separate payment options are listed below.  </w:t>
      </w:r>
    </w:p>
    <w:p>
      <w:pPr>
        <w:pStyle w:val="BodyText"/>
        <w:tabs>
          <w:tab w:val="left" w:pos="720" w:leader="none"/>
        </w:tabs>
        <w:spacing w:lineRule="auto" w:line="480"/>
        <w:rPr/>
      </w:pPr>
      <w:r>
        <w:rPr>
          <w:rFonts w:cs="CG Times" w:ascii="CG Times" w:hAnsi="CG Times"/>
          <w:sz w:val="24"/>
        </w:rPr>
        <w:tab/>
        <w:t xml:space="preserve">The ten-year repayment schedule has a minimal impact on the plans of CL&amp;P and UI to utilize the balance of the Energy Conservation and Load Management Fund proceeds for additional conservation and load management programs.  Under this proposal, of the $1 billion dollars projected to be collected from the Energy Conservation and Load Management Fund over the next ten years, approximately 75% of the funds will remain available for other conservation and load management programs, including CL&amp;P and UI conservation and load management plans.  CRRA respectfully submits that, of all the projects included in the 2000 C&amp;LM Plans, this fuel </w:t>
      </w:r>
      <w:r>
        <w:rPr>
          <w:rFonts w:cs="CG Times" w:ascii="CG Times" w:hAnsi="CG Times"/>
          <w:b/>
          <w:sz w:val="24"/>
          <w:u w:val="double"/>
        </w:rPr>
        <w:t>cell</w:t>
      </w:r>
      <w:r>
        <w:rPr>
          <w:rFonts w:cs="CG Times" w:ascii="CG Times" w:hAnsi="CG Times"/>
          <w:sz w:val="24"/>
        </w:rPr>
        <w:t xml:space="preserve"> project </w:t>
      </w:r>
      <w:r>
        <w:rPr>
          <w:rFonts w:cs="CG Times" w:ascii="CG Times" w:hAnsi="CG Times"/>
          <w:strike/>
          <w:sz w:val="24"/>
        </w:rPr>
        <w:t>has the potential to make</w:t>
      </w:r>
      <w:r>
        <w:rPr>
          <w:rFonts w:cs="CG Times" w:ascii="CG Times" w:hAnsi="CG Times"/>
          <w:sz w:val="24"/>
        </w:rPr>
        <w:t xml:space="preserve"> </w:t>
      </w:r>
      <w:r>
        <w:rPr>
          <w:rFonts w:cs="CG Times" w:ascii="CG Times" w:hAnsi="CG Times"/>
          <w:b/>
          <w:sz w:val="24"/>
          <w:u w:val="double"/>
        </w:rPr>
        <w:t>makes</w:t>
      </w:r>
      <w:r>
        <w:rPr>
          <w:rFonts w:cs="CG Times" w:ascii="CG Times" w:hAnsi="CG Times"/>
          <w:sz w:val="24"/>
        </w:rPr>
        <w:t xml:space="preserve"> the most significant difference </w:t>
      </w:r>
      <w:r>
        <w:rPr>
          <w:rFonts w:cs="CG Times" w:ascii="CG Times" w:hAnsi="CG Times"/>
          <w:strike/>
          <w:sz w:val="24"/>
        </w:rPr>
        <w:t>by far</w:t>
      </w:r>
      <w:r>
        <w:rPr>
          <w:rFonts w:cs="CG Times" w:ascii="CG Times" w:hAnsi="CG Times"/>
          <w:sz w:val="24"/>
        </w:rPr>
        <w:t xml:space="preserve"> to our energy future.</w:t>
      </w:r>
    </w:p>
    <w:p>
      <w:pPr>
        <w:pStyle w:val="BodyText"/>
        <w:tabs>
          <w:tab w:val="left" w:pos="720" w:leader="none"/>
        </w:tabs>
        <w:spacing w:lineRule="auto" w:line="480"/>
        <w:rPr>
          <w:rFonts w:ascii="CG Times" w:hAnsi="CG Times" w:cs="CG Times"/>
          <w:sz w:val="24"/>
        </w:rPr>
      </w:pPr>
      <w:r>
        <w:rPr>
          <w:rFonts w:cs="CG Times" w:ascii="CG Times" w:hAnsi="CG Times"/>
          <w:sz w:val="24"/>
        </w:rPr>
      </w:r>
    </w:p>
    <w:tbl>
      <w:tblPr>
        <w:tblW w:w="7920" w:type="dxa"/>
        <w:jc w:val="start"/>
        <w:tblInd w:w="0" w:type="dxa"/>
        <w:tblLayout w:type="fixed"/>
        <w:tblCellMar>
          <w:top w:w="0" w:type="dxa"/>
          <w:start w:w="108" w:type="dxa"/>
          <w:bottom w:w="0" w:type="dxa"/>
          <w:end w:w="108" w:type="dxa"/>
        </w:tblCellMar>
      </w:tblPr>
      <w:tblGrid>
        <w:gridCol w:w="2304"/>
        <w:gridCol w:w="1872"/>
        <w:gridCol w:w="1872"/>
        <w:gridCol w:w="1872"/>
      </w:tblGrid>
      <w:tr>
        <w:trPr/>
        <w:tc>
          <w:tcPr>
            <w:tcW w:w="2304" w:type="dxa"/>
            <w:tcBorders/>
          </w:tcPr>
          <w:p>
            <w:pPr>
              <w:pStyle w:val="BodyText"/>
              <w:spacing w:lineRule="auto" w:line="480"/>
              <w:rPr>
                <w:rFonts w:ascii="CG Times" w:hAnsi="CG Times" w:cs="CG Times"/>
                <w:sz w:val="24"/>
              </w:rPr>
            </w:pPr>
            <w:r>
              <w:rPr>
                <w:rFonts w:cs="CG Times" w:ascii="CG Times" w:hAnsi="CG Times"/>
                <w:sz w:val="24"/>
              </w:rPr>
              <w:t>Repayment Period:</w:t>
            </w:r>
          </w:p>
        </w:tc>
        <w:tc>
          <w:tcPr>
            <w:tcW w:w="1872" w:type="dxa"/>
            <w:tcBorders/>
          </w:tcPr>
          <w:p>
            <w:pPr>
              <w:pStyle w:val="BodyText"/>
              <w:spacing w:lineRule="auto" w:line="480"/>
              <w:rPr>
                <w:rFonts w:ascii="CG Times" w:hAnsi="CG Times" w:cs="CG Times"/>
                <w:sz w:val="24"/>
              </w:rPr>
            </w:pPr>
            <w:r>
              <w:rPr>
                <w:rFonts w:cs="CG Times" w:ascii="CG Times" w:hAnsi="CG Times"/>
                <w:sz w:val="24"/>
              </w:rPr>
              <w:t>5 years</w:t>
            </w:r>
          </w:p>
        </w:tc>
        <w:tc>
          <w:tcPr>
            <w:tcW w:w="1872" w:type="dxa"/>
            <w:tcBorders/>
          </w:tcPr>
          <w:p>
            <w:pPr>
              <w:pStyle w:val="BodyText"/>
              <w:spacing w:lineRule="auto" w:line="480"/>
              <w:rPr>
                <w:rFonts w:ascii="CG Times" w:hAnsi="CG Times" w:cs="CG Times"/>
                <w:sz w:val="24"/>
              </w:rPr>
            </w:pPr>
            <w:r>
              <w:rPr>
                <w:rFonts w:cs="CG Times" w:ascii="CG Times" w:hAnsi="CG Times"/>
                <w:sz w:val="24"/>
              </w:rPr>
              <w:t>7 years</w:t>
            </w:r>
          </w:p>
        </w:tc>
        <w:tc>
          <w:tcPr>
            <w:tcW w:w="1872" w:type="dxa"/>
            <w:tcBorders>
              <w:top w:val="single" w:sz="6" w:space="0" w:color="000000"/>
              <w:start w:val="single" w:sz="6" w:space="0" w:color="000000"/>
              <w:end w:val="single" w:sz="6" w:space="0" w:color="000000"/>
            </w:tcBorders>
          </w:tcPr>
          <w:p>
            <w:pPr>
              <w:pStyle w:val="BodyText"/>
              <w:spacing w:lineRule="auto" w:line="480"/>
              <w:rPr>
                <w:rFonts w:ascii="CG Times" w:hAnsi="CG Times" w:cs="CG Times"/>
                <w:sz w:val="24"/>
              </w:rPr>
            </w:pPr>
            <w:r>
              <w:rPr>
                <w:rFonts w:cs="CG Times" w:ascii="CG Times" w:hAnsi="CG Times"/>
                <w:sz w:val="24"/>
              </w:rPr>
              <w:t>10 years</w:t>
            </w:r>
          </w:p>
        </w:tc>
      </w:tr>
      <w:tr>
        <w:trPr/>
        <w:tc>
          <w:tcPr>
            <w:tcW w:w="2304" w:type="dxa"/>
            <w:tcBorders/>
          </w:tcPr>
          <w:p>
            <w:pPr>
              <w:pStyle w:val="BodyText"/>
              <w:spacing w:lineRule="auto" w:line="480"/>
              <w:rPr>
                <w:rFonts w:ascii="CG Times" w:hAnsi="CG Times" w:cs="CG Times"/>
                <w:sz w:val="24"/>
              </w:rPr>
            </w:pPr>
            <w:r>
              <w:rPr>
                <w:rFonts w:cs="CG Times" w:ascii="CG Times" w:hAnsi="CG Times"/>
                <w:sz w:val="24"/>
              </w:rPr>
              <w:t>Payment per Year *:</w:t>
            </w:r>
          </w:p>
        </w:tc>
        <w:tc>
          <w:tcPr>
            <w:tcW w:w="1872" w:type="dxa"/>
            <w:tcBorders/>
          </w:tcPr>
          <w:p>
            <w:pPr>
              <w:pStyle w:val="BodyText"/>
              <w:spacing w:lineRule="auto" w:line="480"/>
              <w:rPr/>
            </w:pPr>
            <w:r>
              <w:rPr>
                <w:rFonts w:eastAsia="CG Times" w:cs="CG Times" w:ascii="CG Times" w:hAnsi="CG Times"/>
                <w:sz w:val="24"/>
              </w:rPr>
              <w:t xml:space="preserve"> </w:t>
            </w:r>
            <w:r>
              <w:rPr>
                <w:rFonts w:cs="CG Times" w:ascii="CG Times" w:hAnsi="CG Times"/>
                <w:strike/>
                <w:sz w:val="24"/>
              </w:rPr>
              <w:t>$45.0</w:t>
            </w:r>
            <w:r>
              <w:rPr>
                <w:rFonts w:cs="CG Times" w:ascii="CG Times" w:hAnsi="CG Times"/>
                <w:sz w:val="24"/>
              </w:rPr>
              <w:t xml:space="preserve"> </w:t>
            </w:r>
            <w:r>
              <w:rPr>
                <w:rFonts w:cs="CG Times" w:ascii="CG Times" w:hAnsi="CG Times"/>
                <w:b/>
                <w:sz w:val="24"/>
                <w:u w:val="double"/>
              </w:rPr>
              <w:t>$45.6</w:t>
            </w:r>
            <w:r>
              <w:rPr>
                <w:rFonts w:cs="CG Times" w:ascii="CG Times" w:hAnsi="CG Times"/>
                <w:sz w:val="24"/>
              </w:rPr>
              <w:t xml:space="preserve"> million</w:t>
            </w:r>
          </w:p>
        </w:tc>
        <w:tc>
          <w:tcPr>
            <w:tcW w:w="1872" w:type="dxa"/>
            <w:tcBorders/>
          </w:tcPr>
          <w:p>
            <w:pPr>
              <w:pStyle w:val="BodyText"/>
              <w:spacing w:lineRule="auto" w:line="480"/>
              <w:rPr/>
            </w:pPr>
            <w:r>
              <w:rPr>
                <w:rFonts w:eastAsia="CG Times" w:cs="CG Times" w:ascii="CG Times" w:hAnsi="CG Times"/>
                <w:sz w:val="24"/>
              </w:rPr>
              <w:t xml:space="preserve"> </w:t>
            </w:r>
            <w:r>
              <w:rPr>
                <w:rFonts w:cs="CG Times" w:ascii="CG Times" w:hAnsi="CG Times"/>
                <w:strike/>
                <w:sz w:val="24"/>
              </w:rPr>
              <w:t>$34.1</w:t>
            </w:r>
            <w:r>
              <w:rPr>
                <w:rFonts w:cs="CG Times" w:ascii="CG Times" w:hAnsi="CG Times"/>
                <w:sz w:val="24"/>
              </w:rPr>
              <w:t xml:space="preserve"> </w:t>
            </w:r>
            <w:r>
              <w:rPr>
                <w:rFonts w:cs="CG Times" w:ascii="CG Times" w:hAnsi="CG Times"/>
                <w:b/>
                <w:sz w:val="24"/>
                <w:u w:val="double"/>
              </w:rPr>
              <w:t>$34.7</w:t>
            </w:r>
            <w:r>
              <w:rPr>
                <w:rFonts w:cs="CG Times" w:ascii="CG Times" w:hAnsi="CG Times"/>
                <w:sz w:val="24"/>
              </w:rPr>
              <w:t xml:space="preserve"> million</w:t>
            </w:r>
          </w:p>
        </w:tc>
        <w:tc>
          <w:tcPr>
            <w:tcW w:w="1872" w:type="dxa"/>
            <w:tcBorders>
              <w:start w:val="single" w:sz="6" w:space="0" w:color="000000"/>
              <w:bottom w:val="single" w:sz="6" w:space="0" w:color="000000"/>
              <w:end w:val="single" w:sz="6" w:space="0" w:color="000000"/>
            </w:tcBorders>
          </w:tcPr>
          <w:p>
            <w:pPr>
              <w:pStyle w:val="BodyText"/>
              <w:spacing w:lineRule="auto" w:line="480"/>
              <w:rPr/>
            </w:pPr>
            <w:r>
              <w:rPr>
                <w:rFonts w:eastAsia="CG Times" w:cs="CG Times" w:ascii="CG Times" w:hAnsi="CG Times"/>
                <w:sz w:val="24"/>
              </w:rPr>
              <w:t xml:space="preserve"> </w:t>
            </w:r>
            <w:r>
              <w:rPr>
                <w:rFonts w:cs="CG Times" w:ascii="CG Times" w:hAnsi="CG Times"/>
                <w:strike/>
                <w:sz w:val="24"/>
              </w:rPr>
              <w:t>$26.0</w:t>
            </w:r>
            <w:r>
              <w:rPr>
                <w:rFonts w:cs="CG Times" w:ascii="CG Times" w:hAnsi="CG Times"/>
                <w:sz w:val="24"/>
              </w:rPr>
              <w:t xml:space="preserve"> </w:t>
            </w:r>
            <w:r>
              <w:rPr>
                <w:rFonts w:cs="CG Times" w:ascii="CG Times" w:hAnsi="CG Times"/>
                <w:b/>
                <w:sz w:val="24"/>
                <w:u w:val="double"/>
              </w:rPr>
              <w:t>$26.6</w:t>
            </w:r>
            <w:r>
              <w:rPr>
                <w:rFonts w:cs="CG Times" w:ascii="CG Times" w:hAnsi="CG Times"/>
                <w:sz w:val="24"/>
              </w:rPr>
              <w:t xml:space="preserve"> million</w:t>
            </w:r>
          </w:p>
        </w:tc>
      </w:tr>
      <w:tr>
        <w:trPr/>
        <w:tc>
          <w:tcPr>
            <w:tcW w:w="4176" w:type="dxa"/>
            <w:gridSpan w:val="2"/>
            <w:tcBorders/>
          </w:tcPr>
          <w:p>
            <w:pPr>
              <w:pStyle w:val="BodyText"/>
              <w:spacing w:lineRule="auto" w:line="480"/>
              <w:rPr>
                <w:rFonts w:ascii="CG Times" w:hAnsi="CG Times" w:cs="CG Times"/>
                <w:b/>
                <w:sz w:val="24"/>
                <w:u w:val="double"/>
              </w:rPr>
            </w:pPr>
            <w:r>
              <w:rPr>
                <w:rFonts w:cs="CG Times" w:ascii="CG Times" w:hAnsi="CG Times"/>
                <w:i/>
                <w:sz w:val="24"/>
              </w:rPr>
              <w:t xml:space="preserve">*Assumed interest rate of </w:t>
            </w:r>
            <w:r>
              <w:rPr>
                <w:rFonts w:cs="CG Times" w:ascii="CG Times" w:hAnsi="CG Times"/>
                <w:i/>
                <w:strike/>
                <w:sz w:val="24"/>
              </w:rPr>
              <w:t xml:space="preserve">6.5%    </w:t>
            </w:r>
            <w:r>
              <w:rPr>
                <w:rFonts w:cs="CG Times" w:ascii="CG Times" w:hAnsi="CG Times"/>
                <w:b/>
                <w:i/>
                <w:sz w:val="24"/>
                <w:u w:val="double"/>
              </w:rPr>
              <w:t>7%</w:t>
            </w:r>
          </w:p>
        </w:tc>
        <w:tc>
          <w:tcPr>
            <w:tcW w:w="1872" w:type="dxa"/>
            <w:tcBorders/>
          </w:tcPr>
          <w:p>
            <w:pPr>
              <w:pStyle w:val="BodyText"/>
              <w:snapToGrid w:val="false"/>
              <w:spacing w:lineRule="auto" w:line="480"/>
              <w:rPr>
                <w:rFonts w:ascii="CG Times" w:hAnsi="CG Times" w:cs="CG Times"/>
                <w:b/>
                <w:sz w:val="24"/>
                <w:u w:val="double"/>
              </w:rPr>
            </w:pPr>
            <w:r>
              <w:rPr>
                <w:rFonts w:cs="CG Times" w:ascii="CG Times" w:hAnsi="CG Times"/>
                <w:b/>
                <w:sz w:val="24"/>
                <w:u w:val="double"/>
              </w:rPr>
            </w:r>
          </w:p>
        </w:tc>
        <w:tc>
          <w:tcPr>
            <w:tcW w:w="1872" w:type="dxa"/>
            <w:tcBorders/>
          </w:tcPr>
          <w:p>
            <w:pPr>
              <w:pStyle w:val="BodyText"/>
              <w:snapToGrid w:val="false"/>
              <w:spacing w:lineRule="auto" w:line="480"/>
              <w:rPr>
                <w:rFonts w:ascii="CG Times" w:hAnsi="CG Times" w:cs="CG Times"/>
                <w:b/>
                <w:sz w:val="24"/>
                <w:u w:val="double"/>
              </w:rPr>
            </w:pPr>
            <w:r>
              <w:rPr>
                <w:rFonts w:cs="CG Times" w:ascii="CG Times" w:hAnsi="CG Times"/>
                <w:b/>
                <w:sz w:val="24"/>
                <w:u w:val="double"/>
              </w:rPr>
            </w:r>
          </w:p>
        </w:tc>
      </w:tr>
    </w:tbl>
    <w:p>
      <w:pPr>
        <w:pStyle w:val="BodyText"/>
        <w:tabs>
          <w:tab w:val="left" w:pos="720" w:leader="none"/>
        </w:tabs>
        <w:spacing w:lineRule="auto" w:line="480"/>
        <w:rPr>
          <w:rFonts w:ascii="CG Times" w:hAnsi="CG Times" w:cs="CG Times"/>
          <w:sz w:val="24"/>
        </w:rPr>
      </w:pPr>
      <w:r>
        <w:rPr>
          <w:rFonts w:cs="CG Times" w:ascii="CG Times" w:hAnsi="CG Times"/>
          <w:sz w:val="24"/>
        </w:rPr>
        <w:tab/>
      </w:r>
    </w:p>
    <w:p>
      <w:pPr>
        <w:pStyle w:val="BodyText"/>
        <w:tabs>
          <w:tab w:val="left" w:pos="720" w:leader="none"/>
        </w:tabs>
        <w:spacing w:lineRule="auto" w:line="480"/>
        <w:rPr>
          <w:rFonts w:ascii="CG Times" w:hAnsi="CG Times" w:cs="CG Times"/>
          <w:sz w:val="24"/>
        </w:rPr>
      </w:pPr>
      <w:r>
        <w:rPr>
          <w:rFonts w:cs="CG Times" w:ascii="CG Times" w:hAnsi="CG Times"/>
          <w:strike/>
          <w:sz w:val="24"/>
        </w:rPr>
        <w:t>If</w:t>
      </w:r>
    </w:p>
    <w:p>
      <w:pPr>
        <w:pStyle w:val="BodyText"/>
        <w:tabs>
          <w:tab w:val="left" w:pos="720" w:leader="none"/>
        </w:tabs>
        <w:spacing w:lineRule="auto" w:line="480"/>
        <w:rPr/>
      </w:pPr>
      <w:r>
        <w:rPr>
          <w:rFonts w:cs="CG Times" w:ascii="CG Times" w:hAnsi="CG Times"/>
          <w:sz w:val="24"/>
        </w:rPr>
        <w:tab/>
      </w:r>
      <w:r>
        <w:rPr>
          <w:rFonts w:cs="CG Times" w:ascii="CG Times" w:hAnsi="CG Times"/>
          <w:b/>
          <w:sz w:val="24"/>
          <w:u w:val="double"/>
        </w:rPr>
        <w:t>The market transformation initiative has been carefully designed to protect the financial interests of the State of Connecticut and its citizens. For example, if</w:t>
      </w:r>
      <w:r>
        <w:rPr>
          <w:rFonts w:cs="CG Times" w:ascii="CG Times" w:hAnsi="CG Times"/>
          <w:sz w:val="24"/>
        </w:rPr>
        <w:t xml:space="preserve"> the final capital costs of the market transformation initiative turn out to be below the projected budget, </w:t>
      </w:r>
      <w:r>
        <w:rPr>
          <w:rFonts w:cs="CG Times" w:ascii="CG Times" w:hAnsi="CG Times"/>
          <w:strike/>
          <w:sz w:val="24"/>
        </w:rPr>
        <w:t>the remainder of the</w:t>
      </w:r>
      <w:r>
        <w:rPr>
          <w:rFonts w:cs="CG Times" w:ascii="CG Times" w:hAnsi="CG Times"/>
          <w:sz w:val="24"/>
        </w:rPr>
        <w:t xml:space="preserve"> </w:t>
      </w:r>
      <w:r>
        <w:rPr>
          <w:rFonts w:cs="CG Times" w:ascii="CG Times" w:hAnsi="CG Times"/>
          <w:b/>
          <w:sz w:val="24"/>
          <w:u w:val="double"/>
        </w:rPr>
        <w:t>any unused</w:t>
      </w:r>
      <w:r>
        <w:rPr>
          <w:rFonts w:cs="CG Times" w:ascii="CG Times" w:hAnsi="CG Times"/>
          <w:sz w:val="24"/>
        </w:rPr>
        <w:t xml:space="preserve"> funds will be returned to the Conservation and Load Management Fund.  </w:t>
      </w:r>
      <w:r>
        <w:rPr>
          <w:rFonts w:cs="CG Times" w:ascii="CG Times" w:hAnsi="CG Times"/>
          <w:b/>
          <w:sz w:val="24"/>
          <w:u w:val="double"/>
        </w:rPr>
        <w:t>In addition,</w:t>
      </w:r>
      <w:r>
        <w:rPr>
          <w:rFonts w:cs="CG Times" w:ascii="CG Times" w:hAnsi="CG Times"/>
          <w:sz w:val="24"/>
        </w:rPr>
        <w:t xml:space="preserve"> CRRA and the Project Developer will mitigate the </w:t>
      </w:r>
      <w:r>
        <w:rPr>
          <w:rFonts w:cs="CG Times" w:ascii="CG Times" w:hAnsi="CG Times"/>
          <w:b/>
          <w:sz w:val="24"/>
          <w:u w:val="double"/>
        </w:rPr>
        <w:t>technology and performance</w:t>
      </w:r>
      <w:r>
        <w:rPr>
          <w:rFonts w:cs="CG Times" w:ascii="CG Times" w:hAnsi="CG Times"/>
          <w:sz w:val="24"/>
        </w:rPr>
        <w:t xml:space="preserve"> risk of the investment </w:t>
      </w:r>
      <w:r>
        <w:rPr>
          <w:rFonts w:cs="CG Times" w:ascii="CG Times" w:hAnsi="CG Times"/>
          <w:strike/>
          <w:sz w:val="24"/>
        </w:rPr>
        <w:t>in order to protect the financial interests of the State and its citizens</w:t>
      </w:r>
      <w:r>
        <w:rPr>
          <w:rFonts w:cs="CG Times" w:ascii="CG Times" w:hAnsi="CG Times"/>
          <w:sz w:val="24"/>
        </w:rPr>
        <w:t xml:space="preserve"> </w:t>
      </w:r>
      <w:r>
        <w:rPr>
          <w:rFonts w:cs="CG Times" w:ascii="CG Times" w:hAnsi="CG Times"/>
          <w:b/>
          <w:sz w:val="24"/>
          <w:u w:val="double"/>
        </w:rPr>
        <w:t>through the requirement of an acceptance test</w:t>
      </w:r>
      <w:r>
        <w:rPr>
          <w:rFonts w:cs="CG Times" w:ascii="CG Times" w:hAnsi="CG Times"/>
          <w:sz w:val="24"/>
        </w:rPr>
        <w:t xml:space="preserve">.  If any individual fuel cell power plant fails to meet the minimum performance standards required </w:t>
      </w:r>
      <w:r>
        <w:rPr>
          <w:rFonts w:cs="CG Times" w:ascii="CG Times" w:hAnsi="CG Times"/>
          <w:strike/>
          <w:sz w:val="24"/>
        </w:rPr>
        <w:t>for</w:t>
      </w:r>
      <w:r>
        <w:rPr>
          <w:rFonts w:cs="CG Times" w:ascii="CG Times" w:hAnsi="CG Times"/>
          <w:sz w:val="24"/>
        </w:rPr>
        <w:t xml:space="preserve"> </w:t>
      </w:r>
      <w:r>
        <w:rPr>
          <w:rFonts w:cs="CG Times" w:ascii="CG Times" w:hAnsi="CG Times"/>
          <w:b/>
          <w:sz w:val="24"/>
          <w:u w:val="double"/>
        </w:rPr>
        <w:t>by this</w:t>
      </w:r>
      <w:r>
        <w:rPr>
          <w:rFonts w:cs="CG Times" w:ascii="CG Times" w:hAnsi="CG Times"/>
          <w:sz w:val="24"/>
        </w:rPr>
        <w:t xml:space="preserve"> acceptance </w:t>
      </w:r>
      <w:r>
        <w:rPr>
          <w:rFonts w:cs="CG Times" w:ascii="CG Times" w:hAnsi="CG Times"/>
          <w:b/>
          <w:sz w:val="24"/>
          <w:u w:val="double"/>
        </w:rPr>
        <w:t>test</w:t>
      </w:r>
      <w:r>
        <w:rPr>
          <w:rFonts w:cs="CG Times" w:ascii="CG Times" w:hAnsi="CG Times"/>
          <w:sz w:val="24"/>
        </w:rPr>
        <w:t>, the Project Developer will cause to be refunded the individual plant’s cost back to the Energy Conservation and Load Management Fund.</w:t>
      </w:r>
    </w:p>
    <w:p>
      <w:pPr>
        <w:pStyle w:val="BodyText"/>
        <w:tabs>
          <w:tab w:val="left" w:pos="720" w:leader="none"/>
        </w:tabs>
        <w:spacing w:lineRule="auto" w:line="480"/>
        <w:rPr>
          <w:rFonts w:ascii="CG Times" w:hAnsi="CG Times" w:cs="CG Times"/>
          <w:strike/>
          <w:sz w:val="24"/>
        </w:rPr>
      </w:pPr>
      <w:r>
        <w:rPr>
          <w:rFonts w:cs="CG Times" w:ascii="CG Times" w:hAnsi="CG Times"/>
          <w:strike/>
          <w:sz w:val="24"/>
        </w:rPr>
      </w:r>
    </w:p>
    <w:p>
      <w:pPr>
        <w:pStyle w:val="BodyText"/>
        <w:tabs>
          <w:tab w:val="left" w:pos="720" w:leader="none"/>
        </w:tabs>
        <w:spacing w:lineRule="auto" w:line="480"/>
        <w:rPr>
          <w:rFonts w:ascii="CG Times" w:hAnsi="CG Times" w:cs="CG Times"/>
          <w:sz w:val="24"/>
        </w:rPr>
      </w:pPr>
      <w:r>
        <w:rPr>
          <w:rFonts w:cs="CG Times" w:ascii="CG Times" w:hAnsi="CG Times"/>
          <w:strike/>
          <w:sz w:val="24"/>
        </w:rPr>
        <w:t>ADJUST for bond issuance cost before final. [what about permitting risks? Other risks?]</w:t>
      </w:r>
    </w:p>
    <w:p>
      <w:pPr>
        <w:pStyle w:val="BodyText"/>
        <w:tabs>
          <w:tab w:val="left" w:pos="720" w:leader="none"/>
        </w:tabs>
        <w:spacing w:lineRule="auto" w:line="480"/>
        <w:rPr>
          <w:rFonts w:ascii="CG Times" w:hAnsi="CG Times" w:cs="CG Times"/>
          <w:sz w:val="24"/>
        </w:rPr>
      </w:pPr>
      <w:r>
        <w:rPr>
          <w:rFonts w:cs="CG Times" w:ascii="CG Times" w:hAnsi="CG Times"/>
          <w:sz w:val="24"/>
        </w:rPr>
        <w:t>III.</w:t>
        <w:tab/>
        <w:t>STATUTORY BACKGROUND</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This project is well grounded in state statutes.  When the Legislature undertook the restructuring of the electric industry in 1998, it required that each licensed electric </w:t>
      </w:r>
      <w:r>
        <w:rPr>
          <w:strike/>
        </w:rPr>
        <w:t>suppliers</w:t>
      </w:r>
      <w:r>
        <w:rPr/>
        <w:t xml:space="preserve"> </w:t>
      </w:r>
      <w:r>
        <w:rPr>
          <w:b/>
          <w:u w:val="double"/>
        </w:rPr>
        <w:t>supplier</w:t>
      </w:r>
      <w:r>
        <w:rPr/>
        <w:t xml:space="preserve"> in the State of Connecticut include an increasing percentage of its portfolio from renewable energy sources, specifically defined by the legislature.  </w:t>
      </w:r>
      <w:r>
        <w:rPr>
          <w:u w:val="single"/>
        </w:rPr>
        <w:t>See</w:t>
      </w:r>
      <w:r>
        <w:rPr>
          <w:b/>
          <w:u w:val="double"/>
        </w:rPr>
        <w:t>,</w:t>
      </w:r>
      <w:r>
        <w:rPr/>
        <w:t xml:space="preserve"> Conn. Gen. Stat. § 16-245a.  The statute requires an escalating percentage of "Class I" renewable resources.  The only sources of Class I power are solar, wind, landfill methane, certain sustainable biomass, and fuel cells.  Conn. Gen. Stat. 16-1(a)(26).  The present Class I requirement (until July 1, 2001) applied to CL&amp;P's and UI's customer load is about </w:t>
      </w:r>
      <w:r>
        <w:rPr>
          <w:strike/>
        </w:rPr>
        <w:t>[</w:t>
      </w:r>
      <w:r>
        <w:rPr/>
        <w:t>30MW</w:t>
      </w:r>
      <w:r>
        <w:rPr>
          <w:strike/>
        </w:rPr>
        <w:t>]</w:t>
      </w:r>
      <w:r>
        <w:rPr/>
        <w:t xml:space="preserve">.  By July 1, 2004, </w:t>
      </w:r>
      <w:r>
        <w:rPr>
          <w:strike/>
        </w:rPr>
        <w:t>when the project will be complete, that number rises</w:t>
      </w:r>
      <w:r>
        <w:rPr/>
        <w:t xml:space="preserve"> </w:t>
      </w:r>
      <w:r>
        <w:rPr>
          <w:b/>
          <w:u w:val="double"/>
        </w:rPr>
        <w:t>the requirement increases</w:t>
      </w:r>
      <w:r>
        <w:rPr/>
        <w:t xml:space="preserve"> to 116 MW.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An electric supplier may satisfy this portfolio requirement by obtaining Class I renewables from the competitive </w:t>
      </w:r>
      <w:r>
        <w:rPr>
          <w:strike/>
        </w:rPr>
        <w:t>market place</w:t>
      </w:r>
      <w:r>
        <w:rPr/>
        <w:t xml:space="preserve"> </w:t>
      </w:r>
      <w:r>
        <w:rPr>
          <w:b/>
          <w:u w:val="double"/>
        </w:rPr>
        <w:t>marketplace</w:t>
      </w:r>
      <w:r>
        <w:rPr/>
        <w:t xml:space="preserve">.  </w:t>
      </w:r>
      <w:r>
        <w:rPr>
          <w:u w:val="single"/>
        </w:rPr>
        <w:t>See</w:t>
      </w:r>
      <w:r>
        <w:rPr/>
        <w:t xml:space="preserve"> Conn. Gen. Stat. § 16-245a(a).  Currently there is insufficient Class I renewable power available in the State of Connecticut to meet the demands of the portfolio requirement. </w:t>
      </w:r>
      <w:r>
        <w:rPr>
          <w:strike/>
        </w:rPr>
        <w:t>This shortage of Class I power has caused the Department to waive the renewable portfolio standard for standard offer power provided by CL&amp;P and UI to the vast majority of Connecticut's electric consumers [cite July 1999 decision is standard offer docket] and to waive, for two years, the Class I requirement for all electric suppliers. These rulings were both necessary and unfortunate. They were necessary because there is no available Class I generation in Connecticut that remotely approaches the required levels. They were unfortunate because the portfolio standards formed a crucial element of the restructuring legislation that caused the environmental community to support the legislation. To date, the state has not done a good job of keeping the environmental promises written into the restructuring legislation. This docket and this project will enable the state to follow through on these important environmental commitments.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 restructuring legislation sought to promote the efficient use of energy, to reduce air pollution and other negative environmental effects of power generation, to improve public health, and to promote economic development in Connecticut.  </w:t>
      </w:r>
      <w:r>
        <w:rPr>
          <w:u w:val="single"/>
        </w:rPr>
        <w:t>See</w:t>
      </w:r>
      <w:r>
        <w:rPr>
          <w:b/>
          <w:u w:val="double"/>
        </w:rPr>
        <w:t>,</w:t>
      </w:r>
      <w:r>
        <w:rPr/>
        <w:t xml:space="preserve"> Conn. Gen. Stat. 16-244.  The legislature specifically declared the importance of implementing conservation measures and using renewable energy resources.  </w:t>
      </w:r>
      <w:r>
        <w:rPr>
          <w:u w:val="single"/>
        </w:rPr>
        <w:t>See</w:t>
      </w:r>
      <w:r>
        <w:rPr>
          <w:b/>
          <w:u w:val="double"/>
        </w:rPr>
        <w:t>,</w:t>
      </w:r>
      <w:r>
        <w:rPr/>
        <w:t xml:space="preserve"> Conn. Gen. Stat. § 16-244(6).  To make these points concrete, the legislature established the renewable portfolio standard and created a specific funding mechanism for "Conservation and Load Management Programs" and "Market Transformation Initiatives".  </w:t>
      </w:r>
      <w:r>
        <w:rPr>
          <w:u w:val="single"/>
        </w:rPr>
        <w:t>See</w:t>
      </w:r>
      <w:r>
        <w:rPr>
          <w:b/>
          <w:u w:val="double"/>
        </w:rPr>
        <w:t>,</w:t>
      </w:r>
      <w:r>
        <w:rPr/>
        <w:t xml:space="preserve"> Conn. Gen. Stat. § 16-245m.</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On and after January 1, 2000 the Department must include a charge of three mills per kWh of electricity sold to each end use customer of an electric distribution company.  Receipts from this charge are held in an Energy Conservation and Load Management Fund.  Distributions from the Energy Conservation and Load Management Fund are made in accordance with a "comprehensive plan, which plan shall be approved by the Department …, to implement cost-effective energy conservation programs and market transformation initiatives."  Conn. Gen. Stat. § 16-245m(d).  </w:t>
      </w:r>
      <w:r>
        <w:rPr>
          <w:u w:val="single"/>
        </w:rPr>
        <w:t>See</w:t>
      </w:r>
      <w:r>
        <w:rPr/>
        <w:t xml:space="preserve"> </w:t>
      </w:r>
      <w:r>
        <w:rPr>
          <w:u w:val="single"/>
        </w:rPr>
        <w:t>also</w:t>
      </w:r>
      <w:r>
        <w:rPr>
          <w:b/>
          <w:u w:val="double"/>
        </w:rPr>
        <w:t>,</w:t>
      </w:r>
      <w:r>
        <w:rPr/>
        <w:t xml:space="preserve"> Conn. Gen. Stat. §16-245m(b).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Conservation and Load Management Programs are required to pass an annual cost effectiveness test.  Market Transformation Initiatives are under no such annual cost effectiveness testing requirement.  Conn. Gen. Stat. § 16-245m(d).  Additionally, the restructuring legislation promoted the development of in-state electric generating facilities "to ensure an adequate and reliable power supply within the state and ensure development of a truly competitive generation market."  Conn. Gen. Stat. § 16-244(7).</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 Restructuring Act was the latest chapter in Connecticut's long history of </w:t>
      </w:r>
      <w:r>
        <w:rPr>
          <w:strike/>
        </w:rPr>
        <w:t>progressive</w:t>
      </w:r>
      <w:r>
        <w:rPr/>
        <w:t xml:space="preserve"> </w:t>
      </w:r>
      <w:r>
        <w:rPr>
          <w:b/>
          <w:u w:val="double"/>
        </w:rPr>
        <w:t>evolving</w:t>
      </w:r>
      <w:r>
        <w:rPr/>
        <w:t xml:space="preserve"> energy policy.</w:t>
      </w:r>
      <w:r>
        <w:rPr>
          <w:rStyle w:val="FootnoteCharacters"/>
          <w:rStyle w:val="FootnoteReference"/>
        </w:rPr>
        <w:footnoteReference w:id="2"/>
      </w:r>
      <w:r>
        <w:rPr/>
        <w:t xml:space="preserve">  In the late 1970's, as a response to the lack of primary energy resources in the state, and the state's dependence on petroleum as an energy source, the State of Connecticut articulated its energy policy </w:t>
      </w:r>
      <w:r>
        <w:rPr>
          <w:strike/>
        </w:rPr>
        <w:t>to promote the development and use of renewable energy sources, such as fuel cell technology</w:t>
      </w:r>
      <w:r>
        <w:rPr/>
        <w:t xml:space="preserve">.  </w:t>
      </w:r>
      <w:r>
        <w:rPr>
          <w:u w:val="single"/>
        </w:rPr>
        <w:t>See</w:t>
      </w:r>
      <w:r>
        <w:rPr/>
        <w:t xml:space="preserve">, Conn. Gen. Stat. § 16a-35k.  </w:t>
      </w:r>
      <w:r>
        <w:rPr>
          <w:b/>
          <w:u w:val="double"/>
        </w:rPr>
        <w:t>The State is committed to an energy policy which promotes the development and use of renewable energy sources, such as fuel cell technology</w:t>
      </w:r>
      <w:r>
        <w:rPr>
          <w:rStyle w:val="FootnoteCharacters"/>
          <w:rStyle w:val="FootnoteReference"/>
        </w:rPr>
        <w:footnoteReference w:id="3"/>
      </w:r>
      <w:r>
        <w:rPr>
          <w:b/>
          <w:u w:val="double"/>
        </w:rPr>
        <w:t>.</w:t>
      </w:r>
      <w:r>
        <w:rPr/>
        <w:t xml:space="preserve">  The energy policy itself is </w:t>
      </w:r>
      <w:r>
        <w:rPr>
          <w:strike/>
        </w:rPr>
        <w:t>broken</w:t>
      </w:r>
      <w:r>
        <w:rPr/>
        <w:t xml:space="preserve"> </w:t>
      </w:r>
      <w:r>
        <w:rPr>
          <w:b/>
          <w:u w:val="double"/>
        </w:rPr>
        <w:t>divided</w:t>
      </w:r>
      <w:r>
        <w:rPr/>
        <w:t xml:space="preserve"> into nine enumerated goals</w:t>
      </w:r>
      <w:r>
        <w:rPr>
          <w:rStyle w:val="FootnoteCharacters"/>
          <w:rStyle w:val="FootnoteReference"/>
        </w:rPr>
        <w:footnoteReference w:id="4"/>
      </w:r>
      <w:r>
        <w:rPr/>
        <w:t xml:space="preserve">, including development of renewable energy resources </w:t>
      </w:r>
      <w:r>
        <w:rPr>
          <w:strike/>
        </w:rPr>
        <w:t>and</w:t>
      </w:r>
      <w:r>
        <w:rPr>
          <w:b/>
          <w:u w:val="double"/>
        </w:rPr>
        <w:t>,</w:t>
      </w:r>
      <w:r>
        <w:rPr/>
        <w:t xml:space="preserve"> the diversification of the state's energy supply mix</w:t>
      </w:r>
      <w:r>
        <w:rPr>
          <w:b/>
          <w:u w:val="double"/>
        </w:rPr>
        <w:t>, and preference for conservation and load management capacity additions</w:t>
      </w:r>
      <w:r>
        <w:rPr/>
        <w:t>.</w:t>
      </w:r>
      <w:r>
        <w:rPr>
          <w:rStyle w:val="FootnoteCharacters"/>
          <w:rStyle w:val="FootnoteReference"/>
        </w:rPr>
        <w:footnoteReference w:id="5"/>
      </w:r>
      <w:r>
        <w:rPr/>
        <w:t xml:space="preser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The state is required to " . . . seek all possible ways to implement this [energy] policy," and to "use all possible means . . . to improve and coordinate the plans, functions, programs and resources of the state to attain the objectives [of the energy policy]."  Conn. Gen. Stat. §16a-35k.  Further, the Department is required by statute to annually consult with the Commissioner of Environmental Protection, the Connecticut Siting Council and the Office of Policy and Management in order to coordinate actions consistent with the state's energy policy.</w:t>
      </w:r>
      <w:r>
        <w:rPr>
          <w:rStyle w:val="FootnoteCharacters"/>
          <w:rStyle w:val="FootnoteReference"/>
        </w:rPr>
        <w:footnoteReference w:id="6"/>
      </w:r>
      <w:r>
        <w:rPr/>
        <w:t xml:space="preserve">  In doing so, the Department must, "tak[e] into account prudent management of the natural environment and continued promotion of economic development within the state."  Conn. Gen. Stat. § 16-19e(c).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CRRA's fuel cell project resonates with each of these important legislative goals.  It will put the energy policy vision of the legislature into action.</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IV.</w:t>
        <w:tab/>
        <w:t>COMPLIANCE WITH STATUTORY REQUIREMENTS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A.</w:t>
        <w:tab/>
        <w:t>Policy Benefits of Market Transformation Initiative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CRRA's proposal meets the goals of both the Electric Restructuring Act and the State of Connecticut's energy policy.  With regard to the Electric Restructuring Act's goals, the CRRA proposal constructs in-state electric generating facilities which will help to ensure an adequate and reliable Class I renewable power supply and the development of a truly competitive retail electricity market within the state.  In keeping with the state's energy policy this proposal will increase energy supply in a manner which has low environmental impact, while directly promoting the economic development of Connecticut businesses.</w:t>
      </w:r>
      <w:r>
        <w:rPr>
          <w:b/>
          <w:u w:val="double"/>
        </w:rPr>
        <w:t xml:space="preserve">  The fuel cell project will diversify the state's energy supply mix by creating a renewable energy resource.</w:t>
      </w:r>
      <w:r>
        <w:rPr/>
        <w:t xml:space="preserve">  Finally, fuel cell technology consumes energy resources in a very efficient manner while yielding highly reliable output.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start="720" w:end="0"/>
        <w:rPr/>
      </w:pPr>
      <w:r>
        <w:rPr/>
        <w:t>B.</w:t>
        <w:tab/>
        <w:t>Conservation and Efficiency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start="720" w:end="0"/>
        <w:rPr/>
      </w:pPr>
      <w:r>
        <w:rPr>
          <w:rFonts w:eastAsia="CG Times"/>
        </w:rPr>
        <w:t xml:space="preserve"> </w:t>
      </w:r>
      <w:r>
        <w:rPr>
          <w:strike/>
        </w:rPr>
        <w:t>Although fuel cells are widely recognized as one of the most environmentally benign sources of electricity, they are also more efficient converters of fuel into electricity than current gas turbines. A state of the art combined cycle combustion turbine technology has an efficiency rate of X%</w:t>
      </w:r>
    </w:p>
    <w:p>
      <w:pPr>
        <w:pStyle w:val="BodyText"/>
        <w:tabs>
          <w:tab w:val="left" w:pos="720" w:leader="none"/>
        </w:tabs>
        <w:spacing w:lineRule="auto" w:line="480"/>
        <w:rPr>
          <w:rFonts w:ascii="CG Times" w:hAnsi="CG Times" w:cs="CG Times"/>
          <w:sz w:val="24"/>
        </w:rPr>
      </w:pPr>
      <w:r>
        <w:rPr>
          <w:rFonts w:cs="CG Times" w:ascii="CG Times" w:hAnsi="CG Times"/>
          <w:sz w:val="24"/>
        </w:rPr>
        <w:tab/>
      </w:r>
      <w:r>
        <w:rPr>
          <w:rFonts w:cs="CG Times" w:ascii="CG Times" w:hAnsi="CG Times"/>
          <w:b/>
          <w:sz w:val="24"/>
          <w:u w:val="double"/>
        </w:rPr>
        <w:t>Fuel cells are extremely efficient when compared to traditional fossil fuel burning power plants</w:t>
      </w:r>
      <w:r>
        <w:rPr>
          <w:rFonts w:cs="CG Times" w:ascii="CG Times" w:hAnsi="CG Times"/>
          <w:sz w:val="24"/>
        </w:rPr>
        <w:t xml:space="preserve">.  FuelCell Energy, Inc. expects its fuel cell modules to have a fuel conversion efficiency of approximately 50%.  </w:t>
      </w:r>
      <w:r>
        <w:rPr>
          <w:rFonts w:cs="CG Times" w:ascii="CG Times" w:hAnsi="CG Times"/>
          <w:strike/>
          <w:sz w:val="24"/>
        </w:rPr>
        <w:t xml:space="preserve">This means that FuelCell Energy, Inc.’s fuel cells process [xx]% less fuel to make an equivalent amount of electricity compared to the new fleet of gas turbines under construction. Moreover, the gas turbine efficiency rating can </w:t>
      </w:r>
      <w:r>
        <w:rPr>
          <w:rFonts w:cs="CG Times" w:ascii="CG Times" w:hAnsi="CG Times"/>
          <w:b/>
          <w:sz w:val="24"/>
          <w:u w:val="double"/>
        </w:rPr>
        <w:t>In comparison, other distributed generation technology such as diesel generators and microturbines have efficiency rates of approximately 30%.  Even state of the art combined cycle combustion turbine technology does not exceed the fuel cell efficiency rate.  Moreover, this combined cycle efficiency rate can only</w:t>
      </w:r>
      <w:r>
        <w:rPr>
          <w:rFonts w:cs="CG Times" w:ascii="CG Times" w:hAnsi="CG Times"/>
          <w:sz w:val="24"/>
        </w:rPr>
        <w:t xml:space="preserve"> be maintained </w:t>
      </w:r>
      <w:r>
        <w:rPr>
          <w:rFonts w:cs="CG Times" w:ascii="CG Times" w:hAnsi="CG Times"/>
          <w:strike/>
          <w:sz w:val="24"/>
        </w:rPr>
        <w:t>only</w:t>
      </w:r>
      <w:r>
        <w:rPr>
          <w:rFonts w:cs="CG Times" w:ascii="CG Times" w:hAnsi="CG Times"/>
          <w:sz w:val="24"/>
        </w:rPr>
        <w:t xml:space="preserve"> if the turbines are continually operating at </w:t>
      </w:r>
      <w:r>
        <w:rPr>
          <w:rFonts w:cs="CG Times" w:ascii="CG Times" w:hAnsi="CG Times"/>
          <w:strike/>
          <w:sz w:val="24"/>
        </w:rPr>
        <w:t>100% of output. Any reduction in output</w:t>
      </w:r>
      <w:r>
        <w:rPr>
          <w:rFonts w:cs="CG Times" w:ascii="CG Times" w:hAnsi="CG Times"/>
          <w:sz w:val="24"/>
        </w:rPr>
        <w:t xml:space="preserve"> </w:t>
      </w:r>
      <w:r>
        <w:rPr>
          <w:rFonts w:cs="CG Times" w:ascii="CG Times" w:hAnsi="CG Times"/>
          <w:b/>
          <w:sz w:val="24"/>
          <w:u w:val="double"/>
        </w:rPr>
        <w:t>full capacity.  Operating at less than full capacity</w:t>
      </w:r>
      <w:r>
        <w:rPr>
          <w:rFonts w:cs="CG Times" w:ascii="CG Times" w:hAnsi="CG Times"/>
          <w:sz w:val="24"/>
        </w:rPr>
        <w:t xml:space="preserve"> results in a dramatic decrease in efficiency.  Fuel cells, in comparison, retain their high efficiency rating </w:t>
      </w:r>
      <w:r>
        <w:rPr>
          <w:rFonts w:cs="CG Times" w:ascii="CG Times" w:hAnsi="CG Times"/>
          <w:strike/>
          <w:sz w:val="24"/>
        </w:rPr>
        <w:t>far beyond the lowest operating levels of these combined cycle units. See, Attachment XX [Ozzie's emission chart].</w:t>
      </w:r>
      <w:r>
        <w:rPr>
          <w:rFonts w:cs="CG Times" w:ascii="CG Times" w:hAnsi="CG Times"/>
          <w:sz w:val="24"/>
        </w:rPr>
        <w:t xml:space="preserve"> </w:t>
      </w:r>
      <w:r>
        <w:rPr>
          <w:rFonts w:cs="CG Times" w:ascii="CG Times" w:hAnsi="CG Times"/>
          <w:b/>
          <w:sz w:val="24"/>
          <w:u w:val="double"/>
        </w:rPr>
        <w:t>even when operating at partial capacity.  See, Exhibit D</w:t>
      </w:r>
    </w:p>
    <w:p>
      <w:pPr>
        <w:pStyle w:val="BodyText"/>
        <w:tabs>
          <w:tab w:val="left" w:pos="720" w:leader="none"/>
        </w:tabs>
        <w:spacing w:lineRule="auto" w:line="480"/>
        <w:rPr/>
      </w:pPr>
      <w:r>
        <w:rPr/>
        <w:tab/>
      </w:r>
      <w:r>
        <w:rPr>
          <w:rFonts w:cs="CG Times" w:ascii="CG Times" w:hAnsi="CG Times"/>
          <w:sz w:val="24"/>
        </w:rPr>
        <w:t>While it is extremely important to conserve energy by using less electricity, as in the Conservation and Load Management Plans of CL&amp;P and UI, it is equally important to conserve energy resources by using less fuel to make electricity.  The combined opportunities of using less fuel to make electricity provided by CRRA's proposal, and conserving electricity through energy-efficient applications, maximize energy conservation and provide a cleaner environment.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w:t>
        <w:tab/>
        <w:t>Environmental Benefits</w:t>
      </w:r>
    </w:p>
    <w:p>
      <w:pPr>
        <w:pStyle w:val="BodyText"/>
        <w:tabs>
          <w:tab w:val="left" w:pos="720" w:leader="none"/>
        </w:tabs>
        <w:spacing w:lineRule="auto" w:line="480"/>
        <w:rPr/>
      </w:pPr>
      <w:r>
        <w:rPr>
          <w:rFonts w:cs="CG Times" w:ascii="CG Times" w:hAnsi="CG Times"/>
          <w:sz w:val="24"/>
        </w:rPr>
        <w:tab/>
        <w:t xml:space="preserve">Fuel cells were chosen over the other Class I resources for several reasons.  While all Class I energy resources provide environmentally benign power, it is impractical to reach the state's portfolio standards utilizing Class I resources other than fuel cells.  Solar and wind technologies are not geographically well suited for Connecticut.  Connecticut does not experience the intense sun and wind needed to make these technologies commercially practical.  Opportunities for power generated from landfill gas and </w:t>
      </w:r>
      <w:r>
        <w:rPr>
          <w:rFonts w:cs="CG Times" w:ascii="CG Times" w:hAnsi="CG Times"/>
          <w:strike/>
          <w:sz w:val="24"/>
        </w:rPr>
        <w:t>biomass</w:t>
      </w:r>
      <w:r>
        <w:rPr>
          <w:rFonts w:cs="CG Times" w:ascii="CG Times" w:hAnsi="CG Times"/>
          <w:sz w:val="24"/>
        </w:rPr>
        <w:t xml:space="preserve"> </w:t>
      </w:r>
      <w:r>
        <w:rPr>
          <w:rFonts w:cs="CG Times" w:ascii="CG Times" w:hAnsi="CG Times"/>
          <w:b/>
          <w:sz w:val="24"/>
          <w:u w:val="double"/>
        </w:rPr>
        <w:t>bio-mass</w:t>
      </w:r>
      <w:r>
        <w:rPr>
          <w:rFonts w:cs="CG Times" w:ascii="CG Times" w:hAnsi="CG Times"/>
          <w:sz w:val="24"/>
        </w:rPr>
        <w:t xml:space="preserve"> sources are limited by the waste disposal and forestry requirements in the state.  Unlike fuel cells, these other Class I renewable resources </w:t>
      </w:r>
      <w:r>
        <w:rPr>
          <w:rFonts w:cs="CG Times" w:ascii="CG Times" w:hAnsi="CG Times"/>
          <w:strike/>
          <w:sz w:val="24"/>
        </w:rPr>
        <w:t>could</w:t>
      </w:r>
      <w:r>
        <w:rPr>
          <w:rFonts w:cs="CG Times" w:ascii="CG Times" w:hAnsi="CG Times"/>
          <w:sz w:val="24"/>
        </w:rPr>
        <w:t xml:space="preserve"> face local siting difficulties.  Fuel cells are the clear choice to develop Class I renewable power resources in the state of Connecticut. </w:t>
      </w:r>
    </w:p>
    <w:p>
      <w:pPr>
        <w:pStyle w:val="BodyText"/>
        <w:tabs>
          <w:tab w:val="left" w:pos="720" w:leader="none"/>
        </w:tabs>
        <w:spacing w:lineRule="auto" w:line="480"/>
        <w:rPr/>
      </w:pPr>
      <w:r>
        <w:rPr>
          <w:rFonts w:cs="CG Times" w:ascii="CG Times" w:hAnsi="CG Times"/>
          <w:sz w:val="24"/>
        </w:rPr>
        <w:tab/>
        <w:t xml:space="preserve">Further, fuel cells have extremely low emissions.  A fuel cell is much cleaner when compared to even the cleanest fossil fuel generation technology.  For example, a combined cycle plant utilizing "Best Available Control Technology" will emit </w:t>
      </w:r>
      <w:r>
        <w:rPr>
          <w:rFonts w:cs="CG Times" w:ascii="CG Times" w:hAnsi="CG Times"/>
          <w:strike/>
          <w:sz w:val="24"/>
        </w:rPr>
        <w:t xml:space="preserve">nine ppm of NOx . </w:t>
      </w:r>
      <w:r>
        <w:rPr>
          <w:rFonts w:cs="CG Times" w:ascii="CG Times" w:hAnsi="CG Times"/>
          <w:b/>
          <w:sz w:val="24"/>
          <w:u w:val="double"/>
        </w:rPr>
        <w:t>2.5 ppm of NO</w:t>
      </w:r>
      <w:r>
        <w:rPr>
          <w:rFonts w:cs="CG Times" w:ascii="CG Times" w:hAnsi="CG Times"/>
          <w:b/>
          <w:sz w:val="24"/>
          <w:u w:val="double"/>
          <w:vertAlign w:val="subscript"/>
        </w:rPr>
        <w:t xml:space="preserve">x .  </w:t>
      </w:r>
      <w:r>
        <w:rPr>
          <w:rFonts w:cs="CG Times" w:ascii="CG Times" w:hAnsi="CG Times"/>
          <w:b/>
          <w:sz w:val="24"/>
          <w:u w:val="double"/>
        </w:rPr>
        <w:t>But achieving these NO</w:t>
      </w:r>
      <w:r>
        <w:rPr>
          <w:rFonts w:cs="CG Times" w:ascii="CG Times" w:hAnsi="CG Times"/>
          <w:b/>
          <w:sz w:val="24"/>
          <w:u w:val="double"/>
          <w:vertAlign w:val="subscript"/>
        </w:rPr>
        <w:t>x</w:t>
      </w:r>
      <w:r>
        <w:rPr>
          <w:rFonts w:cs="CG Times" w:ascii="CG Times" w:hAnsi="CG Times"/>
          <w:sz w:val="24"/>
        </w:rPr>
        <w:t xml:space="preserve"> </w:t>
      </w:r>
      <w:r>
        <w:rPr>
          <w:rFonts w:cs="CG Times" w:ascii="CG Times" w:hAnsi="CG Times"/>
          <w:b/>
          <w:sz w:val="24"/>
          <w:u w:val="double"/>
        </w:rPr>
        <w:t>levels requires the use of selective catalytic reduction causing the adverse environmental impact associated with attendant use and disposal of ammonia.</w:t>
      </w:r>
      <w:r>
        <w:rPr>
          <w:rFonts w:cs="CG Times" w:ascii="CG Times" w:hAnsi="CG Times"/>
          <w:sz w:val="24"/>
        </w:rPr>
        <w:t xml:space="preserve">  In comparison, a fuel cell will emit less than 0.1 ppm of NO</w:t>
      </w:r>
      <w:r>
        <w:rPr>
          <w:rFonts w:cs="CG Times" w:ascii="CG Times" w:hAnsi="CG Times"/>
          <w:sz w:val="24"/>
          <w:vertAlign w:val="subscript"/>
        </w:rPr>
        <w:t>x</w:t>
      </w:r>
      <w:r>
        <w:rPr>
          <w:rFonts w:cs="CG Times" w:ascii="CG Times" w:hAnsi="CG Times"/>
          <w:sz w:val="24"/>
        </w:rPr>
        <w:t>.  A similar comparison exists in regard to SO</w:t>
      </w:r>
      <w:r>
        <w:rPr>
          <w:rFonts w:cs="CG Times" w:ascii="CG Times" w:hAnsi="CG Times"/>
          <w:sz w:val="24"/>
          <w:vertAlign w:val="subscript"/>
        </w:rPr>
        <w:t>x</w:t>
      </w:r>
      <w:r>
        <w:rPr>
          <w:rFonts w:cs="CG Times" w:ascii="CG Times" w:hAnsi="CG Times"/>
          <w:sz w:val="24"/>
        </w:rPr>
        <w:t xml:space="preserve"> and CO.  (</w:t>
      </w:r>
      <w:r>
        <w:rPr>
          <w:rFonts w:cs="CG Times" w:ascii="CG Times" w:hAnsi="CG Times"/>
          <w:sz w:val="24"/>
          <w:u w:val="single"/>
        </w:rPr>
        <w:t>See,</w:t>
      </w:r>
      <w:r>
        <w:rPr>
          <w:rFonts w:cs="CG Times" w:ascii="CG Times" w:hAnsi="CG Times"/>
          <w:sz w:val="24"/>
        </w:rPr>
        <w:t xml:space="preserve"> </w:t>
      </w:r>
      <w:r>
        <w:rPr>
          <w:rFonts w:cs="CG Times" w:ascii="CG Times" w:hAnsi="CG Times"/>
          <w:strike/>
          <w:sz w:val="24"/>
        </w:rPr>
        <w:t>attachment XX). ADD stats</w:t>
      </w:r>
      <w:r>
        <w:rPr>
          <w:rFonts w:cs="CG Times" w:ascii="CG Times" w:hAnsi="CG Times"/>
          <w:sz w:val="24"/>
        </w:rPr>
        <w:t xml:space="preserve"> </w:t>
      </w:r>
      <w:r>
        <w:rPr>
          <w:rFonts w:cs="CG Times" w:ascii="CG Times" w:hAnsi="CG Times"/>
          <w:b/>
          <w:sz w:val="24"/>
          <w:u w:val="double"/>
        </w:rPr>
        <w:t>Exhibit E).</w:t>
      </w:r>
      <w:r>
        <w:rPr>
          <w:rFonts w:cs="CG Times" w:ascii="CG Times" w:hAnsi="CG Times"/>
          <w:sz w:val="24"/>
        </w:rPr>
        <w:t xml:space="preser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There are additional environmental impacts associated with the construction of a traditional generating facility which do not exist with fuel cell technology.  For example, a traditional power plant </w:t>
      </w:r>
      <w:r>
        <w:rPr>
          <w:strike/>
        </w:rPr>
        <w:t>would</w:t>
      </w:r>
      <w:r>
        <w:rPr/>
        <w:t xml:space="preserve"> </w:t>
      </w:r>
      <w:r>
        <w:rPr>
          <w:b/>
          <w:u w:val="double"/>
        </w:rPr>
        <w:t>may</w:t>
      </w:r>
      <w:r>
        <w:rPr/>
        <w:t xml:space="preserve"> require the construction of new transmission lines and natural gas pipeline expansions.  Because of these construction constraints, there </w:t>
      </w:r>
      <w:r>
        <w:rPr>
          <w:strike/>
        </w:rPr>
        <w:t>can be</w:t>
      </w:r>
      <w:r>
        <w:rPr/>
        <w:t xml:space="preserve"> </w:t>
      </w:r>
      <w:r>
        <w:rPr>
          <w:b/>
          <w:u w:val="double"/>
        </w:rPr>
        <w:t>is</w:t>
      </w:r>
      <w:r>
        <w:rPr/>
        <w:t xml:space="preserve"> public resistance to siting traditional power plants within local communities.  </w:t>
      </w:r>
      <w:r>
        <w:rPr>
          <w:strike/>
        </w:rPr>
        <w:t>Conversely</w:t>
      </w:r>
      <w:r>
        <w:rPr/>
        <w:t xml:space="preserve"> </w:t>
      </w:r>
      <w:r>
        <w:rPr>
          <w:b/>
          <w:u w:val="double"/>
        </w:rPr>
        <w:t>In comparison</w:t>
      </w:r>
      <w:r>
        <w:rPr/>
        <w:t xml:space="preserve">, a two MW fuel cell installation is unobtrusive.  The installation requires no towering stack, is extremely quiet, has </w:t>
      </w:r>
      <w:r>
        <w:rPr>
          <w:strike/>
        </w:rPr>
        <w:t>virtually no</w:t>
      </w:r>
      <w:r>
        <w:rPr/>
        <w:t xml:space="preserve"> </w:t>
      </w:r>
      <w:r>
        <w:rPr>
          <w:b/>
          <w:u w:val="double"/>
        </w:rPr>
        <w:t>very low</w:t>
      </w:r>
      <w:r>
        <w:rPr/>
        <w:t xml:space="preserve"> emissions, and only requires space the size of a tennis court.  </w:t>
      </w:r>
      <w:r>
        <w:rPr>
          <w:u w:val="single"/>
        </w:rPr>
        <w:t>See</w:t>
      </w:r>
      <w:r>
        <w:rPr>
          <w:b/>
          <w:u w:val="double"/>
        </w:rPr>
        <w:t>,</w:t>
      </w:r>
      <w:r>
        <w:rPr/>
        <w:t xml:space="preserve"> Exhibit </w:t>
      </w:r>
      <w:r>
        <w:rPr>
          <w:strike/>
        </w:rPr>
        <w:t>XX</w:t>
      </w:r>
      <w:r>
        <w:rPr/>
        <w:t xml:space="preserve"> </w:t>
      </w:r>
      <w:r>
        <w:rPr>
          <w:b/>
          <w:u w:val="double"/>
        </w:rPr>
        <w:t>F</w:t>
      </w:r>
      <w:r>
        <w:rPr/>
        <w:t xml:space="preserve"> (photo).  In contrast to the traditional generating facility, the fuel cell can use existing low pressure distribution gas lines for fuel supply, and can be interconnected into the distribution grid thereby reducing the need for construction of additional transmission lines.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Fonts w:eastAsia="CG Times"/>
        </w:rPr>
        <w:t xml:space="preserve"> </w:t>
      </w:r>
      <w:r>
        <w:rPr/>
        <w:tab/>
        <w:t>D.</w:t>
        <w:tab/>
        <w:t>Economic Development Benefits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Connecticut will immediately begin noticing the effects of this market transformation initiative.  The required manufacturing investment will necessitate many new manufacturing jobs.  To operate a manufacturing facility that produces 50 MW per year of fuel cells, FuelCell Energy, Inc. projects the need for an additional workforce of </w:t>
      </w:r>
      <w:r>
        <w:rPr>
          <w:strike/>
        </w:rPr>
        <w:t>approximately 200 people. This is a minimum projection which will increase as required by</w:t>
      </w:r>
      <w:r>
        <w:rPr/>
        <w:t xml:space="preserve"> </w:t>
      </w:r>
      <w:r>
        <w:rPr>
          <w:b/>
          <w:u w:val="double"/>
        </w:rPr>
        <w:t>over 100 people.  Additional workforce increases are to be expected with</w:t>
      </w:r>
      <w:r>
        <w:rPr/>
        <w:t xml:space="preserve"> expanding market demand </w:t>
      </w:r>
      <w:r>
        <w:rPr>
          <w:b/>
          <w:u w:val="double"/>
        </w:rPr>
        <w:t>for fuel cells</w:t>
      </w:r>
      <w:r>
        <w:rPr/>
        <w:t>.  With the addition of manufacturing jobs comes the addition of marketing, accounting, research and consulting jobs related to fuel cell technologies.  The creation of new enterprises and jobs will increase the state's tax base.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 order for 50 MWs of fuel cells promotes a market transformation initiative that transcends the state of Connecticut and reaches the global economy.  This initiative causes an investment in fuel cell manufacturing technology that allows for the development of higher quality products and economies of scale that will translate into more cost effective products for the market.  In response to lower costs, the market demand for fuel cells will increase, and Connecticut fuel cell manufacturers will be prepared to respond to the increased demand.  As Connecticut currently is home to several emerging fuel cell companies, the State is </w:t>
      </w:r>
      <w:r>
        <w:rPr>
          <w:b/>
          <w:u w:val="double"/>
        </w:rPr>
        <w:t>well</w:t>
      </w:r>
      <w:r>
        <w:rPr/>
        <w:t xml:space="preserve"> positioned to become the largest fuel cell manufacturing region in the world.</w:t>
      </w:r>
    </w:p>
    <w:p>
      <w:pPr>
        <w:pStyle w:val="BodyText"/>
        <w:tabs>
          <w:tab w:val="left" w:pos="720" w:leader="none"/>
        </w:tabs>
        <w:spacing w:lineRule="auto" w:line="480"/>
        <w:rPr>
          <w:rFonts w:ascii="CG Times" w:hAnsi="CG Times" w:cs="CG Times"/>
          <w:sz w:val="24"/>
        </w:rPr>
      </w:pPr>
      <w:r>
        <w:rPr>
          <w:rFonts w:cs="CG Times" w:ascii="CG Times" w:hAnsi="CG Times"/>
          <w:sz w:val="24"/>
        </w:rPr>
        <w:tab/>
        <w:t>E.</w:t>
        <w:tab/>
        <w:t xml:space="preserve">Cost Effectiveness of Conservation and Load Management Program.  </w:t>
      </w:r>
    </w:p>
    <w:p>
      <w:pPr>
        <w:pStyle w:val="BodyTextIndent"/>
        <w:tabs>
          <w:tab w:val="left" w:pos="720" w:leader="none"/>
        </w:tabs>
        <w:rPr/>
      </w:pPr>
      <w:r>
        <w:rPr>
          <w:rFonts w:cs="CG Times" w:ascii="CG Times" w:hAnsi="CG Times"/>
        </w:rPr>
        <w:tab/>
        <w:t xml:space="preserve">As a market transformation initiative, the fuel cell construction and installation is not required to undergo an annual cost effectiveness review.  </w:t>
      </w:r>
      <w:r>
        <w:rPr>
          <w:rFonts w:cs="CG Times" w:ascii="CG Times" w:hAnsi="CG Times"/>
          <w:u w:val="single"/>
        </w:rPr>
        <w:t>See</w:t>
      </w:r>
      <w:r>
        <w:rPr>
          <w:rFonts w:cs="CG Times" w:ascii="CG Times" w:hAnsi="CG Times"/>
        </w:rPr>
        <w:t xml:space="preserve">, Conn. Gen. Stat. § 16-245m.  However, the ongoing operation and management expenses of the conservation and load management program are required to pass cost effectiveness testing.  </w:t>
      </w:r>
    </w:p>
    <w:p>
      <w:pPr>
        <w:pStyle w:val="BodyTextIndent"/>
        <w:tabs>
          <w:tab w:val="left" w:pos="720" w:leader="none"/>
        </w:tabs>
        <w:rPr/>
      </w:pPr>
      <w:r>
        <w:rPr>
          <w:rFonts w:cs="CG Times" w:ascii="CG Times" w:hAnsi="CG Times"/>
        </w:rPr>
        <w:tab/>
        <w:t xml:space="preserve">The fuel cell farms will run on a cost effective basis.  The output of these fuel cell farms includes electric energy, ancillary services and a valuable premium for being Class I renewable power.  Energy and ancillary services will be dispatched by </w:t>
      </w:r>
      <w:r>
        <w:rPr>
          <w:rFonts w:cs="CG Times" w:ascii="CG Times" w:hAnsi="CG Times"/>
          <w:strike/>
        </w:rPr>
        <w:t>the</w:t>
      </w:r>
      <w:r>
        <w:rPr>
          <w:rFonts w:cs="CG Times" w:ascii="CG Times" w:hAnsi="CG Times"/>
        </w:rPr>
        <w:t xml:space="preserve"> ISO - New England </w:t>
      </w:r>
      <w:r>
        <w:rPr>
          <w:rFonts w:cs="CG Times" w:ascii="CG Times" w:hAnsi="CG Times"/>
          <w:strike/>
        </w:rPr>
        <w:t>Power Exchange [Pool?]</w:t>
      </w:r>
      <w:r>
        <w:rPr>
          <w:rFonts w:cs="CG Times" w:ascii="CG Times" w:hAnsi="CG Times"/>
        </w:rPr>
        <w:t xml:space="preserve">.  CRRA will produce and submit to </w:t>
      </w:r>
      <w:r>
        <w:rPr>
          <w:rFonts w:cs="CG Times" w:ascii="CG Times" w:hAnsi="CG Times"/>
          <w:strike/>
        </w:rPr>
        <w:t>the</w:t>
      </w:r>
      <w:r>
        <w:rPr>
          <w:rFonts w:cs="CG Times" w:ascii="CG Times" w:hAnsi="CG Times"/>
        </w:rPr>
        <w:t xml:space="preserve"> ISO - New England </w:t>
      </w:r>
      <w:r>
        <w:rPr>
          <w:rFonts w:cs="CG Times" w:ascii="CG Times" w:hAnsi="CG Times"/>
          <w:strike/>
        </w:rPr>
        <w:t>Power Exchange</w:t>
      </w:r>
      <w:r>
        <w:rPr>
          <w:rFonts w:cs="CG Times" w:ascii="CG Times" w:hAnsi="CG Times"/>
        </w:rPr>
        <w:t xml:space="preserve"> a dispatch schedule and bidding strategy that maximizes the value of the plants in the market.  Revenues from the sale of the plant’s electrical output will serve to offset the cost of fuel and operations.  Exhibit </w:t>
      </w:r>
      <w:r>
        <w:rPr>
          <w:rFonts w:cs="CG Times" w:ascii="CG Times" w:hAnsi="CG Times"/>
          <w:strike/>
        </w:rPr>
        <w:t>XX</w:t>
      </w:r>
      <w:r>
        <w:rPr>
          <w:rFonts w:cs="CG Times" w:ascii="CG Times" w:hAnsi="CG Times"/>
        </w:rPr>
        <w:t xml:space="preserve"> </w:t>
      </w:r>
      <w:r>
        <w:rPr>
          <w:rFonts w:cs="CG Times" w:ascii="CG Times" w:hAnsi="CG Times"/>
          <w:b/>
          <w:u w:val="double"/>
        </w:rPr>
        <w:t>G</w:t>
      </w:r>
      <w:r>
        <w:rPr>
          <w:rFonts w:cs="CG Times" w:ascii="CG Times" w:hAnsi="CG Times"/>
        </w:rPr>
        <w:t xml:space="preserve"> details a </w:t>
      </w:r>
      <w:r>
        <w:rPr>
          <w:rFonts w:cs="CG Times" w:ascii="CG Times" w:hAnsi="CG Times"/>
          <w:b/>
          <w:u w:val="double"/>
        </w:rPr>
        <w:t>five year</w:t>
      </w:r>
      <w:r>
        <w:rPr>
          <w:rFonts w:cs="CG Times" w:ascii="CG Times" w:hAnsi="CG Times"/>
        </w:rPr>
        <w:t xml:space="preserve"> pro forma analysis of the cost effectiveness of the facilities.  </w:t>
      </w:r>
    </w:p>
    <w:p>
      <w:pPr>
        <w:pStyle w:val="BodyText3"/>
        <w:tabs>
          <w:tab w:val="left" w:pos="720" w:leader="none"/>
        </w:tabs>
        <w:spacing w:lineRule="auto" w:line="480"/>
        <w:jc w:val="both"/>
        <w:rPr/>
      </w:pPr>
      <w:r>
        <w:rPr>
          <w:rFonts w:cs="CG Times" w:ascii="CG Times" w:hAnsi="CG Times"/>
        </w:rPr>
        <w:tab/>
        <w:t xml:space="preserve">Forecasts demonstrate that the fuel cell farms will operate net positive on a going forward basis even without the assignment of a premium as Class I renewable power.  The forecasts assume the average price of power is at the present weighted average standard offer rate for CL&amp;P and UI, and the cost of fuel averages $4.20/mmBtu </w:t>
      </w:r>
      <w:r>
        <w:rPr>
          <w:rFonts w:cs="CG Times" w:ascii="CG Times" w:hAnsi="CG Times"/>
          <w:b/>
          <w:u w:val="double"/>
        </w:rPr>
        <w:t>for the five year forecast period</w:t>
      </w:r>
      <w:r>
        <w:rPr>
          <w:rFonts w:cs="CG Times" w:ascii="CG Times" w:hAnsi="CG Times"/>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s>
        <w:spacing w:lineRule="auto" w:line="480"/>
        <w:jc w:val="both"/>
        <w:rPr/>
      </w:pPr>
      <w:r>
        <w:rPr/>
        <w:tab/>
        <w:t xml:space="preserve">CRRA proposes that initially these Class I resources will be made available at a competitive wholesale rates without the addition of a Class I renewable premium to entities wishing to serve retail load in Connecticut.  These resources will be used by competitive electric suppliers in order to meet their portfolio requirements pursuant to Conn. Gen. Stat. § 16-245a.  The purpose of not charging a premium initially is to encourage retail competition in Connecticut and to promote compliance with the portfolio requirements that are presently difficult and economically prohibitive to meet.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s>
        <w:spacing w:lineRule="auto" w:line="480"/>
        <w:jc w:val="both"/>
        <w:rPr/>
      </w:pPr>
      <w:r>
        <w:rPr/>
        <w:t>V.</w:t>
        <w:tab/>
        <w:t>CONCLUSION</w:t>
      </w:r>
    </w:p>
    <w:p>
      <w:pPr>
        <w:pStyle w:val="BodyText"/>
        <w:tabs>
          <w:tab w:val="left" w:pos="720" w:leader="none"/>
        </w:tabs>
        <w:spacing w:lineRule="auto" w:line="480"/>
        <w:rPr/>
      </w:pPr>
      <w:r>
        <w:rPr>
          <w:rFonts w:cs="CG Times" w:ascii="CG Times" w:hAnsi="CG Times"/>
          <w:sz w:val="24"/>
        </w:rPr>
        <w:tab/>
        <w:t>CRRA's plan fulfills the legislative goals of the Restructuring Act and the State Energy Policy while offering unsurpassed benefits to the citizens of Connecticut.  The innovative proposal presented by CRRA will provide a Class I renewable energy resource which will conserve energy, assist electric suppliers in meeting the Connecticut renewable energy portfolio standard, promote economic development within the state, provide energy in an environmentally responsible manner,</w:t>
      </w:r>
      <w:r>
        <w:rPr>
          <w:rFonts w:cs="CG Times" w:ascii="CG Times" w:hAnsi="CG Times"/>
          <w:b/>
          <w:sz w:val="24"/>
          <w:u w:val="double"/>
        </w:rPr>
        <w:t xml:space="preserve"> diversify the state's energy supply mix,</w:t>
      </w:r>
      <w:r>
        <w:rPr>
          <w:rFonts w:cs="CG Times" w:ascii="CG Times" w:hAnsi="CG Times"/>
          <w:sz w:val="24"/>
        </w:rPr>
        <w:t xml:space="preserve"> and promote the development of a truly competitive electric market.  The Conservation and Load Management Fund was specifically developed to promote this type of multi-year market transformation initiative and ongoing conservation and load management program.</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Therefore, CRRA respectfully requests the Department to Reopen the above referenced proceedings to amend the 2000 C&amp;LM Plans of CL&amp;P and UI to include the multi-year market transformation initiative and ongoing conservation and load management program proposed by CRRA.  Further, CRRA requests that the Department order that the multi-year market transformation initiative and ongoing conservation and load management program proposed by CRRA be funded through the state Conservation and Load Management Fund.  Proposed Findings of Fact, Conclusion and Orders are attached in Exhibit </w:t>
      </w:r>
      <w:r>
        <w:rPr>
          <w:strike/>
        </w:rPr>
        <w:t>XX</w:t>
      </w:r>
      <w:r>
        <w:rPr/>
        <w:t xml:space="preserve"> </w:t>
      </w:r>
      <w:r>
        <w:rPr>
          <w:b/>
          <w:u w:val="double"/>
        </w:rPr>
        <w:t>H</w:t>
      </w:r>
      <w:r>
        <w:rPr/>
        <w:t xml:space="preser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4320" w:end="0"/>
        <w:rPr/>
      </w:pPr>
      <w:r>
        <w:rPr/>
        <w:t>Respectfully submitted,</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s>
        <w:ind w:start="4320" w:end="0"/>
        <w:rPr/>
      </w:pPr>
      <w:r>
        <w:rPr/>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pPr>
      <w:r>
        <w:rPr/>
        <w:t>CONNECTICUT RESOURCES RECOVERY AUTHORITY</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pPr>
      <w:r>
        <w:rPr/>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pPr>
      <w:r>
        <w:rPr/>
        <w:t xml:space="preserve">By: </w:t>
      </w:r>
      <w:r>
        <w:rPr>
          <w:b/>
          <w:u w:val="double"/>
        </w:rPr>
        <w:t>__________________________________</w:t>
      </w:r>
      <w:r>
        <w:rPr>
          <w:strike/>
        </w:rPr>
        <w:t>_____________________________</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strike/>
        </w:rPr>
      </w:pPr>
      <w:r>
        <w:rPr>
          <w:strike/>
        </w:rPr>
        <w:t>Paul R. McCary</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strike/>
        </w:rPr>
      </w:pPr>
      <w:r>
        <w:rPr>
          <w:strike/>
        </w:rPr>
        <w:t>Sandra L. Fischer</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strike/>
        </w:rPr>
      </w:pPr>
      <w:r>
        <w:rPr>
          <w:strike/>
        </w:rPr>
        <w:t>MURTHA CULLINA LLP</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strike/>
        </w:rPr>
      </w:pPr>
      <w:r>
        <w:rPr>
          <w:strike/>
        </w:rPr>
        <w:t>CityPlace I, 185 Asylum Street</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strike/>
        </w:rPr>
      </w:pPr>
      <w:r>
        <w:rPr>
          <w:strike/>
        </w:rPr>
        <w:t>Hartford, Connecticut 06103-3469</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strike/>
        </w:rPr>
      </w:pPr>
      <w:r>
        <w:rPr>
          <w:strike/>
        </w:rPr>
        <w:t>(860) 240-6000</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4680" w:end="0"/>
        <w:rPr/>
      </w:pPr>
      <w:r>
        <w:rPr/>
        <w:t>Its Attorneys</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jc w:val="center"/>
        <w:rPr/>
      </w:pPr>
      <w:r>
        <w:rPr/>
        <w:t xml:space="preserve">Exhibit </w:t>
      </w:r>
      <w:r>
        <w:rPr>
          <w:strike/>
        </w:rPr>
        <w:t>3</w:t>
      </w:r>
      <w:r>
        <w:rPr/>
        <w:t xml:space="preserve"> </w:t>
      </w:r>
      <w:r>
        <w:rPr>
          <w:b/>
          <w:u w:val="double"/>
        </w:rPr>
        <w:t>H</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jc w:val="center"/>
        <w:rPr/>
      </w:pPr>
      <w:r>
        <w:rPr/>
        <w:t>PROPOSED FINDINGS OF FACT, CONCLUSION AND ORDERS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u w:val="single"/>
        </w:rPr>
      </w:pPr>
      <w:r>
        <w:rPr>
          <w:u w:val="single"/>
        </w:rPr>
        <w:t>Findings of Fact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Conn. Gen. Stat. § 16-245m requires the Department on and after January 1, 2000, to assess or cause to be assessed a charge of three mills per kWh of electricity sold to each end use customer of an electric distribution company to be used to implement cost effective energy conservation programs and market transformation initiatives.  </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By Decision dated May 10, 2000 in Docket No. 99-09-30, </w:t>
      </w:r>
      <w:r>
        <w:rPr>
          <w:rFonts w:cs="Times New Roman" w:ascii="Times New Roman" w:hAnsi="Times New Roman"/>
          <w:u w:val="single"/>
        </w:rPr>
        <w:t>DPUC Review of the Connecticut Light and Power Company's  Conservation and Load Management Plan for 2000</w:t>
      </w:r>
      <w:r>
        <w:rPr>
          <w:rFonts w:cs="Times New Roman" w:ascii="Times New Roman" w:hAnsi="Times New Roman"/>
        </w:rPr>
        <w:t>, the Department approved The Connecticut Light and Power Company's Conservation and Load Management Plan for 2000.</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total year 2000 budget amount approved by the Department for CL&amp;P was $67,314,000.00.</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By Decision dated June 14, 2000 in Docket No. 99-10-18, </w:t>
      </w:r>
      <w:r>
        <w:rPr>
          <w:rFonts w:cs="Times New Roman" w:ascii="Times New Roman" w:hAnsi="Times New Roman"/>
          <w:u w:val="single"/>
        </w:rPr>
        <w:t>DPUC Review of the United Illuminating Company's Conservation and Load Management Plan for 2000</w:t>
      </w:r>
      <w:r>
        <w:rPr>
          <w:rFonts w:cs="Times New Roman" w:ascii="Times New Roman" w:hAnsi="Times New Roman"/>
        </w:rPr>
        <w:t>, the Department approved the United Illuminating Company's Conservation and Load Management Plan for 2000.</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total year 2000 budget amount approved by the Department for UI was $16,782,876.00.</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CRRA's proposal includes the control and responsibility for the operation of up to five fuel cell farms and related facilities with a combined nominal generating capacity of 50 MW.</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Enron North America Corp will act as the project developer and will </w:t>
      </w:r>
      <w:r>
        <w:rPr>
          <w:rFonts w:cs="Times New Roman" w:ascii="Times New Roman" w:hAnsi="Times New Roman"/>
          <w:b/>
          <w:u w:val="double"/>
        </w:rPr>
        <w:t>develop,</w:t>
      </w:r>
      <w:r>
        <w:rPr>
          <w:rFonts w:cs="Times New Roman" w:ascii="Times New Roman" w:hAnsi="Times New Roman"/>
        </w:rPr>
        <w:t xml:space="preserve"> construct and install up to five fuel cell farms.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The project developer will receive a development fee of 10% of the proposed cost of market transformation initiative </w:t>
      </w:r>
      <w:r>
        <w:rPr>
          <w:rFonts w:cs="Times New Roman" w:ascii="Times New Roman" w:hAnsi="Times New Roman"/>
          <w:strike/>
        </w:rPr>
        <w:t>before contingency</w:t>
      </w:r>
      <w:r>
        <w:rPr>
          <w:rFonts w:cs="Times New Roman" w:ascii="Times New Roman" w:hAnsi="Times New Roman"/>
        </w:rPr>
        <w: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proposed fuel cell farm locations are on property owned and controlled by CRRA in Wallingford, Connecticut and Hartford, Connecticut.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Other contingency sites within Connecticut are being developed.</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Construction of all facilities is anticipated to be completed by December 31, 2004.</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fuel cell farms will utilize fuel cell electrical generation equipment from FuelCell Energy, Inc, based in Danbury, Connecticut.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b/>
          <w:u w:val="double"/>
        </w:rPr>
      </w:pPr>
      <w:r>
        <w:rPr>
          <w:rFonts w:cs="Times New Roman" w:ascii="Times New Roman" w:hAnsi="Times New Roman"/>
          <w:b/>
          <w:u w:val="double"/>
        </w:rPr>
        <w:t>Enron has a financial investment in with FuelCell Energy, Inc., which will provide a direct and additional incentive to assure the quality and success of the product delivered.</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b/>
          <w:u w:val="double"/>
        </w:rPr>
        <w:t>FuelCell Energy, Inc.'s technology allows the fuel cells to utilize natural gas, menthanol, ethanol, bio-gas, and any other fuel that contains methane.</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All fuel cell modules will be </w:t>
      </w:r>
      <w:r>
        <w:rPr>
          <w:rFonts w:cs="Times New Roman" w:ascii="Times New Roman" w:hAnsi="Times New Roman"/>
          <w:strike/>
        </w:rPr>
        <w:t>exclusively</w:t>
      </w:r>
      <w:r>
        <w:rPr>
          <w:rFonts w:cs="Times New Roman" w:ascii="Times New Roman" w:hAnsi="Times New Roman"/>
        </w:rPr>
        <w:t xml:space="preserve"> manufactured </w:t>
      </w:r>
      <w:r>
        <w:rPr>
          <w:rFonts w:cs="Times New Roman" w:ascii="Times New Roman" w:hAnsi="Times New Roman"/>
          <w:b/>
          <w:u w:val="double"/>
        </w:rPr>
        <w:t>exclusively</w:t>
      </w:r>
      <w:r>
        <w:rPr>
          <w:rFonts w:cs="Times New Roman" w:ascii="Times New Roman" w:hAnsi="Times New Roman"/>
        </w:rPr>
        <w:t xml:space="preserve"> in Connecticut.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CRRA will dispatch the unit output into the Connecticut power grid and make power available to market participants.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State statute requires that electric supplier's aggregate portfolios be comprised of approximately 116 MW of Class I resources by July 1, 2004.</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Currently the installed cost of a fuel cell ranges between </w:t>
      </w:r>
      <w:r>
        <w:rPr>
          <w:rFonts w:cs="Times New Roman" w:ascii="Times New Roman" w:hAnsi="Times New Roman"/>
          <w:strike/>
        </w:rPr>
        <w:t>$4,000</w:t>
      </w:r>
      <w:r>
        <w:rPr>
          <w:rFonts w:cs="Times New Roman" w:ascii="Times New Roman" w:hAnsi="Times New Roman"/>
        </w:rPr>
        <w:t xml:space="preserve"> </w:t>
      </w:r>
      <w:r>
        <w:rPr>
          <w:rFonts w:cs="Times New Roman" w:ascii="Times New Roman" w:hAnsi="Times New Roman"/>
          <w:b/>
          <w:u w:val="double"/>
        </w:rPr>
        <w:t>$5,000</w:t>
      </w:r>
      <w:r>
        <w:rPr>
          <w:rFonts w:cs="Times New Roman" w:ascii="Times New Roman" w:hAnsi="Times New Roman"/>
        </w:rPr>
        <w:t xml:space="preserve"> and $6,000 per kilowatt.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The average installed cost for the 50 MW installation is </w:t>
      </w:r>
      <w:r>
        <w:rPr>
          <w:rFonts w:cs="Times New Roman" w:ascii="Times New Roman" w:hAnsi="Times New Roman"/>
          <w:strike/>
        </w:rPr>
        <w:t>$3,740</w:t>
      </w:r>
      <w:r>
        <w:rPr>
          <w:rFonts w:cs="Times New Roman" w:ascii="Times New Roman" w:hAnsi="Times New Roman"/>
        </w:rPr>
        <w:t xml:space="preserve"> </w:t>
      </w:r>
      <w:r>
        <w:rPr>
          <w:rFonts w:cs="Times New Roman" w:ascii="Times New Roman" w:hAnsi="Times New Roman"/>
          <w:b/>
          <w:u w:val="double"/>
        </w:rPr>
        <w:t>$3,725</w:t>
      </w:r>
      <w:r>
        <w:rPr>
          <w:rFonts w:cs="Times New Roman" w:ascii="Times New Roman" w:hAnsi="Times New Roman"/>
        </w:rPr>
        <w:t xml:space="preserve"> per kilowatt.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The expected installed cost of the market transformation initiative is </w:t>
      </w:r>
      <w:r>
        <w:rPr>
          <w:rFonts w:cs="Times New Roman" w:ascii="Times New Roman" w:hAnsi="Times New Roman"/>
          <w:b/>
          <w:u w:val="double"/>
        </w:rPr>
        <w:t>approximately</w:t>
      </w:r>
      <w:r>
        <w:rPr>
          <w:rFonts w:cs="Times New Roman" w:ascii="Times New Roman" w:hAnsi="Times New Roman"/>
        </w:rPr>
        <w:t xml:space="preserve"> $187,000,000.</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CRRA will issue bonds for the total amount of the market transformation initiative provided that the Department orders CL&amp;P and UI to commit a portion of the Energy Conservation and Load Management Fund proceeds each year to pay back the bonds.  </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CRRA proposed three separate payment options: 5 years at $45 million per year; 7 years at $34.1 million per year; and 10 years at $26 million per year.</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ten year repayment schedule has a minimal impact on the plans of CL&amp;P and UI to utilize the balance of the Energy Conservation and Load Management Fund proceeds for conservation and load management programs.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Under the 10 year proposal, approximately 75% of the $1 billion dollars projected to be collected from the Energy Conservation and Load Management Fund will remain available for other conservation and load management programs, including CL&amp;P and UI conservation and load management plans.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If the market transformation initiative falls below the projected budget, the remainder of the funds will be returned to the Conservation and Load Management Fund.</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t xml:space="preserve">CRRA and the project developer will cause to be refunded </w:t>
      </w:r>
      <w:r>
        <w:rPr>
          <w:strike/>
        </w:rPr>
        <w:t>the individual plant’s cost back</w:t>
      </w:r>
      <w:r>
        <w:rPr/>
        <w:t xml:space="preserve"> to the Energy Conservation and Load </w:t>
      </w:r>
      <w:r>
        <w:rPr>
          <w:rFonts w:cs="Times New Roman" w:ascii="Times New Roman" w:hAnsi="Times New Roman"/>
        </w:rPr>
        <w:t xml:space="preserve">Management Fund </w:t>
      </w:r>
      <w:r>
        <w:rPr>
          <w:b/>
          <w:u w:val="double"/>
        </w:rPr>
        <w:t>the individual plant’s cost</w:t>
      </w:r>
      <w:r>
        <w:rPr/>
        <w:t xml:space="preserve"> </w:t>
      </w:r>
      <w:r>
        <w:rPr>
          <w:rFonts w:cs="Times New Roman" w:ascii="Times New Roman" w:hAnsi="Times New Roman"/>
        </w:rPr>
        <w:t xml:space="preserve">for any individual fuel cell power plant which fails to meet minimum performance standards required for acceptance. </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A Fuel Cell is a Class I renewable energy source.</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Solar and wind technologies are not geographically well suited for Connecticut.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Opportunities for power generated from landfill gas and biomass sources are limited by the waste disposal and forestry requirements in the state.</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Unlike fuel cells, these other Class I renewable resources face siting difficulties in densely populated areas.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FuelCell Energy, Inc's fuel cells will use approximately 52% less fuel than </w:t>
      </w:r>
      <w:r>
        <w:rPr>
          <w:rFonts w:cs="Times New Roman" w:ascii="Times New Roman" w:hAnsi="Times New Roman"/>
          <w:strike/>
        </w:rPr>
        <w:t>existing fossil fuel generation to make an equivalent amount of electricity</w:t>
      </w:r>
      <w:r>
        <w:rPr>
          <w:rFonts w:cs="Times New Roman" w:ascii="Times New Roman" w:hAnsi="Times New Roman"/>
        </w:rPr>
        <w:t xml:space="preserve"> </w:t>
      </w:r>
      <w:r>
        <w:rPr>
          <w:rFonts w:cs="Times New Roman" w:ascii="Times New Roman" w:hAnsi="Times New Roman"/>
          <w:b/>
          <w:u w:val="double"/>
        </w:rPr>
        <w:t>other comparably sized distributed gneration technology</w:t>
      </w:r>
      <w:r>
        <w:rPr>
          <w:rFonts w:cs="Times New Roman" w:ascii="Times New Roman" w:hAnsi="Times New Roman"/>
        </w:rPr>
        <w:t xml:space="preserve">. </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Fuel cells retain their high efficiency rating far beyond the lowest operative levels of combined cycle combustion turbine units.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A fuel cell is much cleaner when compared to the cleanest fossil fuel generation system.</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There is </w:t>
      </w:r>
      <w:r>
        <w:rPr>
          <w:rFonts w:cs="Times New Roman" w:ascii="Times New Roman" w:hAnsi="Times New Roman"/>
          <w:strike/>
        </w:rPr>
        <w:t>increasing</w:t>
      </w:r>
      <w:r>
        <w:rPr>
          <w:rFonts w:cs="Times New Roman" w:ascii="Times New Roman" w:hAnsi="Times New Roman"/>
        </w:rPr>
        <w:t xml:space="preserve"> public resistance to siting traditional power plants within local communities.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A two MW fuel cell requires no towering stack, is extremely quiet, has virtually no emissions, and only requires space the size of a tennis court.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A fuel cell can use existing low pressure distribution natural gas lines for fuel supply, and can be interconnected into the distribution grid, thereby reducing the need </w:t>
      </w:r>
      <w:r>
        <w:rPr>
          <w:rFonts w:cs="Times New Roman" w:ascii="Times New Roman" w:hAnsi="Times New Roman"/>
          <w:strike/>
        </w:rPr>
        <w:t>to</w:t>
      </w:r>
      <w:r>
        <w:rPr>
          <w:rFonts w:cs="Times New Roman" w:ascii="Times New Roman" w:hAnsi="Times New Roman"/>
        </w:rPr>
        <w:t xml:space="preserve"> </w:t>
      </w:r>
      <w:r>
        <w:rPr>
          <w:rFonts w:cs="Times New Roman" w:ascii="Times New Roman" w:hAnsi="Times New Roman"/>
          <w:b/>
          <w:u w:val="double"/>
        </w:rPr>
        <w:t>for</w:t>
      </w:r>
      <w:r>
        <w:rPr>
          <w:rFonts w:cs="Times New Roman" w:ascii="Times New Roman" w:hAnsi="Times New Roman"/>
        </w:rPr>
        <w:t xml:space="preserve"> construction of additional transmission lines and natural gas pipelines.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b/>
          <w:u w:val="double"/>
        </w:rPr>
        <w:t>Fuel cells can help ease congestion in the New England electric distribution system.</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To operate a manufacturing facility that produces 50 MW per year of fuel cells, FuelCell Energy, Inc. projects the need for an additional workforce of </w:t>
      </w:r>
      <w:r>
        <w:rPr>
          <w:rFonts w:cs="Times New Roman" w:ascii="Times New Roman" w:hAnsi="Times New Roman"/>
          <w:strike/>
        </w:rPr>
        <w:t>approximately 200</w:t>
      </w:r>
      <w:r>
        <w:rPr>
          <w:rFonts w:cs="Times New Roman" w:ascii="Times New Roman" w:hAnsi="Times New Roman"/>
        </w:rPr>
        <w:t xml:space="preserve"> </w:t>
      </w:r>
      <w:r>
        <w:rPr>
          <w:rFonts w:cs="Times New Roman" w:ascii="Times New Roman" w:hAnsi="Times New Roman"/>
          <w:b/>
          <w:u w:val="double"/>
        </w:rPr>
        <w:t>over 100</w:t>
      </w:r>
      <w:r>
        <w:rPr>
          <w:rFonts w:cs="Times New Roman" w:ascii="Times New Roman" w:hAnsi="Times New Roman"/>
        </w:rPr>
        <w:t xml:space="preserve"> people </w:t>
      </w:r>
    </w:p>
    <w:p>
      <w:pPr>
        <w:pStyle w:val="BodyText"/>
        <w:numPr>
          <w:ilvl w:val="0"/>
          <w:numId w:val="3"/>
        </w:numPr>
        <w:tabs>
          <w:tab w:val="left" w:pos="360" w:leader="none"/>
        </w:tabs>
        <w:rPr>
          <w:rFonts w:ascii="CG Times" w:hAnsi="CG Times" w:cs="CG Times"/>
          <w:sz w:val="24"/>
        </w:rPr>
      </w:pPr>
      <w:r>
        <w:rPr>
          <w:rFonts w:cs="CG Times" w:ascii="CG Times" w:hAnsi="CG Times"/>
          <w:sz w:val="24"/>
        </w:rPr>
        <w:t xml:space="preserve">A production order for fuel cells of this size will encourage efficiencies in manufacturing, resulting in lower cost of fuel cells in the future, making fuel cells an economically viable generation alternative.  </w:t>
      </w:r>
    </w:p>
    <w:p>
      <w:pPr>
        <w:pStyle w:val="BodyText"/>
        <w:numPr>
          <w:ilvl w:val="0"/>
          <w:numId w:val="3"/>
        </w:numPr>
        <w:tabs>
          <w:tab w:val="left" w:pos="360" w:leader="none"/>
        </w:tabs>
        <w:rPr>
          <w:rFonts w:ascii="CG Times" w:hAnsi="CG Times" w:cs="CG Times"/>
          <w:sz w:val="24"/>
        </w:rPr>
      </w:pPr>
      <w:r>
        <w:rPr>
          <w:rFonts w:cs="CG Times" w:ascii="CG Times" w:hAnsi="CG Times"/>
          <w:sz w:val="24"/>
        </w:rPr>
        <w:t xml:space="preserve">A large order of fuel cells will increase jobs within Connecticut as a fuel cell company grows to keep pace with this expanding market share on the wholesale and distributed generation business.  </w:t>
      </w:r>
    </w:p>
    <w:p>
      <w:pPr>
        <w:pStyle w:val="BodyText"/>
        <w:numPr>
          <w:ilvl w:val="0"/>
          <w:numId w:val="3"/>
        </w:numPr>
        <w:tabs>
          <w:tab w:val="left" w:pos="360" w:leader="none"/>
        </w:tabs>
        <w:rPr>
          <w:rFonts w:ascii="CG Times" w:hAnsi="CG Times" w:cs="CG Times"/>
          <w:sz w:val="24"/>
        </w:rPr>
      </w:pPr>
      <w:r>
        <w:rPr>
          <w:rFonts w:cs="CG Times" w:ascii="CG Times" w:hAnsi="CG Times"/>
          <w:sz w:val="24"/>
        </w:rPr>
        <w:t>As one of the first states in the U.S. to deregulate its power industry and to require Class I renewable power resources, Connecticut stands to serve as a benchmark for deregulation and Class I renewable power initiatives throughout the county.</w:t>
      </w:r>
    </w:p>
    <w:p>
      <w:pPr>
        <w:pStyle w:val="BodyText"/>
        <w:numPr>
          <w:ilvl w:val="0"/>
          <w:numId w:val="3"/>
        </w:numPr>
        <w:tabs>
          <w:tab w:val="left" w:pos="360" w:leader="none"/>
        </w:tabs>
        <w:rPr>
          <w:rFonts w:ascii="CG Times" w:hAnsi="CG Times" w:cs="CG Times"/>
          <w:sz w:val="24"/>
        </w:rPr>
      </w:pPr>
      <w:r>
        <w:rPr>
          <w:rFonts w:cs="CG Times" w:ascii="CG Times" w:hAnsi="CG Times"/>
          <w:sz w:val="24"/>
        </w:rPr>
        <w:t>The market transformation initiative is not subject to the cost effectiveness requirement found in Conn. Gen. Stat. Sec. 16-245m.</w:t>
      </w:r>
    </w:p>
    <w:p>
      <w:pPr>
        <w:pStyle w:val="BodyText"/>
        <w:numPr>
          <w:ilvl w:val="0"/>
          <w:numId w:val="3"/>
        </w:numPr>
        <w:tabs>
          <w:tab w:val="left" w:pos="360" w:leader="none"/>
        </w:tabs>
        <w:rPr>
          <w:rFonts w:ascii="CG Times" w:hAnsi="CG Times" w:cs="CG Times"/>
          <w:sz w:val="24"/>
        </w:rPr>
      </w:pPr>
      <w:r>
        <w:rPr>
          <w:rFonts w:cs="CG Times" w:ascii="CG Times" w:hAnsi="CG Times"/>
          <w:sz w:val="24"/>
        </w:rPr>
        <w:t>The energy and ancillary services of the fuel cell farms will be dispatched by the ISO-New England Power Exchange.</w:t>
      </w:r>
    </w:p>
    <w:p>
      <w:pPr>
        <w:pStyle w:val="BodyText"/>
        <w:numPr>
          <w:ilvl w:val="0"/>
          <w:numId w:val="3"/>
        </w:numPr>
        <w:tabs>
          <w:tab w:val="left" w:pos="360" w:leader="none"/>
        </w:tabs>
        <w:rPr>
          <w:rFonts w:ascii="CG Times" w:hAnsi="CG Times" w:cs="CG Times"/>
          <w:sz w:val="24"/>
        </w:rPr>
      </w:pPr>
      <w:r>
        <w:rPr>
          <w:rFonts w:cs="CG Times" w:ascii="CG Times" w:hAnsi="CG Times"/>
          <w:sz w:val="24"/>
        </w:rPr>
        <w:t xml:space="preserve">CRRA will produce and submit to ISO-New England </w:t>
      </w:r>
      <w:r>
        <w:rPr>
          <w:rFonts w:cs="CG Times" w:ascii="CG Times" w:hAnsi="CG Times"/>
          <w:strike/>
          <w:sz w:val="24"/>
        </w:rPr>
        <w:t>Power Exchange</w:t>
      </w:r>
      <w:r>
        <w:rPr>
          <w:rFonts w:cs="CG Times" w:ascii="CG Times" w:hAnsi="CG Times"/>
          <w:sz w:val="24"/>
        </w:rPr>
        <w:t xml:space="preserve"> a dispatch schedule and bidding strategy that maximizes the value of the plants in the market.</w:t>
      </w:r>
    </w:p>
    <w:p>
      <w:pPr>
        <w:pStyle w:val="BodyText"/>
        <w:numPr>
          <w:ilvl w:val="0"/>
          <w:numId w:val="3"/>
        </w:numPr>
        <w:tabs>
          <w:tab w:val="left" w:pos="360" w:leader="none"/>
        </w:tabs>
        <w:rPr>
          <w:rFonts w:ascii="CG Times" w:hAnsi="CG Times" w:cs="CG Times"/>
          <w:sz w:val="24"/>
        </w:rPr>
      </w:pPr>
      <w:r>
        <w:rPr>
          <w:rFonts w:cs="CG Times" w:ascii="CG Times" w:hAnsi="CG Times"/>
          <w:sz w:val="24"/>
        </w:rPr>
        <w:t>Revenues from the sale of the plant's electrical output will serve to offset the cost of fuel and operations.</w:t>
      </w:r>
    </w:p>
    <w:p>
      <w:pPr>
        <w:pStyle w:val="BodyText"/>
        <w:numPr>
          <w:ilvl w:val="0"/>
          <w:numId w:val="3"/>
        </w:numPr>
        <w:tabs>
          <w:tab w:val="left" w:pos="360" w:leader="none"/>
        </w:tabs>
        <w:rPr>
          <w:rFonts w:ascii="CG Times" w:hAnsi="CG Times" w:cs="CG Times"/>
          <w:sz w:val="24"/>
        </w:rPr>
      </w:pPr>
      <w:r>
        <w:rPr>
          <w:rFonts w:cs="CG Times" w:ascii="CG Times" w:hAnsi="CG Times"/>
          <w:sz w:val="24"/>
        </w:rPr>
        <w:t>CRRA proposes that initially the Class I resources will be made available at a competitive wholesale rate without an additional Class I renewable premium to entities wishing to serve retail load in Connecticut.</w:t>
      </w:r>
    </w:p>
    <w:p>
      <w:pPr>
        <w:pStyle w:val="BodyText"/>
        <w:numPr>
          <w:ilvl w:val="0"/>
          <w:numId w:val="3"/>
        </w:numPr>
        <w:tabs>
          <w:tab w:val="left" w:pos="360" w:leader="none"/>
        </w:tabs>
        <w:rPr>
          <w:rFonts w:ascii="CG Times" w:hAnsi="CG Times" w:cs="CG Times"/>
          <w:sz w:val="24"/>
        </w:rPr>
      </w:pPr>
      <w:r>
        <w:rPr>
          <w:rFonts w:cs="CG Times" w:ascii="CG Times" w:hAnsi="CG Times"/>
          <w:sz w:val="24"/>
        </w:rPr>
        <w:t>Even without the assignment of a Class I renewable premium, forecasts show that the fuel cell farms will operate net positive on a going forward basis.</w:t>
      </w:r>
    </w:p>
    <w:p>
      <w:pPr>
        <w:pStyle w:val="BodyText"/>
        <w:numPr>
          <w:ilvl w:val="0"/>
          <w:numId w:val="3"/>
        </w:numPr>
        <w:tabs>
          <w:tab w:val="left" w:pos="360" w:leader="none"/>
        </w:tabs>
        <w:rPr>
          <w:rFonts w:ascii="CG Times" w:hAnsi="CG Times" w:cs="CG Times"/>
          <w:sz w:val="24"/>
        </w:rPr>
      </w:pPr>
      <w:r>
        <w:rPr>
          <w:rFonts w:cs="CG Times" w:ascii="CG Times" w:hAnsi="CG Times"/>
          <w:sz w:val="24"/>
        </w:rPr>
        <w:t>The construction and operation of an in-state fuel cell facility will open the retail power market to competitive suppliers who are otherwise discouraged by the Connecticut portfolio requirements.</w:t>
      </w:r>
    </w:p>
    <w:p>
      <w:pPr>
        <w:pStyle w:val="BodyText"/>
        <w:numPr>
          <w:ilvl w:val="0"/>
          <w:numId w:val="3"/>
        </w:numPr>
        <w:tabs>
          <w:tab w:val="left" w:pos="360" w:leader="none"/>
        </w:tabs>
        <w:rPr>
          <w:rFonts w:ascii="CG Times" w:hAnsi="CG Times" w:cs="CG Times"/>
          <w:sz w:val="24"/>
        </w:rPr>
      </w:pPr>
      <w:r>
        <w:rPr>
          <w:rFonts w:cs="CG Times" w:ascii="CG Times" w:hAnsi="CG Times"/>
          <w:sz w:val="24"/>
        </w:rPr>
        <w:t>The construction and operation of an in-state fuel cell facility will help to ensure an adequate and reliable electric power supply.</w:t>
      </w:r>
    </w:p>
    <w:p>
      <w:pPr>
        <w:pStyle w:val="BodyText"/>
        <w:numPr>
          <w:ilvl w:val="0"/>
          <w:numId w:val="3"/>
        </w:numPr>
        <w:tabs>
          <w:tab w:val="left" w:pos="360" w:leader="none"/>
        </w:tabs>
        <w:rPr>
          <w:rFonts w:ascii="CG Times" w:hAnsi="CG Times" w:cs="CG Times"/>
          <w:sz w:val="24"/>
        </w:rPr>
      </w:pPr>
      <w:r>
        <w:rPr>
          <w:rFonts w:cs="CG Times" w:ascii="CG Times" w:hAnsi="CG Times"/>
          <w:sz w:val="24"/>
        </w:rPr>
        <w:t>The construction and operation of an in-state fuel cell facility will diversify the state's energy supply mix.</w:t>
      </w:r>
    </w:p>
    <w:p>
      <w:pPr>
        <w:pStyle w:val="BodyText"/>
        <w:numPr>
          <w:ilvl w:val="0"/>
          <w:numId w:val="3"/>
        </w:numPr>
        <w:tabs>
          <w:tab w:val="left" w:pos="360" w:leader="none"/>
        </w:tabs>
        <w:rPr>
          <w:rFonts w:ascii="CG Times" w:hAnsi="CG Times" w:cs="CG Times"/>
          <w:sz w:val="24"/>
        </w:rPr>
      </w:pPr>
      <w:r>
        <w:rPr>
          <w:rFonts w:cs="CG Times" w:ascii="CG Times" w:hAnsi="CG Times"/>
          <w:sz w:val="24"/>
        </w:rPr>
        <w:t>The overall goals of CRRA's proposal are to advance the efficient use of energy, reduce air pollution, improve public health , and promote economic development in Connecticut.</w:t>
      </w:r>
    </w:p>
    <w:p>
      <w:pPr>
        <w:pStyle w:val="BodyText"/>
        <w:numPr>
          <w:ilvl w:val="0"/>
          <w:numId w:val="3"/>
        </w:numPr>
        <w:tabs>
          <w:tab w:val="left" w:pos="360" w:leader="none"/>
        </w:tabs>
        <w:rPr>
          <w:rFonts w:ascii="CG Times" w:hAnsi="CG Times" w:cs="CG Times"/>
          <w:sz w:val="24"/>
        </w:rPr>
      </w:pPr>
      <w:r>
        <w:rPr>
          <w:rFonts w:cs="CG Times" w:ascii="CG Times" w:hAnsi="CG Times"/>
          <w:sz w:val="24"/>
        </w:rPr>
        <w:t>The CRRA multi-year market transformation initiative and ongoing conservation and load management program meets the goals of the Electric Restructuring Act of 1998 and the State of Connecticut Energy Policy.</w:t>
      </w:r>
    </w:p>
    <w:p>
      <w:pPr>
        <w:pStyle w:val="BodyText"/>
        <w:numPr>
          <w:ilvl w:val="0"/>
          <w:numId w:val="3"/>
        </w:numPr>
        <w:tabs>
          <w:tab w:val="left" w:pos="360" w:leader="none"/>
        </w:tabs>
        <w:rPr>
          <w:rFonts w:ascii="CG Times" w:hAnsi="CG Times" w:cs="CG Times"/>
          <w:sz w:val="24"/>
        </w:rPr>
      </w:pPr>
      <w:r>
        <w:rPr>
          <w:rFonts w:cs="CG Times" w:ascii="CG Times" w:hAnsi="CG Times"/>
          <w:sz w:val="24"/>
        </w:rPr>
        <w:t>While it is extremely important to conserve energy by using less electricity as in the Conservation and Load Management Plans of CL&amp;P and UI, it is equally important to conserve energy resources by using less fuel.</w:t>
      </w:r>
    </w:p>
    <w:p>
      <w:pPr>
        <w:pStyle w:val="BodyText"/>
        <w:numPr>
          <w:ilvl w:val="0"/>
          <w:numId w:val="3"/>
        </w:numPr>
        <w:tabs>
          <w:tab w:val="left" w:pos="360" w:leader="none"/>
        </w:tabs>
        <w:rPr>
          <w:rFonts w:ascii="CG Times" w:hAnsi="CG Times" w:cs="CG Times"/>
          <w:sz w:val="24"/>
        </w:rPr>
      </w:pPr>
      <w:r>
        <w:rPr>
          <w:rFonts w:cs="CG Times" w:ascii="CG Times" w:hAnsi="CG Times"/>
          <w:sz w:val="24"/>
        </w:rPr>
        <w:t>The Department is charged with using all possible means to obtain the objectives of the state's energy policy.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rFonts w:ascii="CG Times" w:hAnsi="CG Times" w:cs="CG Times"/>
          <w:sz w:val="24"/>
        </w:rPr>
      </w:pPr>
      <w:r>
        <w:rPr>
          <w:rFonts w:cs="CG Times"/>
          <w:sz w:val="24"/>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u w:val="single"/>
        </w:rPr>
      </w:pPr>
      <w:r>
        <w:rPr>
          <w:u w:val="single"/>
        </w:rPr>
        <w:t>Conclusion</w:t>
      </w:r>
    </w:p>
    <w:p>
      <w:pPr>
        <w:pStyle w:val="BodyText"/>
        <w:tabs>
          <w:tab w:val="left" w:pos="720" w:leader="none"/>
        </w:tabs>
        <w:rPr/>
      </w:pPr>
      <w:r>
        <w:rPr>
          <w:rFonts w:cs="CG Times" w:ascii="CG Times" w:hAnsi="CG Times"/>
          <w:sz w:val="24"/>
        </w:rPr>
        <w:tab/>
        <w:t xml:space="preserve">CRRA's plan fulfills the legislative goals of the Restructuring Act and the State Energy Policy while offering unsurpassed benefits to the citizens of Connecticut.  The innovative proposal presented by CRRA will provide a Class I renewable energy resource which will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w:t>
      </w:r>
      <w:r>
        <w:rPr>
          <w:rFonts w:cs="CG Times" w:ascii="CG Times" w:hAnsi="CG Times"/>
          <w:strike/>
          <w:sz w:val="24"/>
        </w:rPr>
        <w:t>electric supply [and generation??]</w:t>
      </w:r>
      <w:r>
        <w:rPr>
          <w:rFonts w:cs="CG Times" w:ascii="CG Times" w:hAnsi="CG Times"/>
          <w:sz w:val="24"/>
        </w:rPr>
        <w:t xml:space="preserve"> </w:t>
      </w:r>
      <w:r>
        <w:rPr>
          <w:rFonts w:cs="CG Times" w:ascii="CG Times" w:hAnsi="CG Times"/>
          <w:b/>
          <w:sz w:val="24"/>
          <w:u w:val="double"/>
        </w:rPr>
        <w:t>retail electricity</w:t>
      </w:r>
      <w:r>
        <w:rPr>
          <w:rFonts w:cs="CG Times" w:ascii="CG Times" w:hAnsi="CG Times"/>
          <w:sz w:val="24"/>
        </w:rPr>
        <w:t xml:space="preserve"> market.  The Conservation and Load Management Fund was specifically developed to finance this type of multi-year market transformation initiative and ongoing conservation and load management program.  While it is extremely important to conserve energy by using less electricity, as in the Conservation and Load Management Plans of CL&amp;P and UI, it is equally important to conserve energy resources by using less fuel.  The combined opportunities of using less fuel to make electricity provided by CRRA's proposal, and conserving electricity through energy-efficient applications currently in progress under CL&amp;P's and UI's plans, maximize energy conservation and provide a cleaner environment.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rFonts w:ascii="CG Times" w:hAnsi="CG Times" w:cs="CG Times"/>
          <w:sz w:val="24"/>
          <w:u w:val="single"/>
        </w:rPr>
      </w:pPr>
      <w:r>
        <w:rPr>
          <w:rFonts w:cs="CG Times"/>
          <w:sz w:val="24"/>
          <w:u w:val="singl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u w:val="single"/>
        </w:rPr>
      </w:pPr>
      <w:r>
        <w:rPr>
          <w:u w:val="single"/>
        </w:rPr>
        <w:t>Orders</w:t>
      </w:r>
    </w:p>
    <w:p>
      <w:pPr>
        <w:pStyle w:val="Normal"/>
        <w:numPr>
          <w:ilvl w:val="0"/>
          <w:numId w:val="2"/>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The CL&amp;P and UI Conservation and Load Management Plans for 2000 are amended to include CRRA's multi-year market transformation initiative and ongoing Conservation and Load Management Program.</w:t>
      </w:r>
    </w:p>
    <w:p>
      <w:pPr>
        <w:pStyle w:val="Normal"/>
        <w:numPr>
          <w:ilvl w:val="0"/>
          <w:numId w:val="2"/>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 xml:space="preserve">The Department directs the disbursement from the Conservation and Load Management Fund as provided in the chart below, adjusted for the actual interest rate on day of </w:t>
      </w:r>
      <w:r>
        <w:rPr>
          <w:strike/>
        </w:rPr>
        <w:t>securitization</w:t>
      </w:r>
      <w:r>
        <w:rPr/>
        <w:t xml:space="preserve"> </w:t>
      </w:r>
      <w:r>
        <w:rPr>
          <w:b/>
          <w:u w:val="double"/>
        </w:rPr>
        <w:t>bond issue</w:t>
      </w:r>
      <w:r>
        <w:rPr/>
        <w:t xml:space="preserve">.  Payments shall be made to CRRA in equal semi-annual installments.  </w:t>
      </w:r>
    </w:p>
    <w:p>
      <w:pPr>
        <w:pStyle w:val="Normal"/>
        <w:numPr>
          <w:ilvl w:val="0"/>
          <w:numId w:val="2"/>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u w:val="double"/>
        </w:rPr>
      </w:pPr>
      <w:r>
        <w:rPr>
          <w:b/>
          <w:u w:val="double"/>
        </w:rPr>
        <w:t xml:space="preserve">The expenditure of such funds in the amounts and at the times shown in Order No. 2 is determined to be a reasonable and prudent expenditure under Sections 16-19, 16-19e and 16-245m of the General Statutes.  The Department shall order such expenditures in the amounts set forth above, either as disbursements from the Conservation and Load Management Fund or, if necessary to repay the bonds to be issued by CRRA for this project, as expenditures from the conservation and load management programs of CL&amp;P and UI to be approved by the Department from time to time.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u w:val="double"/>
        </w:rPr>
      </w:pPr>
      <w:r>
        <w:rPr>
          <w:b/>
          <w:u w:val="doubl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b/>
          <w:u w:val="double"/>
        </w:rPr>
      </w:pPr>
      <w:r>
        <w:rPr>
          <w:rFonts w:cs="Times New Roman" w:ascii="Times New Roman" w:hAnsi="Times New Roman"/>
          <w:b/>
          <w:u w:val="doubl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b/>
          <w:u w:val="double"/>
        </w:rPr>
      </w:pPr>
      <w:r>
        <w:rPr>
          <w:rFonts w:cs="Times New Roman" w:ascii="Times New Roman" w:hAnsi="Times New Roman"/>
          <w:b/>
          <w:u w:val="double"/>
        </w:rPr>
      </w:r>
      <w:r>
        <w:br w:type="page"/>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end="1260"/>
        <w:rPr>
          <w:rFonts w:ascii="Times New Roman" w:hAnsi="Times New Roman" w:cs="Times New Roman"/>
          <w:b/>
          <w:u w:val="double"/>
        </w:rPr>
      </w:pPr>
      <w:r>
        <w:rPr>
          <w:rFonts w:cs="Times New Roman" w:ascii="Times New Roman" w:hAnsi="Times New Roman"/>
          <w:b/>
          <w:u w:val="double"/>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end="1260"/>
        <w:rPr>
          <w:rFonts w:ascii="Times New Roman" w:hAnsi="Times New Roman" w:cs="Times New Roman"/>
          <w:b/>
          <w:u w:val="double"/>
        </w:rPr>
      </w:pPr>
      <w:r>
        <w:rPr>
          <w:rFonts w:cs="Times New Roman" w:ascii="Times New Roman" w:hAnsi="Times New Roman"/>
          <w:b/>
          <w:u w:val="double"/>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end="1260"/>
        <w:rPr>
          <w:rFonts w:ascii="Times New Roman" w:hAnsi="Times New Roman" w:cs="Times New Roman"/>
          <w:b/>
          <w:u w:val="double"/>
        </w:rPr>
      </w:pPr>
      <w:r>
        <w:rPr>
          <w:rFonts w:cs="Times New Roman" w:ascii="Times New Roman" w:hAnsi="Times New Roman"/>
          <w:b/>
          <w:u w:val="double"/>
        </w:rPr>
      </w:r>
    </w:p>
    <w:p>
      <w:pPr>
        <w:pStyle w:val="Normal"/>
        <w:jc w:val="center"/>
        <w:rPr>
          <w:b/>
        </w:rPr>
      </w:pPr>
      <w:r>
        <w:rPr>
          <w:b/>
          <w:u w:val="double"/>
        </w:rPr>
        <w:t>Exhibit A</w:t>
      </w:r>
      <w:r>
        <w:rPr>
          <w:b/>
        </w:rPr>
        <w:t xml:space="preserve"> </w:t>
      </w:r>
      <w:r>
        <w:rPr>
          <w:b/>
          <w:strike/>
        </w:rPr>
        <w:t>Exhibit 1</w:t>
      </w:r>
    </w:p>
    <w:p>
      <w:pPr>
        <w:pStyle w:val="Normal"/>
        <w:jc w:val="center"/>
        <w:rPr>
          <w:b/>
        </w:rPr>
      </w:pPr>
      <w:r>
        <w:rPr>
          <w:b/>
        </w:rPr>
      </w:r>
    </w:p>
    <w:p>
      <w:pPr>
        <w:pStyle w:val="Normal"/>
        <w:jc w:val="center"/>
        <w:rPr>
          <w:b/>
        </w:rPr>
      </w:pPr>
      <w:r>
        <w:rPr>
          <w:b/>
        </w:rPr>
        <w:t>Connecticut Renewable Requirements</w:t>
      </w:r>
    </w:p>
    <w:p>
      <w:pPr>
        <w:pStyle w:val="Normal"/>
        <w:jc w:val="center"/>
        <w:rPr>
          <w:b/>
        </w:rPr>
      </w:pPr>
      <w:r>
        <w:rPr>
          <w:b/>
        </w:rPr>
      </w:r>
    </w:p>
    <w:p>
      <w:pPr>
        <w:pStyle w:val="Normal"/>
        <w:jc w:val="both"/>
        <w:rPr/>
      </w:pPr>
      <w:r>
        <w:rPr/>
        <w:t>The total Class I and Class II requirements for the state’s load are listed below.</w:t>
      </w:r>
    </w:p>
    <w:p>
      <w:pPr>
        <w:pStyle w:val="Normal"/>
        <w:jc w:val="both"/>
        <w:rPr/>
      </w:pPr>
      <w:r>
        <w:rPr/>
      </w:r>
    </w:p>
    <w:tbl>
      <w:tblPr>
        <w:tblW w:w="9000" w:type="dxa"/>
        <w:jc w:val="start"/>
        <w:tblInd w:w="0" w:type="dxa"/>
        <w:tblLayout w:type="fixed"/>
        <w:tblCellMar>
          <w:top w:w="0" w:type="dxa"/>
          <w:start w:w="108" w:type="dxa"/>
          <w:bottom w:w="0" w:type="dxa"/>
          <w:end w:w="108" w:type="dxa"/>
        </w:tblCellMar>
      </w:tblPr>
      <w:tblGrid>
        <w:gridCol w:w="1296"/>
        <w:gridCol w:w="1296"/>
        <w:gridCol w:w="1476"/>
        <w:gridCol w:w="1721"/>
        <w:gridCol w:w="7"/>
        <w:gridCol w:w="1476"/>
        <w:gridCol w:w="1714"/>
        <w:gridCol w:w="14"/>
      </w:tblGrid>
      <w:tr>
        <w:trPr/>
        <w:tc>
          <w:tcPr>
            <w:tcW w:w="1296" w:type="dxa"/>
            <w:tcBorders/>
          </w:tcPr>
          <w:p>
            <w:pPr>
              <w:pStyle w:val="Normal"/>
              <w:snapToGrid w:val="false"/>
              <w:spacing w:before="60" w:after="60"/>
              <w:jc w:val="center"/>
              <w:rPr>
                <w:b/>
              </w:rPr>
            </w:pPr>
            <w:r>
              <w:rPr>
                <w:b/>
              </w:rPr>
            </w:r>
          </w:p>
        </w:tc>
        <w:tc>
          <w:tcPr>
            <w:tcW w:w="1296" w:type="dxa"/>
            <w:tcBorders/>
          </w:tcPr>
          <w:p>
            <w:pPr>
              <w:pStyle w:val="Normal"/>
              <w:snapToGrid w:val="false"/>
              <w:spacing w:before="60" w:after="60"/>
              <w:jc w:val="center"/>
              <w:rPr>
                <w:b/>
              </w:rPr>
            </w:pPr>
            <w:r>
              <w:rPr>
                <w:b/>
              </w:rPr>
            </w:r>
          </w:p>
        </w:tc>
        <w:tc>
          <w:tcPr>
            <w:tcW w:w="3197" w:type="dxa"/>
            <w:gridSpan w:val="2"/>
            <w:tcBorders/>
          </w:tcPr>
          <w:p>
            <w:pPr>
              <w:pStyle w:val="Normal"/>
              <w:pBdr>
                <w:bottom w:val="single" w:sz="6" w:space="1" w:color="000000"/>
              </w:pBdr>
              <w:spacing w:before="60" w:after="60"/>
              <w:jc w:val="center"/>
              <w:rPr>
                <w:b/>
              </w:rPr>
            </w:pPr>
            <w:r>
              <w:rPr>
                <w:b/>
              </w:rPr>
              <w:t>Class I Renewables</w:t>
            </w:r>
          </w:p>
        </w:tc>
        <w:tc>
          <w:tcPr>
            <w:tcW w:w="3197" w:type="dxa"/>
            <w:gridSpan w:val="3"/>
            <w:tcBorders/>
          </w:tcPr>
          <w:p>
            <w:pPr>
              <w:pStyle w:val="Normal"/>
              <w:pBdr>
                <w:bottom w:val="single" w:sz="6" w:space="1" w:color="000000"/>
              </w:pBdr>
              <w:spacing w:before="60" w:after="60"/>
              <w:jc w:val="center"/>
              <w:rPr>
                <w:b/>
              </w:rPr>
            </w:pPr>
            <w:r>
              <w:rPr>
                <w:b/>
              </w:rPr>
              <w:t>Class I or II Renewables</w:t>
            </w:r>
          </w:p>
        </w:tc>
      </w:tr>
      <w:tr>
        <w:trPr/>
        <w:tc>
          <w:tcPr>
            <w:tcW w:w="1296" w:type="dxa"/>
            <w:tcBorders/>
          </w:tcPr>
          <w:p>
            <w:pPr>
              <w:pStyle w:val="Normal"/>
              <w:pBdr>
                <w:bottom w:val="single" w:sz="6" w:space="1" w:color="000000"/>
              </w:pBdr>
              <w:spacing w:before="60" w:after="60"/>
              <w:jc w:val="center"/>
              <w:rPr/>
            </w:pPr>
            <w:r>
              <w:rPr/>
              <w:t>From</w:t>
            </w:r>
          </w:p>
        </w:tc>
        <w:tc>
          <w:tcPr>
            <w:tcW w:w="1296" w:type="dxa"/>
            <w:tcBorders/>
          </w:tcPr>
          <w:p>
            <w:pPr>
              <w:pStyle w:val="Normal"/>
              <w:pBdr>
                <w:bottom w:val="single" w:sz="6" w:space="1" w:color="000000"/>
              </w:pBdr>
              <w:spacing w:before="60" w:after="60"/>
              <w:jc w:val="center"/>
              <w:rPr/>
            </w:pPr>
            <w:r>
              <w:rPr/>
              <w:t>To</w:t>
            </w:r>
          </w:p>
        </w:tc>
        <w:tc>
          <w:tcPr>
            <w:tcW w:w="1476" w:type="dxa"/>
            <w:tcBorders/>
          </w:tcPr>
          <w:p>
            <w:pPr>
              <w:pStyle w:val="Normal"/>
              <w:pBdr>
                <w:bottom w:val="single" w:sz="6" w:space="1" w:color="000000"/>
              </w:pBdr>
              <w:spacing w:before="60" w:after="60"/>
              <w:jc w:val="center"/>
              <w:rPr/>
            </w:pPr>
            <w:r>
              <w:rPr/>
              <w:t>% Required</w:t>
            </w:r>
          </w:p>
        </w:tc>
        <w:tc>
          <w:tcPr>
            <w:tcW w:w="1728" w:type="dxa"/>
            <w:gridSpan w:val="2"/>
            <w:tcBorders/>
          </w:tcPr>
          <w:p>
            <w:pPr>
              <w:pStyle w:val="Normal"/>
              <w:pBdr>
                <w:bottom w:val="single" w:sz="6" w:space="1" w:color="000000"/>
              </w:pBdr>
              <w:spacing w:before="60" w:after="60"/>
              <w:jc w:val="center"/>
              <w:rPr/>
            </w:pPr>
            <w:r>
              <w:rPr/>
              <w:t>MW Required</w:t>
            </w:r>
          </w:p>
        </w:tc>
        <w:tc>
          <w:tcPr>
            <w:tcW w:w="1476" w:type="dxa"/>
            <w:tcBorders/>
          </w:tcPr>
          <w:p>
            <w:pPr>
              <w:pStyle w:val="Normal"/>
              <w:pBdr>
                <w:bottom w:val="single" w:sz="6" w:space="1" w:color="000000"/>
              </w:pBdr>
              <w:spacing w:before="60" w:after="60"/>
              <w:jc w:val="center"/>
              <w:rPr/>
            </w:pPr>
            <w:r>
              <w:rPr/>
              <w:t>% Required</w:t>
            </w:r>
          </w:p>
        </w:tc>
        <w:tc>
          <w:tcPr>
            <w:tcW w:w="1728" w:type="dxa"/>
            <w:tcBorders/>
          </w:tcPr>
          <w:p>
            <w:pPr>
              <w:pStyle w:val="Normal"/>
              <w:pBdr>
                <w:bottom w:val="single" w:sz="6" w:space="1" w:color="000000"/>
              </w:pBdr>
              <w:spacing w:before="60" w:after="60"/>
              <w:jc w:val="center"/>
              <w:rPr/>
            </w:pPr>
            <w:r>
              <w:rPr/>
              <w:t>MW Required</w:t>
            </w:r>
          </w:p>
        </w:tc>
      </w:tr>
      <w:tr>
        <w:trPr/>
        <w:tc>
          <w:tcPr>
            <w:tcW w:w="1296" w:type="dxa"/>
            <w:tcBorders/>
          </w:tcPr>
          <w:p>
            <w:pPr>
              <w:pStyle w:val="Normal"/>
              <w:spacing w:before="60" w:after="60"/>
              <w:jc w:val="center"/>
              <w:rPr/>
            </w:pPr>
            <w:r>
              <w:rPr/>
              <w:t>1/1/00</w:t>
            </w:r>
          </w:p>
        </w:tc>
        <w:tc>
          <w:tcPr>
            <w:tcW w:w="1296" w:type="dxa"/>
            <w:tcBorders/>
          </w:tcPr>
          <w:p>
            <w:pPr>
              <w:pStyle w:val="Normal"/>
              <w:spacing w:before="60" w:after="60"/>
              <w:jc w:val="center"/>
              <w:rPr/>
            </w:pPr>
            <w:r>
              <w:rPr/>
              <w:t>6/30/01</w:t>
            </w:r>
          </w:p>
        </w:tc>
        <w:tc>
          <w:tcPr>
            <w:tcW w:w="1476" w:type="dxa"/>
            <w:tcBorders/>
          </w:tcPr>
          <w:p>
            <w:pPr>
              <w:pStyle w:val="Normal"/>
              <w:spacing w:before="60" w:after="60"/>
              <w:jc w:val="center"/>
              <w:rPr/>
            </w:pPr>
            <w:r>
              <w:rPr/>
              <w:t>0.50%</w:t>
            </w:r>
          </w:p>
        </w:tc>
        <w:tc>
          <w:tcPr>
            <w:tcW w:w="1728" w:type="dxa"/>
            <w:gridSpan w:val="2"/>
            <w:tcBorders/>
          </w:tcPr>
          <w:p>
            <w:pPr>
              <w:pStyle w:val="Normal"/>
              <w:spacing w:before="60" w:after="60"/>
              <w:jc w:val="center"/>
              <w:rPr/>
            </w:pPr>
            <w:r>
              <w:rPr/>
              <w:t>29.0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7/1/01</w:t>
            </w:r>
          </w:p>
        </w:tc>
        <w:tc>
          <w:tcPr>
            <w:tcW w:w="1296" w:type="dxa"/>
            <w:tcBorders/>
          </w:tcPr>
          <w:p>
            <w:pPr>
              <w:pStyle w:val="Normal"/>
              <w:spacing w:before="60" w:after="60"/>
              <w:jc w:val="center"/>
              <w:rPr/>
            </w:pPr>
            <w:r>
              <w:rPr/>
              <w:t>6/30/02</w:t>
            </w:r>
          </w:p>
        </w:tc>
        <w:tc>
          <w:tcPr>
            <w:tcW w:w="1476" w:type="dxa"/>
            <w:tcBorders/>
          </w:tcPr>
          <w:p>
            <w:pPr>
              <w:pStyle w:val="Normal"/>
              <w:spacing w:before="60" w:after="60"/>
              <w:jc w:val="center"/>
              <w:rPr/>
            </w:pPr>
            <w:r>
              <w:rPr/>
              <w:t>0.75%</w:t>
            </w:r>
          </w:p>
        </w:tc>
        <w:tc>
          <w:tcPr>
            <w:tcW w:w="1728" w:type="dxa"/>
            <w:gridSpan w:val="2"/>
            <w:tcBorders/>
          </w:tcPr>
          <w:p>
            <w:pPr>
              <w:pStyle w:val="Normal"/>
              <w:spacing w:before="60" w:after="60"/>
              <w:jc w:val="center"/>
              <w:rPr/>
            </w:pPr>
            <w:r>
              <w:rPr/>
              <w:t>43.5</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7/1/02</w:t>
            </w:r>
          </w:p>
        </w:tc>
        <w:tc>
          <w:tcPr>
            <w:tcW w:w="1296" w:type="dxa"/>
            <w:tcBorders/>
          </w:tcPr>
          <w:p>
            <w:pPr>
              <w:pStyle w:val="Normal"/>
              <w:spacing w:before="60" w:after="60"/>
              <w:jc w:val="center"/>
              <w:rPr/>
            </w:pPr>
            <w:r>
              <w:rPr/>
              <w:t>6/30/03</w:t>
            </w:r>
          </w:p>
        </w:tc>
        <w:tc>
          <w:tcPr>
            <w:tcW w:w="1476" w:type="dxa"/>
            <w:tcBorders/>
          </w:tcPr>
          <w:p>
            <w:pPr>
              <w:pStyle w:val="Normal"/>
              <w:spacing w:before="60" w:after="60"/>
              <w:jc w:val="center"/>
              <w:rPr/>
            </w:pPr>
            <w:r>
              <w:rPr/>
              <w:t>1.00%</w:t>
            </w:r>
          </w:p>
        </w:tc>
        <w:tc>
          <w:tcPr>
            <w:tcW w:w="1728" w:type="dxa"/>
            <w:gridSpan w:val="2"/>
            <w:tcBorders/>
          </w:tcPr>
          <w:p>
            <w:pPr>
              <w:pStyle w:val="Normal"/>
              <w:spacing w:before="60" w:after="60"/>
              <w:jc w:val="center"/>
              <w:rPr/>
            </w:pPr>
            <w:r>
              <w:rPr/>
              <w:t>58.0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7/1/03</w:t>
            </w:r>
          </w:p>
        </w:tc>
        <w:tc>
          <w:tcPr>
            <w:tcW w:w="1296" w:type="dxa"/>
            <w:tcBorders/>
          </w:tcPr>
          <w:p>
            <w:pPr>
              <w:pStyle w:val="Normal"/>
              <w:spacing w:before="60" w:after="60"/>
              <w:jc w:val="center"/>
              <w:rPr/>
            </w:pPr>
            <w:r>
              <w:rPr/>
              <w:t>6/30/04</w:t>
            </w:r>
          </w:p>
        </w:tc>
        <w:tc>
          <w:tcPr>
            <w:tcW w:w="1476" w:type="dxa"/>
            <w:tcBorders/>
          </w:tcPr>
          <w:p>
            <w:pPr>
              <w:pStyle w:val="Normal"/>
              <w:spacing w:before="60" w:after="60"/>
              <w:jc w:val="center"/>
              <w:rPr/>
            </w:pPr>
            <w:r>
              <w:rPr/>
              <w:t>1.50%</w:t>
            </w:r>
          </w:p>
        </w:tc>
        <w:tc>
          <w:tcPr>
            <w:tcW w:w="1728" w:type="dxa"/>
            <w:gridSpan w:val="2"/>
            <w:tcBorders/>
          </w:tcPr>
          <w:p>
            <w:pPr>
              <w:pStyle w:val="Normal"/>
              <w:spacing w:before="60" w:after="60"/>
              <w:jc w:val="center"/>
              <w:rPr/>
            </w:pPr>
            <w:r>
              <w:rPr/>
              <w:t>87.0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7/1/04</w:t>
            </w:r>
          </w:p>
        </w:tc>
        <w:tc>
          <w:tcPr>
            <w:tcW w:w="1296" w:type="dxa"/>
            <w:tcBorders/>
          </w:tcPr>
          <w:p>
            <w:pPr>
              <w:pStyle w:val="Normal"/>
              <w:spacing w:before="60" w:after="60"/>
              <w:jc w:val="center"/>
              <w:rPr/>
            </w:pPr>
            <w:r>
              <w:rPr/>
              <w:t>6/30/05</w:t>
            </w:r>
          </w:p>
        </w:tc>
        <w:tc>
          <w:tcPr>
            <w:tcW w:w="1476" w:type="dxa"/>
            <w:tcBorders/>
          </w:tcPr>
          <w:p>
            <w:pPr>
              <w:pStyle w:val="Normal"/>
              <w:spacing w:before="60" w:after="60"/>
              <w:jc w:val="center"/>
              <w:rPr/>
            </w:pPr>
            <w:r>
              <w:rPr/>
              <w:t>2.00%</w:t>
            </w:r>
          </w:p>
        </w:tc>
        <w:tc>
          <w:tcPr>
            <w:tcW w:w="1728" w:type="dxa"/>
            <w:gridSpan w:val="2"/>
            <w:tcBorders/>
          </w:tcPr>
          <w:p>
            <w:pPr>
              <w:pStyle w:val="Normal"/>
              <w:spacing w:before="60" w:after="60"/>
              <w:jc w:val="center"/>
              <w:rPr/>
            </w:pPr>
            <w:r>
              <w:rPr/>
              <w:t>116.0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7/1/05</w:t>
            </w:r>
          </w:p>
        </w:tc>
        <w:tc>
          <w:tcPr>
            <w:tcW w:w="1296" w:type="dxa"/>
            <w:tcBorders/>
          </w:tcPr>
          <w:p>
            <w:pPr>
              <w:pStyle w:val="Normal"/>
              <w:spacing w:before="60" w:after="60"/>
              <w:jc w:val="center"/>
              <w:rPr/>
            </w:pPr>
            <w:r>
              <w:rPr/>
              <w:t>6/30/06</w:t>
            </w:r>
          </w:p>
        </w:tc>
        <w:tc>
          <w:tcPr>
            <w:tcW w:w="1476" w:type="dxa"/>
            <w:tcBorders/>
          </w:tcPr>
          <w:p>
            <w:pPr>
              <w:pStyle w:val="Normal"/>
              <w:spacing w:before="60" w:after="60"/>
              <w:jc w:val="center"/>
              <w:rPr/>
            </w:pPr>
            <w:r>
              <w:rPr/>
              <w:t>2.50%</w:t>
            </w:r>
          </w:p>
        </w:tc>
        <w:tc>
          <w:tcPr>
            <w:tcW w:w="1728" w:type="dxa"/>
            <w:gridSpan w:val="2"/>
            <w:tcBorders/>
          </w:tcPr>
          <w:p>
            <w:pPr>
              <w:pStyle w:val="Normal"/>
              <w:spacing w:before="60" w:after="60"/>
              <w:jc w:val="center"/>
              <w:rPr/>
            </w:pPr>
            <w:r>
              <w:rPr/>
              <w:t>145.0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7/1/06</w:t>
            </w:r>
          </w:p>
        </w:tc>
        <w:tc>
          <w:tcPr>
            <w:tcW w:w="1296" w:type="dxa"/>
            <w:tcBorders/>
          </w:tcPr>
          <w:p>
            <w:pPr>
              <w:pStyle w:val="Normal"/>
              <w:spacing w:before="60" w:after="60"/>
              <w:jc w:val="center"/>
              <w:rPr/>
            </w:pPr>
            <w:r>
              <w:rPr/>
              <w:t>6/30/07</w:t>
            </w:r>
          </w:p>
        </w:tc>
        <w:tc>
          <w:tcPr>
            <w:tcW w:w="1476" w:type="dxa"/>
            <w:tcBorders/>
          </w:tcPr>
          <w:p>
            <w:pPr>
              <w:pStyle w:val="Normal"/>
              <w:spacing w:before="60" w:after="60"/>
              <w:jc w:val="center"/>
              <w:rPr/>
            </w:pPr>
            <w:r>
              <w:rPr/>
              <w:t>3.00%</w:t>
            </w:r>
          </w:p>
        </w:tc>
        <w:tc>
          <w:tcPr>
            <w:tcW w:w="1728" w:type="dxa"/>
            <w:gridSpan w:val="2"/>
            <w:tcBorders/>
          </w:tcPr>
          <w:p>
            <w:pPr>
              <w:pStyle w:val="Normal"/>
              <w:spacing w:before="60" w:after="60"/>
              <w:jc w:val="center"/>
              <w:rPr/>
            </w:pPr>
            <w:r>
              <w:rPr/>
              <w:t>174.0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7/1/07</w:t>
            </w:r>
          </w:p>
        </w:tc>
        <w:tc>
          <w:tcPr>
            <w:tcW w:w="1296" w:type="dxa"/>
            <w:tcBorders/>
          </w:tcPr>
          <w:p>
            <w:pPr>
              <w:pStyle w:val="Normal"/>
              <w:spacing w:before="60" w:after="60"/>
              <w:jc w:val="center"/>
              <w:rPr/>
            </w:pPr>
            <w:r>
              <w:rPr/>
              <w:t>6/30/08</w:t>
            </w:r>
          </w:p>
        </w:tc>
        <w:tc>
          <w:tcPr>
            <w:tcW w:w="1476" w:type="dxa"/>
            <w:tcBorders/>
          </w:tcPr>
          <w:p>
            <w:pPr>
              <w:pStyle w:val="Normal"/>
              <w:spacing w:before="60" w:after="60"/>
              <w:jc w:val="center"/>
              <w:rPr/>
            </w:pPr>
            <w:r>
              <w:rPr/>
              <w:t>4.00%</w:t>
            </w:r>
          </w:p>
        </w:tc>
        <w:tc>
          <w:tcPr>
            <w:tcW w:w="1728" w:type="dxa"/>
            <w:gridSpan w:val="2"/>
            <w:tcBorders/>
          </w:tcPr>
          <w:p>
            <w:pPr>
              <w:pStyle w:val="Normal"/>
              <w:spacing w:before="60" w:after="60"/>
              <w:jc w:val="center"/>
              <w:rPr/>
            </w:pPr>
            <w:r>
              <w:rPr/>
              <w:t>232.0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7/1/08</w:t>
            </w:r>
          </w:p>
        </w:tc>
        <w:tc>
          <w:tcPr>
            <w:tcW w:w="1296" w:type="dxa"/>
            <w:tcBorders/>
          </w:tcPr>
          <w:p>
            <w:pPr>
              <w:pStyle w:val="Normal"/>
              <w:spacing w:before="60" w:after="60"/>
              <w:jc w:val="center"/>
              <w:rPr/>
            </w:pPr>
            <w:r>
              <w:rPr/>
              <w:t>6/30/09</w:t>
            </w:r>
          </w:p>
        </w:tc>
        <w:tc>
          <w:tcPr>
            <w:tcW w:w="1476" w:type="dxa"/>
            <w:tcBorders/>
          </w:tcPr>
          <w:p>
            <w:pPr>
              <w:pStyle w:val="Normal"/>
              <w:spacing w:before="60" w:after="60"/>
              <w:jc w:val="center"/>
              <w:rPr/>
            </w:pPr>
            <w:r>
              <w:rPr/>
              <w:t>5.00%</w:t>
            </w:r>
          </w:p>
        </w:tc>
        <w:tc>
          <w:tcPr>
            <w:tcW w:w="1728" w:type="dxa"/>
            <w:gridSpan w:val="2"/>
            <w:tcBorders/>
          </w:tcPr>
          <w:p>
            <w:pPr>
              <w:pStyle w:val="Normal"/>
              <w:spacing w:before="60" w:after="60"/>
              <w:jc w:val="center"/>
              <w:rPr/>
            </w:pPr>
            <w:r>
              <w:rPr/>
              <w:t>290.0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7/1/09</w:t>
            </w:r>
          </w:p>
        </w:tc>
        <w:tc>
          <w:tcPr>
            <w:tcW w:w="1296" w:type="dxa"/>
            <w:tcBorders/>
          </w:tcPr>
          <w:p>
            <w:pPr>
              <w:pStyle w:val="Normal"/>
              <w:spacing w:before="60" w:after="60"/>
              <w:jc w:val="center"/>
              <w:rPr/>
            </w:pPr>
            <w:r>
              <w:rPr/>
              <w:t>Thereafter</w:t>
            </w:r>
          </w:p>
        </w:tc>
        <w:tc>
          <w:tcPr>
            <w:tcW w:w="1476" w:type="dxa"/>
            <w:tcBorders/>
          </w:tcPr>
          <w:p>
            <w:pPr>
              <w:pStyle w:val="Normal"/>
              <w:spacing w:before="60" w:after="60"/>
              <w:jc w:val="center"/>
              <w:rPr/>
            </w:pPr>
            <w:r>
              <w:rPr/>
              <w:t>6.00%</w:t>
            </w:r>
          </w:p>
        </w:tc>
        <w:tc>
          <w:tcPr>
            <w:tcW w:w="1728" w:type="dxa"/>
            <w:gridSpan w:val="2"/>
            <w:tcBorders/>
          </w:tcPr>
          <w:p>
            <w:pPr>
              <w:pStyle w:val="Normal"/>
              <w:spacing w:before="60" w:after="60"/>
              <w:jc w:val="center"/>
              <w:rPr/>
            </w:pPr>
            <w:r>
              <w:rPr/>
              <w:t>348.0</w:t>
            </w:r>
          </w:p>
        </w:tc>
        <w:tc>
          <w:tcPr>
            <w:tcW w:w="1476" w:type="dxa"/>
            <w:tcBorders/>
          </w:tcPr>
          <w:p>
            <w:pPr>
              <w:pStyle w:val="Normal"/>
              <w:spacing w:before="60" w:after="60"/>
              <w:jc w:val="center"/>
              <w:rPr/>
            </w:pPr>
            <w:r>
              <w:rPr/>
              <w:t>7.00%</w:t>
            </w:r>
          </w:p>
        </w:tc>
        <w:tc>
          <w:tcPr>
            <w:tcW w:w="1728" w:type="dxa"/>
            <w:tcBorders/>
          </w:tcPr>
          <w:p>
            <w:pPr>
              <w:pStyle w:val="Normal"/>
              <w:spacing w:before="60" w:after="60"/>
              <w:jc w:val="center"/>
              <w:rPr/>
            </w:pPr>
            <w:r>
              <w:rPr/>
              <w:t>406.0</w:t>
            </w:r>
          </w:p>
        </w:tc>
      </w:tr>
    </w:tbl>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r>
        <w:br w:type="page"/>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r>
    </w:p>
    <w:p>
      <w:pPr>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rFonts w:eastAsia="CG Times"/>
        </w:rPr>
      </w:pPr>
      <w:r>
        <w:rPr>
          <w:rFonts w:eastAsia="CG Times"/>
        </w:rPr>
        <w:t xml:space="preser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u w:val="double"/>
        </w:rPr>
      </w:pPr>
      <w:r>
        <w:rPr>
          <w:b/>
          <w:u w:val="double"/>
        </w:rPr>
        <w:t>CONFIDENTIAL/PROPRIETARY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u w:val="double"/>
        </w:rPr>
      </w:pPr>
      <w:r>
        <w:rPr>
          <w:b/>
          <w:u w:val="double"/>
        </w:rPr>
        <w:t>FILED UNDER PROTECTIVE ORDER</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u w:val="double"/>
        </w:rPr>
      </w:pPr>
      <w:r>
        <w:rPr>
          <w:b/>
          <w:u w:val="doubl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u w:val="double"/>
        </w:rPr>
      </w:pPr>
      <w:r>
        <w:rPr>
          <w:b/>
          <w:u w:val="double"/>
        </w:rPr>
      </w:r>
    </w:p>
    <w:p>
      <w:pPr>
        <w:pStyle w:val="Normal"/>
        <w:jc w:val="center"/>
        <w:rPr>
          <w:b/>
          <w:u w:val="double"/>
        </w:rPr>
      </w:pPr>
      <w:r>
        <w:rPr>
          <w:b/>
          <w:u w:val="double"/>
        </w:rPr>
        <w:t>Exhibit B</w:t>
      </w:r>
    </w:p>
    <w:p>
      <w:pPr>
        <w:pStyle w:val="Normal"/>
        <w:jc w:val="center"/>
        <w:rPr>
          <w:b/>
          <w:sz w:val="32"/>
          <w:u w:val="double"/>
        </w:rPr>
      </w:pPr>
      <w:r>
        <w:rPr>
          <w:b/>
          <w:sz w:val="32"/>
          <w:u w:val="double"/>
        </w:rPr>
        <w:t xml:space="preserve">Expected All-In Cost per Plant </w:t>
      </w:r>
    </w:p>
    <w:p>
      <w:pPr>
        <w:pStyle w:val="Normal"/>
        <w:rPr>
          <w:b/>
          <w:sz w:val="32"/>
          <w:u w:val="double"/>
        </w:rPr>
      </w:pPr>
      <w:r>
        <w:rPr>
          <w:b/>
          <w:sz w:val="32"/>
          <w:u w:val="doubl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10710" w:leader="none"/>
        </w:tabs>
        <w:ind w:start="-720" w:end="1260"/>
        <w:rPr>
          <w:b/>
          <w:u w:val="double"/>
        </w:rPr>
      </w:pPr>
      <w:r>
        <w:rPr>
          <w:b/>
          <w:u w:val="double"/>
        </w:rPr>
      </w:r>
      <w:r>
        <mc:AlternateContent>
          <mc:Choice Requires="wps">
            <w:drawing>
              <wp:anchor behindDoc="0" distT="0" distB="0" distL="114300" distR="114300" simplePos="0" locked="0" layoutInCell="0" allowOverlap="1" relativeHeight="2">
                <wp:simplePos x="0" y="0"/>
                <wp:positionH relativeFrom="page">
                  <wp:posOffset>809625</wp:posOffset>
                </wp:positionH>
                <wp:positionV relativeFrom="paragraph">
                  <wp:posOffset>398780</wp:posOffset>
                </wp:positionV>
                <wp:extent cx="6972935" cy="4603750"/>
                <wp:effectExtent l="0" t="0" r="0" b="0"/>
                <wp:wrapSquare wrapText="bothSides"/>
                <wp:docPr id="1" name="Frame1"/>
                <a:graphic xmlns:a="http://schemas.openxmlformats.org/drawingml/2006/main">
                  <a:graphicData uri="http://schemas.microsoft.com/office/word/2010/wordprocessingShape">
                    <wps:wsp>
                      <wps:cNvSpPr txBox="1"/>
                      <wps:spPr>
                        <a:xfrm>
                          <a:off x="0" y="0"/>
                          <a:ext cx="6972935" cy="4603750"/>
                        </a:xfrm>
                        <a:prstGeom prst="rect"/>
                        <a:solidFill>
                          <a:srgbClr val="FFFFFF">
                            <a:alpha val="0"/>
                          </a:srgbClr>
                        </a:solidFill>
                      </wps:spPr>
                      <wps:txbx>
                        <w:txbxContent>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b/>
                                <w:u w:val="double"/>
                              </w:rPr>
                            </w:pPr>
                            <w:r>
                              <w:rPr>
                                <w:sz w:val="20"/>
                              </w:rPr>
                              <w:object w:dxaOrig="11102" w:dyaOrig="725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71.8pt;height:362.5pt" filled="f" o:ole="">
                                  <v:imagedata r:id="rId7" o:title=""/>
                                </v:shape>
                                <o:OLEObject Type="Embed" ProgID="" ShapeID="ole_rId6" DrawAspect="Content" ObjectID="_1341373541" r:id="rId6"/>
                              </w:object>
                            </w:r>
                          </w:p>
                        </w:txbxContent>
                      </wps:txbx>
                      <wps:bodyPr anchor="t" lIns="0" tIns="0" rIns="0" bIns="0">
                        <a:noAutofit/>
                      </wps:bodyPr>
                    </wps:wsp>
                  </a:graphicData>
                </a:graphic>
              </wp:anchor>
            </w:drawing>
          </mc:Choice>
          <mc:Fallback>
            <w:pict>
              <v:rect fillcolor="#FFFFFF" style="position:absolute;rotation:-0;width:549.05pt;height:362.5pt;mso-wrap-distance-left:9pt;mso-wrap-distance-right:9pt;mso-wrap-distance-top:0pt;mso-wrap-distance-bottom:0pt;margin-top:31.4pt;mso-position-vertical-relative:text;margin-left:63.75pt;mso-position-horizontal-relative:page">
                <v:fill opacity="0f"/>
                <v:textbox inset="0in,0in,0in,0in">
                  <w:txbxContent>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b/>
                          <w:u w:val="double"/>
                        </w:rPr>
                      </w:pPr>
                      <w:r>
                        <w:rPr>
                          <w:sz w:val="20"/>
                        </w:rPr>
                        <w:object w:dxaOrig="11102" w:dyaOrig="725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71.8pt;height:362.5pt" filled="f" o:ole="">
                            <v:imagedata r:id="rId9" o:title=""/>
                          </v:shape>
                          <o:OLEObject Type="Embed" ProgID="" ShapeID="ole_rId8" DrawAspect="Content" ObjectID="_237000704" r:id="rId8"/>
                        </w:object>
                      </w:r>
                    </w:p>
                  </w:txbxContent>
                </v:textbox>
                <w10:wrap type="square"/>
              </v:rect>
            </w:pict>
          </mc:Fallback>
        </mc:AlternateContent>
      </w:r>
    </w:p>
    <w:p>
      <w:pPr>
        <w:sectPr>
          <w:footerReference w:type="default" r:id="rId10"/>
          <w:footerReference w:type="first" r:id="rId11"/>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ind w:end="1260"/>
        <w:rPr>
          <w:b/>
          <w:u w:val="double"/>
        </w:rPr>
      </w:pPr>
      <w:r>
        <w:rPr>
          <w:b/>
          <w:u w:val="double"/>
        </w:rPr>
      </w:r>
    </w:p>
    <w:p>
      <w:pPr>
        <w:pStyle w:val="Normal"/>
        <w:ind w:end="1260"/>
        <w:rPr>
          <w:b/>
          <w:u w:val="double"/>
        </w:rPr>
      </w:pPr>
      <w:r>
        <w:rPr>
          <w:b/>
          <w:u w:val="double"/>
        </w:rPr>
      </w:r>
    </w:p>
    <w:p>
      <w:pPr>
        <w:pStyle w:val="Normal"/>
        <w:ind w:end="1260"/>
        <w:jc w:val="center"/>
        <w:rPr>
          <w:b/>
          <w:u w:val="double"/>
        </w:rPr>
      </w:pPr>
      <w:r>
        <w:rPr>
          <w:b/>
          <w:u w:val="double"/>
        </w:rPr>
        <w:t>Exhibit C</w:t>
      </w:r>
    </w:p>
    <w:p>
      <w:pPr>
        <w:pStyle w:val="Normal"/>
        <w:ind w:end="1260"/>
        <w:jc w:val="center"/>
        <w:rPr>
          <w:b/>
          <w:sz w:val="32"/>
          <w:u w:val="double"/>
        </w:rPr>
      </w:pPr>
      <w:r>
        <w:rPr>
          <w:b/>
          <w:sz w:val="32"/>
          <w:u w:val="double"/>
        </w:rPr>
        <w:t>Cumulative Expected Project Costs</w:t>
      </w:r>
    </w:p>
    <w:p>
      <w:pPr>
        <w:pStyle w:val="Normal"/>
        <w:ind w:end="1260"/>
        <w:rPr>
          <w:b/>
          <w:sz w:val="32"/>
          <w:u w:val="double"/>
        </w:rPr>
      </w:pPr>
      <w:r>
        <w:rPr>
          <w:b/>
          <w:sz w:val="32"/>
          <w:u w:val="double"/>
        </w:rPr>
      </w:r>
    </w:p>
    <w:p>
      <w:pPr>
        <w:pStyle w:val="Normal"/>
        <w:ind w:end="1260"/>
        <w:rPr>
          <w:b/>
          <w:u w:val="double"/>
        </w:rPr>
      </w:pPr>
      <w:r>
        <w:rPr>
          <w:b/>
          <w:u w:val="double"/>
        </w:rPr>
      </w:r>
    </w:p>
    <w:p>
      <w:pPr>
        <w:pStyle w:val="Normal"/>
        <w:ind w:end="1260"/>
        <w:rPr>
          <w:b/>
          <w:u w:val="double"/>
        </w:rPr>
      </w:pPr>
      <w:r>
        <w:rPr>
          <w:b/>
          <w:u w:val="double"/>
        </w:rPr>
      </w:r>
    </w:p>
    <w:tbl>
      <w:tblPr>
        <w:tblW w:w="7578" w:type="dxa"/>
        <w:jc w:val="start"/>
        <w:tblInd w:w="0" w:type="dxa"/>
        <w:tblLayout w:type="fixed"/>
        <w:tblCellMar>
          <w:top w:w="0" w:type="dxa"/>
          <w:start w:w="108" w:type="dxa"/>
          <w:bottom w:w="0" w:type="dxa"/>
          <w:end w:w="108" w:type="dxa"/>
        </w:tblCellMar>
      </w:tblPr>
      <w:tblGrid>
        <w:gridCol w:w="4518"/>
        <w:gridCol w:w="3060"/>
      </w:tblGrid>
      <w:tr>
        <w:trPr/>
        <w:tc>
          <w:tcPr>
            <w:tcW w:w="4518" w:type="dxa"/>
            <w:tcBorders>
              <w:top w:val="single" w:sz="6" w:space="0" w:color="000000"/>
              <w:start w:val="single" w:sz="6" w:space="0" w:color="000000"/>
            </w:tcBorders>
          </w:tcPr>
          <w:p>
            <w:pPr>
              <w:pStyle w:val="Normal"/>
              <w:spacing w:before="60" w:after="60"/>
              <w:ind w:end="1260"/>
              <w:rPr/>
            </w:pPr>
            <w:r>
              <w:rPr>
                <w:b/>
                <w:u w:val="double"/>
              </w:rPr>
              <w:t xml:space="preserve">Total Installation Costs, </w:t>
            </w:r>
            <w:r>
              <w:rPr/>
              <w:br/>
            </w:r>
            <w:r>
              <w:rPr>
                <w:b/>
                <w:u w:val="double"/>
              </w:rPr>
              <w:t>Incl. Balance of Plant Costs</w:t>
            </w:r>
          </w:p>
        </w:tc>
        <w:tc>
          <w:tcPr>
            <w:tcW w:w="3060" w:type="dxa"/>
            <w:tcBorders>
              <w:top w:val="single" w:sz="6" w:space="0" w:color="000000"/>
              <w:end w:val="single" w:sz="6" w:space="0" w:color="000000"/>
            </w:tcBorders>
          </w:tcPr>
          <w:p>
            <w:pPr>
              <w:pStyle w:val="Normal"/>
              <w:spacing w:before="60" w:after="60"/>
              <w:ind w:end="1260"/>
              <w:jc w:val="end"/>
              <w:rPr/>
            </w:pPr>
            <w:r>
              <w:rPr/>
              <w:br/>
            </w:r>
            <w:r>
              <w:rPr>
                <w:b/>
                <w:u w:val="double"/>
              </w:rPr>
              <w:t>$164,914,552</w:t>
            </w:r>
          </w:p>
        </w:tc>
      </w:tr>
      <w:tr>
        <w:trPr/>
        <w:tc>
          <w:tcPr>
            <w:tcW w:w="4518" w:type="dxa"/>
            <w:tcBorders>
              <w:start w:val="single" w:sz="6" w:space="0" w:color="000000"/>
            </w:tcBorders>
          </w:tcPr>
          <w:p>
            <w:pPr>
              <w:pStyle w:val="Heading1"/>
              <w:spacing w:before="60" w:after="60"/>
              <w:ind w:hanging="0" w:start="0" w:end="1260"/>
              <w:rPr>
                <w:b/>
                <w:u w:val="double"/>
              </w:rPr>
            </w:pPr>
            <w:r>
              <w:rPr>
                <w:b/>
                <w:u w:val="double"/>
              </w:rPr>
              <w:t>ENA Management Fee</w:t>
            </w:r>
          </w:p>
        </w:tc>
        <w:tc>
          <w:tcPr>
            <w:tcW w:w="3060" w:type="dxa"/>
            <w:tcBorders>
              <w:end w:val="single" w:sz="6" w:space="0" w:color="000000"/>
            </w:tcBorders>
          </w:tcPr>
          <w:p>
            <w:pPr>
              <w:pStyle w:val="Normal"/>
              <w:spacing w:before="60" w:after="60"/>
              <w:ind w:end="1260"/>
              <w:jc w:val="end"/>
              <w:rPr>
                <w:b/>
                <w:u w:val="double"/>
              </w:rPr>
            </w:pPr>
            <w:r>
              <w:rPr>
                <w:b/>
                <w:u w:val="double"/>
              </w:rPr>
              <w:t>$16,300,000</w:t>
            </w:r>
          </w:p>
        </w:tc>
      </w:tr>
      <w:tr>
        <w:trPr/>
        <w:tc>
          <w:tcPr>
            <w:tcW w:w="4518" w:type="dxa"/>
            <w:tcBorders>
              <w:start w:val="single" w:sz="6" w:space="0" w:color="000000"/>
            </w:tcBorders>
          </w:tcPr>
          <w:p>
            <w:pPr>
              <w:pStyle w:val="Heading1"/>
              <w:spacing w:before="60" w:after="60"/>
              <w:ind w:hanging="0" w:start="0" w:end="1260"/>
              <w:rPr>
                <w:b/>
                <w:u w:val="double"/>
              </w:rPr>
            </w:pPr>
            <w:r>
              <w:rPr>
                <w:b/>
                <w:u w:val="double"/>
              </w:rPr>
              <w:t>Project Contingency</w:t>
            </w:r>
          </w:p>
        </w:tc>
        <w:tc>
          <w:tcPr>
            <w:tcW w:w="3060" w:type="dxa"/>
            <w:tcBorders>
              <w:end w:val="single" w:sz="6" w:space="0" w:color="000000"/>
            </w:tcBorders>
          </w:tcPr>
          <w:p>
            <w:pPr>
              <w:pStyle w:val="Normal"/>
              <w:pBdr>
                <w:bottom w:val="single" w:sz="6" w:space="1" w:color="000000"/>
              </w:pBdr>
              <w:spacing w:before="60" w:after="60"/>
              <w:ind w:end="1260"/>
              <w:jc w:val="end"/>
              <w:rPr>
                <w:b/>
                <w:u w:val="double"/>
              </w:rPr>
            </w:pPr>
            <w:r>
              <w:rPr>
                <w:b/>
                <w:u w:val="double"/>
              </w:rPr>
              <w:t>$5,000,000</w:t>
            </w:r>
          </w:p>
        </w:tc>
      </w:tr>
      <w:tr>
        <w:trPr/>
        <w:tc>
          <w:tcPr>
            <w:tcW w:w="4518" w:type="dxa"/>
            <w:tcBorders>
              <w:start w:val="single" w:sz="6" w:space="0" w:color="000000"/>
              <w:bottom w:val="single" w:sz="6" w:space="0" w:color="000000"/>
            </w:tcBorders>
          </w:tcPr>
          <w:p>
            <w:pPr>
              <w:pStyle w:val="Normal"/>
              <w:spacing w:before="60" w:after="60"/>
              <w:ind w:end="1260"/>
              <w:rPr>
                <w:b/>
                <w:u w:val="double"/>
              </w:rPr>
            </w:pPr>
            <w:r>
              <w:rPr>
                <w:b/>
                <w:u w:val="double"/>
              </w:rPr>
              <w:t>Total Expected Project Cost</w:t>
            </w:r>
          </w:p>
        </w:tc>
        <w:tc>
          <w:tcPr>
            <w:tcW w:w="3060" w:type="dxa"/>
            <w:tcBorders>
              <w:bottom w:val="single" w:sz="6" w:space="0" w:color="000000"/>
              <w:end w:val="single" w:sz="6" w:space="0" w:color="000000"/>
            </w:tcBorders>
          </w:tcPr>
          <w:p>
            <w:pPr>
              <w:pStyle w:val="Normal"/>
              <w:spacing w:before="60" w:after="60"/>
              <w:ind w:end="1260"/>
              <w:jc w:val="end"/>
              <w:rPr>
                <w:b/>
                <w:u w:val="double"/>
              </w:rPr>
            </w:pPr>
            <w:r>
              <w:rPr>
                <w:b/>
                <w:u w:val="double"/>
              </w:rPr>
              <w:t>$186,214,552</w:t>
            </w:r>
          </w:p>
        </w:tc>
      </w:tr>
      <w:tr>
        <w:trPr/>
        <w:tc>
          <w:tcPr>
            <w:tcW w:w="4518" w:type="dxa"/>
            <w:tcBorders/>
          </w:tcPr>
          <w:p>
            <w:pPr>
              <w:pStyle w:val="Normal"/>
              <w:snapToGrid w:val="false"/>
              <w:spacing w:before="60" w:after="60"/>
              <w:ind w:end="1260"/>
              <w:rPr>
                <w:b/>
                <w:u w:val="double"/>
              </w:rPr>
            </w:pPr>
            <w:r>
              <w:rPr>
                <w:b/>
                <w:u w:val="double"/>
              </w:rPr>
            </w:r>
          </w:p>
        </w:tc>
        <w:tc>
          <w:tcPr>
            <w:tcW w:w="3060" w:type="dxa"/>
            <w:tcBorders/>
          </w:tcPr>
          <w:p>
            <w:pPr>
              <w:pStyle w:val="Normal"/>
              <w:snapToGrid w:val="false"/>
              <w:spacing w:before="60" w:after="60"/>
              <w:ind w:end="1260"/>
              <w:jc w:val="end"/>
              <w:rPr>
                <w:b/>
                <w:u w:val="double"/>
              </w:rPr>
            </w:pPr>
            <w:r>
              <w:rPr>
                <w:b/>
                <w:u w:val="double"/>
              </w:rPr>
            </w:r>
          </w:p>
        </w:tc>
      </w:tr>
    </w:tbl>
    <w:p>
      <w:pPr>
        <w:pStyle w:val="Normal"/>
        <w:ind w:end="1260"/>
        <w:rPr>
          <w:b/>
          <w:u w:val="double"/>
        </w:rPr>
      </w:pPr>
      <w:r>
        <w:rPr>
          <w:b/>
          <w:u w:val="double"/>
        </w:rPr>
      </w:r>
      <w:r>
        <w:br w:type="page"/>
      </w:r>
    </w:p>
    <w:p>
      <w:pPr>
        <w:pStyle w:val="Heading"/>
        <w:ind w:end="1260"/>
        <w:rPr>
          <w:rFonts w:ascii="CG Times" w:hAnsi="CG Times" w:cs="CG Times"/>
          <w:sz w:val="24"/>
          <w:u w:val="double"/>
        </w:rPr>
      </w:pPr>
      <w:r>
        <w:rPr>
          <w:rFonts w:cs="CG Times" w:ascii="CG Times" w:hAnsi="CG Times"/>
          <w:sz w:val="24"/>
          <w:u w:val="double"/>
        </w:rPr>
        <w:t>Exhibit E</w:t>
      </w:r>
    </w:p>
    <w:p>
      <w:pPr>
        <w:pStyle w:val="Heading"/>
        <w:ind w:end="1260"/>
        <w:rPr>
          <w:u w:val="double"/>
        </w:rPr>
      </w:pPr>
      <w:r>
        <w:rPr>
          <w:u w:val="double"/>
        </w:rPr>
        <w:t>Emissions Comparison Table</w:t>
      </w:r>
    </w:p>
    <w:p>
      <w:pPr>
        <w:pStyle w:val="Normal"/>
        <w:ind w:end="1260"/>
        <w:rPr>
          <w:b/>
          <w:sz w:val="22"/>
          <w:u w:val="double"/>
        </w:rPr>
      </w:pPr>
      <w:r>
        <w:rPr>
          <w:b/>
          <w:sz w:val="22"/>
          <w:u w:val="double"/>
        </w:rPr>
      </w:r>
    </w:p>
    <w:p>
      <w:pPr>
        <w:pStyle w:val="Normal"/>
        <w:rPr>
          <w:b/>
          <w:sz w:val="22"/>
          <w:u w:val="double"/>
        </w:rPr>
      </w:pPr>
      <w:r>
        <w:rPr>
          <w:b/>
          <w:sz w:val="22"/>
          <w:u w:val="double"/>
        </w:rPr>
      </w:r>
    </w:p>
    <w:p>
      <w:pPr>
        <w:pStyle w:val="Normal"/>
        <w:rPr>
          <w:b/>
          <w:sz w:val="22"/>
          <w:u w:val="double"/>
        </w:rPr>
      </w:pPr>
      <w:r>
        <w:rPr>
          <w:b/>
          <w:sz w:val="22"/>
          <w:u w:val="double"/>
        </w:rPr>
      </w:r>
    </w:p>
    <w:tbl>
      <w:tblPr>
        <w:tblW w:w="9259" w:type="dxa"/>
        <w:jc w:val="start"/>
        <w:tblInd w:w="0" w:type="dxa"/>
        <w:tblLayout w:type="fixed"/>
        <w:tblCellMar>
          <w:top w:w="0" w:type="dxa"/>
          <w:start w:w="108" w:type="dxa"/>
          <w:bottom w:w="0" w:type="dxa"/>
          <w:end w:w="108" w:type="dxa"/>
        </w:tblCellMar>
      </w:tblPr>
      <w:tblGrid>
        <w:gridCol w:w="1771"/>
        <w:gridCol w:w="1872"/>
        <w:gridCol w:w="1872"/>
        <w:gridCol w:w="1872"/>
        <w:gridCol w:w="1872"/>
      </w:tblGrid>
      <w:tr>
        <w:trPr/>
        <w:tc>
          <w:tcPr>
            <w:tcW w:w="1771" w:type="dxa"/>
            <w:tcBorders/>
          </w:tcPr>
          <w:p>
            <w:pPr>
              <w:pStyle w:val="Normal"/>
              <w:snapToGrid w:val="false"/>
              <w:jc w:val="center"/>
              <w:rPr>
                <w:b/>
                <w:sz w:val="22"/>
                <w:u w:val="double"/>
              </w:rPr>
            </w:pPr>
            <w:r>
              <w:rPr>
                <w:b/>
                <w:sz w:val="22"/>
                <w:u w:val="double"/>
              </w:rPr>
            </w:r>
          </w:p>
        </w:tc>
        <w:tc>
          <w:tcPr>
            <w:tcW w:w="1872" w:type="dxa"/>
            <w:tcBorders/>
          </w:tcPr>
          <w:p>
            <w:pPr>
              <w:pStyle w:val="Normal"/>
              <w:pBdr>
                <w:bottom w:val="single" w:sz="6" w:space="1" w:color="000000"/>
              </w:pBdr>
              <w:jc w:val="center"/>
              <w:rPr/>
            </w:pPr>
            <w:r>
              <w:rPr>
                <w:b/>
                <w:sz w:val="22"/>
              </w:rPr>
              <w:br/>
            </w:r>
            <w:r>
              <w:rPr>
                <w:b/>
                <w:sz w:val="22"/>
                <w:u w:val="double"/>
              </w:rPr>
              <w:t>2.0 MW Fuel Cell Plant</w:t>
            </w:r>
          </w:p>
        </w:tc>
        <w:tc>
          <w:tcPr>
            <w:tcW w:w="1872" w:type="dxa"/>
            <w:tcBorders/>
          </w:tcPr>
          <w:p>
            <w:pPr>
              <w:pStyle w:val="Normal"/>
              <w:pBdr>
                <w:bottom w:val="single" w:sz="6" w:space="1" w:color="000000"/>
              </w:pBdr>
              <w:jc w:val="center"/>
              <w:rPr>
                <w:b/>
                <w:sz w:val="22"/>
                <w:u w:val="double"/>
              </w:rPr>
            </w:pPr>
            <w:r>
              <w:rPr>
                <w:b/>
                <w:sz w:val="22"/>
              </w:rPr>
              <w:br/>
            </w:r>
            <w:r>
              <w:rPr>
                <w:b/>
                <w:sz w:val="22"/>
                <w:u w:val="double"/>
              </w:rPr>
              <w:t xml:space="preserve">Simple-Cycle Gas Fired Plant </w:t>
            </w:r>
            <w:r>
              <w:rPr>
                <w:b/>
                <w:sz w:val="18"/>
                <w:u w:val="double"/>
                <w:vertAlign w:val="superscript"/>
              </w:rPr>
              <w:t>1</w:t>
            </w:r>
          </w:p>
        </w:tc>
        <w:tc>
          <w:tcPr>
            <w:tcW w:w="1872" w:type="dxa"/>
            <w:tcBorders/>
          </w:tcPr>
          <w:p>
            <w:pPr>
              <w:pStyle w:val="Normal"/>
              <w:pBdr>
                <w:bottom w:val="single" w:sz="6" w:space="1" w:color="000000"/>
              </w:pBdr>
              <w:jc w:val="center"/>
              <w:rPr>
                <w:b/>
                <w:sz w:val="22"/>
                <w:u w:val="double"/>
              </w:rPr>
            </w:pPr>
            <w:r>
              <w:rPr>
                <w:b/>
                <w:sz w:val="22"/>
              </w:rPr>
              <w:br/>
            </w:r>
            <w:r>
              <w:rPr>
                <w:b/>
                <w:sz w:val="22"/>
                <w:u w:val="double"/>
              </w:rPr>
              <w:t xml:space="preserve">Combined-Cycle Gas Fired Plant </w:t>
            </w:r>
            <w:r>
              <w:rPr>
                <w:b/>
                <w:sz w:val="18"/>
                <w:u w:val="double"/>
                <w:vertAlign w:val="superscript"/>
              </w:rPr>
              <w:t>2</w:t>
            </w:r>
          </w:p>
        </w:tc>
        <w:tc>
          <w:tcPr>
            <w:tcW w:w="1872" w:type="dxa"/>
            <w:tcBorders/>
          </w:tcPr>
          <w:p>
            <w:pPr>
              <w:pStyle w:val="Normal"/>
              <w:pBdr>
                <w:bottom w:val="single" w:sz="6" w:space="1" w:color="000000"/>
              </w:pBdr>
              <w:jc w:val="center"/>
              <w:rPr/>
            </w:pPr>
            <w:r>
              <w:rPr>
                <w:b/>
                <w:sz w:val="22"/>
              </w:rPr>
              <w:br/>
              <w:br/>
            </w:r>
            <w:r>
              <w:rPr>
                <w:b/>
                <w:sz w:val="22"/>
                <w:u w:val="double"/>
              </w:rPr>
              <w:t>Coal Fired Plant</w:t>
            </w:r>
          </w:p>
        </w:tc>
      </w:tr>
      <w:tr>
        <w:trPr/>
        <w:tc>
          <w:tcPr>
            <w:tcW w:w="1771" w:type="dxa"/>
            <w:tcBorders/>
          </w:tcPr>
          <w:p>
            <w:pPr>
              <w:pStyle w:val="Normal"/>
              <w:rPr>
                <w:b/>
                <w:sz w:val="22"/>
                <w:u w:val="double"/>
              </w:rPr>
            </w:pPr>
            <w:r>
              <w:rPr>
                <w:b/>
                <w:sz w:val="22"/>
                <w:u w:val="double"/>
              </w:rPr>
              <w:t>NOx (ppmv)</w:t>
            </w:r>
          </w:p>
        </w:tc>
        <w:tc>
          <w:tcPr>
            <w:tcW w:w="1872" w:type="dxa"/>
            <w:tcBorders/>
          </w:tcPr>
          <w:p>
            <w:pPr>
              <w:pStyle w:val="Normal"/>
              <w:jc w:val="center"/>
              <w:rPr>
                <w:b/>
                <w:sz w:val="22"/>
                <w:u w:val="double"/>
              </w:rPr>
            </w:pPr>
            <w:r>
              <w:rPr>
                <w:b/>
                <w:sz w:val="22"/>
                <w:u w:val="double"/>
              </w:rPr>
              <w:t>&lt;0.1</w:t>
            </w:r>
          </w:p>
        </w:tc>
        <w:tc>
          <w:tcPr>
            <w:tcW w:w="1872" w:type="dxa"/>
            <w:tcBorders/>
          </w:tcPr>
          <w:p>
            <w:pPr>
              <w:pStyle w:val="Normal"/>
              <w:jc w:val="center"/>
              <w:rPr/>
            </w:pPr>
            <w:r>
              <w:rPr>
                <w:b/>
                <w:sz w:val="22"/>
                <w:u w:val="double"/>
              </w:rPr>
              <w:t xml:space="preserve">9.0 </w:t>
            </w:r>
            <w:r>
              <w:rPr>
                <w:sz w:val="22"/>
              </w:rPr>
              <w:t xml:space="preserve">– </w:t>
            </w:r>
            <w:r>
              <w:rPr>
                <w:b/>
                <w:sz w:val="22"/>
                <w:u w:val="double"/>
              </w:rPr>
              <w:t>25.0</w:t>
            </w:r>
          </w:p>
        </w:tc>
        <w:tc>
          <w:tcPr>
            <w:tcW w:w="1872" w:type="dxa"/>
            <w:tcBorders/>
          </w:tcPr>
          <w:p>
            <w:pPr>
              <w:pStyle w:val="Normal"/>
              <w:jc w:val="center"/>
              <w:rPr/>
            </w:pPr>
            <w:r>
              <w:rPr>
                <w:b/>
                <w:sz w:val="22"/>
                <w:u w:val="double"/>
              </w:rPr>
              <w:t xml:space="preserve">2.5 </w:t>
            </w:r>
            <w:r>
              <w:rPr>
                <w:sz w:val="22"/>
              </w:rPr>
              <w:t xml:space="preserve">– </w:t>
            </w:r>
            <w:r>
              <w:rPr>
                <w:b/>
                <w:sz w:val="22"/>
                <w:u w:val="double"/>
              </w:rPr>
              <w:t>25.0</w:t>
            </w:r>
          </w:p>
        </w:tc>
        <w:tc>
          <w:tcPr>
            <w:tcW w:w="1872" w:type="dxa"/>
            <w:tcBorders/>
          </w:tcPr>
          <w:p>
            <w:pPr>
              <w:pStyle w:val="Normal"/>
              <w:jc w:val="center"/>
              <w:rPr/>
            </w:pPr>
            <w:r>
              <w:rPr>
                <w:b/>
                <w:sz w:val="22"/>
                <w:u w:val="double"/>
              </w:rPr>
              <w:t xml:space="preserve">39.9 </w:t>
            </w:r>
            <w:r>
              <w:rPr>
                <w:sz w:val="22"/>
              </w:rPr>
              <w:t xml:space="preserve">– </w:t>
            </w:r>
            <w:r>
              <w:rPr>
                <w:b/>
                <w:sz w:val="22"/>
                <w:u w:val="double"/>
              </w:rPr>
              <w:t>171.0</w:t>
            </w:r>
          </w:p>
        </w:tc>
      </w:tr>
      <w:tr>
        <w:trPr/>
        <w:tc>
          <w:tcPr>
            <w:tcW w:w="1771" w:type="dxa"/>
            <w:tcBorders/>
          </w:tcPr>
          <w:p>
            <w:pPr>
              <w:pStyle w:val="Normal"/>
              <w:rPr>
                <w:b/>
                <w:sz w:val="22"/>
                <w:u w:val="double"/>
              </w:rPr>
            </w:pPr>
            <w:r>
              <w:rPr>
                <w:b/>
                <w:sz w:val="22"/>
                <w:u w:val="double"/>
              </w:rPr>
              <w:t>SOx (ppmv)</w:t>
            </w:r>
          </w:p>
        </w:tc>
        <w:tc>
          <w:tcPr>
            <w:tcW w:w="1872" w:type="dxa"/>
            <w:tcBorders/>
          </w:tcPr>
          <w:p>
            <w:pPr>
              <w:pStyle w:val="Normal"/>
              <w:jc w:val="center"/>
              <w:rPr>
                <w:b/>
                <w:sz w:val="22"/>
                <w:u w:val="double"/>
              </w:rPr>
            </w:pPr>
            <w:r>
              <w:rPr>
                <w:b/>
                <w:sz w:val="22"/>
                <w:u w:val="double"/>
              </w:rPr>
              <w:t>&lt;0.01</w:t>
            </w:r>
          </w:p>
        </w:tc>
        <w:tc>
          <w:tcPr>
            <w:tcW w:w="1872" w:type="dxa"/>
            <w:tcBorders/>
          </w:tcPr>
          <w:p>
            <w:pPr>
              <w:pStyle w:val="Normal"/>
              <w:jc w:val="center"/>
              <w:rPr>
                <w:b/>
                <w:sz w:val="22"/>
                <w:u w:val="double"/>
              </w:rPr>
            </w:pPr>
            <w:r>
              <w:rPr>
                <w:b/>
                <w:sz w:val="22"/>
                <w:u w:val="double"/>
              </w:rPr>
              <w:t>1</w:t>
            </w:r>
          </w:p>
        </w:tc>
        <w:tc>
          <w:tcPr>
            <w:tcW w:w="1872" w:type="dxa"/>
            <w:tcBorders/>
          </w:tcPr>
          <w:p>
            <w:pPr>
              <w:pStyle w:val="Normal"/>
              <w:jc w:val="center"/>
              <w:rPr>
                <w:b/>
                <w:sz w:val="22"/>
                <w:u w:val="double"/>
              </w:rPr>
            </w:pPr>
            <w:r>
              <w:rPr>
                <w:b/>
                <w:sz w:val="22"/>
                <w:u w:val="double"/>
              </w:rPr>
              <w:t>1</w:t>
            </w:r>
          </w:p>
        </w:tc>
        <w:tc>
          <w:tcPr>
            <w:tcW w:w="1872" w:type="dxa"/>
            <w:tcBorders/>
          </w:tcPr>
          <w:p>
            <w:pPr>
              <w:pStyle w:val="Normal"/>
              <w:jc w:val="center"/>
              <w:rPr/>
            </w:pPr>
            <w:r>
              <w:rPr>
                <w:b/>
                <w:sz w:val="22"/>
                <w:u w:val="double"/>
              </w:rPr>
              <w:t xml:space="preserve">40.9 </w:t>
            </w:r>
            <w:r>
              <w:rPr>
                <w:sz w:val="22"/>
              </w:rPr>
              <w:t xml:space="preserve">– </w:t>
            </w:r>
            <w:r>
              <w:rPr>
                <w:b/>
                <w:sz w:val="22"/>
                <w:u w:val="double"/>
              </w:rPr>
              <w:t>286.4</w:t>
            </w:r>
          </w:p>
        </w:tc>
      </w:tr>
      <w:tr>
        <w:trPr/>
        <w:tc>
          <w:tcPr>
            <w:tcW w:w="1771" w:type="dxa"/>
            <w:tcBorders/>
          </w:tcPr>
          <w:p>
            <w:pPr>
              <w:pStyle w:val="Normal"/>
              <w:rPr>
                <w:b/>
                <w:sz w:val="22"/>
                <w:u w:val="double"/>
              </w:rPr>
            </w:pPr>
            <w:r>
              <w:rPr>
                <w:b/>
                <w:sz w:val="22"/>
                <w:u w:val="double"/>
              </w:rPr>
              <w:t>CO (ppmv)</w:t>
            </w:r>
          </w:p>
        </w:tc>
        <w:tc>
          <w:tcPr>
            <w:tcW w:w="1872" w:type="dxa"/>
            <w:tcBorders/>
          </w:tcPr>
          <w:p>
            <w:pPr>
              <w:pStyle w:val="Normal"/>
              <w:jc w:val="center"/>
              <w:rPr>
                <w:b/>
                <w:sz w:val="22"/>
                <w:u w:val="double"/>
              </w:rPr>
            </w:pPr>
            <w:r>
              <w:rPr>
                <w:b/>
                <w:sz w:val="22"/>
                <w:u w:val="double"/>
              </w:rPr>
              <w:t>&lt;10</w:t>
            </w:r>
          </w:p>
        </w:tc>
        <w:tc>
          <w:tcPr>
            <w:tcW w:w="1872" w:type="dxa"/>
            <w:tcBorders/>
          </w:tcPr>
          <w:p>
            <w:pPr>
              <w:pStyle w:val="Normal"/>
              <w:jc w:val="center"/>
              <w:rPr/>
            </w:pPr>
            <w:r>
              <w:rPr>
                <w:b/>
                <w:sz w:val="22"/>
                <w:u w:val="double"/>
              </w:rPr>
              <w:t xml:space="preserve">10.0 </w:t>
            </w:r>
            <w:r>
              <w:rPr>
                <w:sz w:val="22"/>
              </w:rPr>
              <w:t xml:space="preserve">– </w:t>
            </w:r>
            <w:r>
              <w:rPr>
                <w:b/>
                <w:sz w:val="22"/>
                <w:u w:val="double"/>
              </w:rPr>
              <w:t>50.0</w:t>
            </w:r>
          </w:p>
        </w:tc>
        <w:tc>
          <w:tcPr>
            <w:tcW w:w="1872" w:type="dxa"/>
            <w:tcBorders/>
          </w:tcPr>
          <w:p>
            <w:pPr>
              <w:pStyle w:val="Normal"/>
              <w:jc w:val="center"/>
              <w:rPr/>
            </w:pPr>
            <w:r>
              <w:rPr>
                <w:b/>
                <w:sz w:val="22"/>
                <w:u w:val="double"/>
              </w:rPr>
              <w:t xml:space="preserve">10.0 </w:t>
            </w:r>
            <w:r>
              <w:rPr>
                <w:sz w:val="22"/>
              </w:rPr>
              <w:t xml:space="preserve">– </w:t>
            </w:r>
            <w:r>
              <w:rPr>
                <w:b/>
                <w:sz w:val="22"/>
                <w:u w:val="double"/>
              </w:rPr>
              <w:t>50.0</w:t>
            </w:r>
          </w:p>
        </w:tc>
        <w:tc>
          <w:tcPr>
            <w:tcW w:w="1872" w:type="dxa"/>
            <w:tcBorders/>
          </w:tcPr>
          <w:p>
            <w:pPr>
              <w:pStyle w:val="Normal"/>
              <w:jc w:val="center"/>
              <w:rPr>
                <w:b/>
                <w:sz w:val="22"/>
                <w:u w:val="double"/>
              </w:rPr>
            </w:pPr>
            <w:r>
              <w:rPr>
                <w:b/>
                <w:sz w:val="22"/>
                <w:u w:val="double"/>
              </w:rPr>
              <w:t>188.0</w:t>
            </w:r>
          </w:p>
        </w:tc>
      </w:tr>
    </w:tbl>
    <w:p>
      <w:pPr>
        <w:pStyle w:val="Normal"/>
        <w:rPr>
          <w:b/>
          <w:sz w:val="22"/>
          <w:u w:val="double"/>
        </w:rPr>
      </w:pPr>
      <w:r>
        <w:rPr>
          <w:b/>
          <w:sz w:val="22"/>
          <w:u w:val="double"/>
        </w:rPr>
      </w:r>
    </w:p>
    <w:p>
      <w:pPr>
        <w:pStyle w:val="Normal"/>
        <w:ind w:end="1260"/>
        <w:rPr>
          <w:b/>
          <w:sz w:val="22"/>
          <w:u w:val="double"/>
        </w:rPr>
      </w:pPr>
      <w:r>
        <w:rPr>
          <w:b/>
          <w:sz w:val="22"/>
          <w:u w:val="double"/>
        </w:rPr>
      </w:r>
    </w:p>
    <w:p>
      <w:pPr>
        <w:pStyle w:val="Normal"/>
        <w:ind w:end="1260"/>
        <w:rPr>
          <w:b/>
          <w:sz w:val="22"/>
          <w:u w:val="double"/>
        </w:rPr>
      </w:pPr>
      <w:r>
        <w:rPr>
          <w:b/>
          <w:sz w:val="22"/>
          <w:u w:val="double"/>
        </w:rPr>
      </w:r>
    </w:p>
    <w:p>
      <w:pPr>
        <w:pStyle w:val="Normal"/>
        <w:numPr>
          <w:ilvl w:val="0"/>
          <w:numId w:val="4"/>
        </w:numPr>
        <w:tabs>
          <w:tab w:val="left" w:pos="45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ind w:hanging="360" w:start="450" w:end="1260"/>
        <w:rPr>
          <w:b/>
          <w:sz w:val="22"/>
          <w:u w:val="double"/>
        </w:rPr>
      </w:pPr>
      <w:r>
        <w:rPr>
          <w:b/>
          <w:sz w:val="22"/>
          <w:u w:val="double"/>
        </w:rPr>
        <w:t>Lower range attainable only by certain General Electric equipment utilizing Dry Low NOx burner technology.</w:t>
      </w:r>
    </w:p>
    <w:p>
      <w:pPr>
        <w:pStyle w:val="Normal"/>
        <w:numPr>
          <w:ilvl w:val="0"/>
          <w:numId w:val="4"/>
        </w:numPr>
        <w:tabs>
          <w:tab w:val="left" w:pos="45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ind w:hanging="360" w:start="450" w:end="1260"/>
        <w:rPr>
          <w:b/>
          <w:sz w:val="22"/>
          <w:u w:val="double"/>
        </w:rPr>
      </w:pPr>
      <w:r>
        <w:rPr>
          <w:b/>
          <w:sz w:val="22"/>
          <w:u w:val="double"/>
        </w:rPr>
        <w:t>Lower range attainable only by certain General Electric equipment utilizing Selective Catalytic Reduction (SCR) technology.</w:t>
      </w:r>
      <w:r>
        <w:br w:type="page"/>
      </w:r>
    </w:p>
    <w:p>
      <w:pPr>
        <w:pStyle w:val="Heading"/>
        <w:ind w:end="1260"/>
        <w:rPr>
          <w:rFonts w:ascii="CG Times" w:hAnsi="CG Times" w:cs="CG Times"/>
          <w:sz w:val="24"/>
        </w:rPr>
      </w:pPr>
      <w:r>
        <w:rPr>
          <w:rFonts w:cs="CG Times" w:ascii="CG Times" w:hAnsi="CG Times"/>
          <w:sz w:val="24"/>
          <w:u w:val="double"/>
        </w:rPr>
        <w:t>Exhibit G</w:t>
      </w:r>
      <w:r>
        <w:rPr>
          <w:rFonts w:cs="CG Times" w:ascii="CG Times" w:hAnsi="CG Times"/>
          <w:sz w:val="24"/>
        </w:rPr>
        <w:t xml:space="preserve"> </w:t>
      </w:r>
      <w:r>
        <w:rPr>
          <w:rFonts w:cs="CG Times" w:ascii="CG Times" w:hAnsi="CG Times"/>
          <w:strike/>
          <w:sz w:val="24"/>
        </w:rPr>
        <w:t>Exhibit 2</w:t>
      </w:r>
    </w:p>
    <w:p>
      <w:pPr>
        <w:pStyle w:val="Heading"/>
        <w:ind w:end="1260"/>
        <w:rPr/>
      </w:pPr>
      <w:r>
        <w:rPr/>
        <w:t>Cost Effectiveness</w:t>
      </w:r>
    </w:p>
    <w:p>
      <w:pPr>
        <w:pStyle w:val="Normal"/>
        <w:ind w:end="1260"/>
        <w:rPr>
          <w:sz w:val="22"/>
        </w:rPr>
      </w:pPr>
      <w:r>
        <w:rPr>
          <w:sz w:val="22"/>
        </w:rPr>
      </w:r>
    </w:p>
    <w:p>
      <w:pPr>
        <w:pStyle w:val="Normal"/>
        <w:ind w:end="1260"/>
        <w:rPr>
          <w:sz w:val="22"/>
        </w:rPr>
      </w:pPr>
      <w:r>
        <w:rPr>
          <w:sz w:val="22"/>
        </w:rPr>
      </w:r>
    </w:p>
    <w:p>
      <w:pPr>
        <w:pStyle w:val="Normal"/>
        <w:ind w:end="1260"/>
        <w:rPr>
          <w:sz w:val="22"/>
        </w:rPr>
      </w:pPr>
      <w:r>
        <w:rPr>
          <w:sz w:val="22"/>
        </w:rPr>
      </w:r>
    </w:p>
    <w:tbl>
      <w:tblPr>
        <w:tblW w:w="10224" w:type="dxa"/>
        <w:jc w:val="start"/>
        <w:tblInd w:w="0" w:type="dxa"/>
        <w:tblLayout w:type="fixed"/>
        <w:tblCellMar>
          <w:top w:w="0" w:type="dxa"/>
          <w:start w:w="108" w:type="dxa"/>
          <w:bottom w:w="0" w:type="dxa"/>
          <w:end w:w="108" w:type="dxa"/>
        </w:tblCellMar>
      </w:tblPr>
      <w:tblGrid>
        <w:gridCol w:w="3024"/>
        <w:gridCol w:w="1440"/>
        <w:gridCol w:w="1440"/>
        <w:gridCol w:w="1440"/>
        <w:gridCol w:w="1440"/>
        <w:gridCol w:w="1440"/>
      </w:tblGrid>
      <w:tr>
        <w:trPr/>
        <w:tc>
          <w:tcPr>
            <w:tcW w:w="3024" w:type="dxa"/>
            <w:tcBorders/>
          </w:tcPr>
          <w:p>
            <w:pPr>
              <w:pStyle w:val="Normal"/>
              <w:rPr>
                <w:b/>
                <w:sz w:val="22"/>
                <w:u w:val="single"/>
              </w:rPr>
            </w:pPr>
            <w:r>
              <w:rPr>
                <w:b/>
                <w:sz w:val="22"/>
                <w:u w:val="double"/>
              </w:rPr>
              <w:t>Assumptions:</w:t>
            </w:r>
          </w:p>
        </w:tc>
        <w:tc>
          <w:tcPr>
            <w:tcW w:w="1440" w:type="dxa"/>
            <w:tcBorders/>
          </w:tcPr>
          <w:p>
            <w:pPr>
              <w:pStyle w:val="Normal"/>
              <w:pBdr>
                <w:bottom w:val="single" w:sz="6" w:space="1" w:color="000000"/>
              </w:pBdr>
              <w:jc w:val="center"/>
              <w:rPr>
                <w:b/>
                <w:sz w:val="22"/>
              </w:rPr>
            </w:pPr>
            <w:r>
              <w:rPr>
                <w:b/>
                <w:sz w:val="22"/>
              </w:rPr>
              <w:t>2002</w:t>
            </w:r>
          </w:p>
        </w:tc>
        <w:tc>
          <w:tcPr>
            <w:tcW w:w="1440" w:type="dxa"/>
            <w:tcBorders/>
          </w:tcPr>
          <w:p>
            <w:pPr>
              <w:pStyle w:val="Normal"/>
              <w:pBdr>
                <w:bottom w:val="single" w:sz="6" w:space="1" w:color="000000"/>
              </w:pBdr>
              <w:jc w:val="center"/>
              <w:rPr>
                <w:b/>
                <w:sz w:val="22"/>
              </w:rPr>
            </w:pPr>
            <w:r>
              <w:rPr>
                <w:b/>
                <w:sz w:val="22"/>
              </w:rPr>
              <w:t>2003</w:t>
            </w:r>
          </w:p>
        </w:tc>
        <w:tc>
          <w:tcPr>
            <w:tcW w:w="1440" w:type="dxa"/>
            <w:tcBorders/>
          </w:tcPr>
          <w:p>
            <w:pPr>
              <w:pStyle w:val="Normal"/>
              <w:pBdr>
                <w:bottom w:val="single" w:sz="6" w:space="1" w:color="000000"/>
              </w:pBdr>
              <w:jc w:val="center"/>
              <w:rPr>
                <w:b/>
                <w:sz w:val="22"/>
              </w:rPr>
            </w:pPr>
            <w:r>
              <w:rPr>
                <w:b/>
                <w:sz w:val="22"/>
              </w:rPr>
              <w:t>2004</w:t>
            </w:r>
          </w:p>
        </w:tc>
        <w:tc>
          <w:tcPr>
            <w:tcW w:w="1440" w:type="dxa"/>
            <w:tcBorders/>
          </w:tcPr>
          <w:p>
            <w:pPr>
              <w:pStyle w:val="Normal"/>
              <w:pBdr>
                <w:bottom w:val="single" w:sz="6" w:space="1" w:color="000000"/>
              </w:pBdr>
              <w:jc w:val="center"/>
              <w:rPr>
                <w:b/>
                <w:sz w:val="22"/>
              </w:rPr>
            </w:pPr>
            <w:r>
              <w:rPr>
                <w:b/>
                <w:sz w:val="22"/>
              </w:rPr>
              <w:t>2005</w:t>
            </w:r>
          </w:p>
        </w:tc>
        <w:tc>
          <w:tcPr>
            <w:tcW w:w="1440" w:type="dxa"/>
            <w:tcBorders/>
          </w:tcPr>
          <w:p>
            <w:pPr>
              <w:pStyle w:val="Normal"/>
              <w:pBdr>
                <w:bottom w:val="single" w:sz="6" w:space="1" w:color="000000"/>
              </w:pBdr>
              <w:jc w:val="center"/>
              <w:rPr>
                <w:b/>
                <w:sz w:val="22"/>
              </w:rPr>
            </w:pPr>
            <w:r>
              <w:rPr>
                <w:b/>
                <w:sz w:val="22"/>
              </w:rPr>
              <w:t>2006</w:t>
            </w:r>
          </w:p>
        </w:tc>
      </w:tr>
      <w:tr>
        <w:trPr/>
        <w:tc>
          <w:tcPr>
            <w:tcW w:w="3024" w:type="dxa"/>
            <w:tcBorders/>
          </w:tcPr>
          <w:p>
            <w:pPr>
              <w:pStyle w:val="Normal"/>
              <w:rPr>
                <w:sz w:val="22"/>
              </w:rPr>
            </w:pPr>
            <w:r>
              <w:rPr>
                <w:sz w:val="22"/>
              </w:rPr>
              <w:t>Total Generating MWs</w:t>
            </w:r>
          </w:p>
        </w:tc>
        <w:tc>
          <w:tcPr>
            <w:tcW w:w="1440" w:type="dxa"/>
            <w:tcBorders/>
          </w:tcPr>
          <w:p>
            <w:pPr>
              <w:pStyle w:val="Normal"/>
              <w:jc w:val="center"/>
              <w:rPr/>
            </w:pPr>
            <w:r>
              <w:rPr>
                <w:rFonts w:eastAsia="CG Times"/>
                <w:sz w:val="22"/>
              </w:rPr>
              <w:t xml:space="preserve"> </w:t>
            </w:r>
            <w:r>
              <w:rPr>
                <w:strike/>
                <w:sz w:val="22"/>
              </w:rPr>
              <w:t>26.0 50.0 50.0 50.0 50.0</w:t>
            </w:r>
            <w:r>
              <w:rPr>
                <w:sz w:val="22"/>
              </w:rPr>
              <w:t xml:space="preserve"> </w:t>
            </w:r>
            <w:r>
              <w:rPr>
                <w:b/>
                <w:sz w:val="22"/>
                <w:u w:val="double"/>
              </w:rPr>
              <w:t>26</w:t>
            </w:r>
          </w:p>
        </w:tc>
        <w:tc>
          <w:tcPr>
            <w:tcW w:w="1440" w:type="dxa"/>
            <w:tcBorders/>
          </w:tcPr>
          <w:p>
            <w:pPr>
              <w:pStyle w:val="Normal"/>
              <w:jc w:val="center"/>
              <w:rPr>
                <w:b/>
                <w:sz w:val="22"/>
                <w:u w:val="double"/>
              </w:rPr>
            </w:pPr>
            <w:r>
              <w:rPr>
                <w:b/>
                <w:sz w:val="22"/>
                <w:u w:val="double"/>
              </w:rPr>
              <w:t>50</w:t>
            </w:r>
          </w:p>
        </w:tc>
        <w:tc>
          <w:tcPr>
            <w:tcW w:w="1440" w:type="dxa"/>
            <w:tcBorders/>
          </w:tcPr>
          <w:p>
            <w:pPr>
              <w:pStyle w:val="Normal"/>
              <w:jc w:val="center"/>
              <w:rPr>
                <w:b/>
                <w:sz w:val="22"/>
                <w:u w:val="double"/>
              </w:rPr>
            </w:pPr>
            <w:r>
              <w:rPr>
                <w:b/>
                <w:sz w:val="22"/>
                <w:u w:val="double"/>
              </w:rPr>
              <w:t>50</w:t>
            </w:r>
          </w:p>
        </w:tc>
        <w:tc>
          <w:tcPr>
            <w:tcW w:w="1440" w:type="dxa"/>
            <w:tcBorders/>
          </w:tcPr>
          <w:p>
            <w:pPr>
              <w:pStyle w:val="Normal"/>
              <w:jc w:val="center"/>
              <w:rPr>
                <w:b/>
                <w:sz w:val="22"/>
                <w:u w:val="double"/>
              </w:rPr>
            </w:pPr>
            <w:r>
              <w:rPr>
                <w:b/>
                <w:sz w:val="22"/>
                <w:u w:val="double"/>
              </w:rPr>
              <w:t>50</w:t>
            </w:r>
          </w:p>
        </w:tc>
        <w:tc>
          <w:tcPr>
            <w:tcW w:w="1440" w:type="dxa"/>
            <w:tcBorders/>
          </w:tcPr>
          <w:p>
            <w:pPr>
              <w:pStyle w:val="Normal"/>
              <w:jc w:val="center"/>
              <w:rPr>
                <w:sz w:val="22"/>
              </w:rPr>
            </w:pPr>
            <w:r>
              <w:rPr>
                <w:b/>
                <w:sz w:val="22"/>
                <w:u w:val="double"/>
              </w:rPr>
              <w:t>50</w:t>
            </w:r>
          </w:p>
        </w:tc>
      </w:tr>
      <w:tr>
        <w:trPr/>
        <w:tc>
          <w:tcPr>
            <w:tcW w:w="3024" w:type="dxa"/>
            <w:tcBorders/>
          </w:tcPr>
          <w:p>
            <w:pPr>
              <w:pStyle w:val="Normal"/>
              <w:rPr>
                <w:sz w:val="22"/>
              </w:rPr>
            </w:pPr>
            <w:r>
              <w:rPr>
                <w:sz w:val="22"/>
              </w:rPr>
              <w:t xml:space="preserve">Output (MWh) </w:t>
            </w:r>
            <w:r>
              <w:rPr>
                <w:rStyle w:val="FootnoteCharacters"/>
                <w:rStyle w:val="FootnoteReference"/>
                <w:sz w:val="22"/>
              </w:rPr>
              <w:footnoteReference w:id="7"/>
            </w:r>
          </w:p>
        </w:tc>
        <w:tc>
          <w:tcPr>
            <w:tcW w:w="1440" w:type="dxa"/>
            <w:tcBorders/>
          </w:tcPr>
          <w:p>
            <w:pPr>
              <w:pStyle w:val="Normal"/>
              <w:jc w:val="center"/>
              <w:rPr>
                <w:sz w:val="22"/>
              </w:rPr>
            </w:pPr>
            <w:r>
              <w:rPr>
                <w:sz w:val="22"/>
              </w:rPr>
              <w:t>112,347</w:t>
            </w:r>
          </w:p>
        </w:tc>
        <w:tc>
          <w:tcPr>
            <w:tcW w:w="1440" w:type="dxa"/>
            <w:tcBorders/>
          </w:tcPr>
          <w:p>
            <w:pPr>
              <w:pStyle w:val="Normal"/>
              <w:jc w:val="center"/>
              <w:rPr>
                <w:sz w:val="22"/>
              </w:rPr>
            </w:pPr>
            <w:r>
              <w:rPr>
                <w:sz w:val="22"/>
              </w:rPr>
              <w:t>341,202</w:t>
            </w:r>
          </w:p>
        </w:tc>
        <w:tc>
          <w:tcPr>
            <w:tcW w:w="1440" w:type="dxa"/>
            <w:tcBorders/>
          </w:tcPr>
          <w:p>
            <w:pPr>
              <w:pStyle w:val="Normal"/>
              <w:jc w:val="center"/>
              <w:rPr>
                <w:sz w:val="22"/>
              </w:rPr>
            </w:pPr>
            <w:r>
              <w:rPr>
                <w:sz w:val="22"/>
              </w:rPr>
              <w:t>416,100</w:t>
            </w:r>
          </w:p>
        </w:tc>
        <w:tc>
          <w:tcPr>
            <w:tcW w:w="1440" w:type="dxa"/>
            <w:tcBorders/>
          </w:tcPr>
          <w:p>
            <w:pPr>
              <w:pStyle w:val="Normal"/>
              <w:jc w:val="center"/>
              <w:rPr/>
            </w:pPr>
            <w:r>
              <w:rPr>
                <w:rFonts w:eastAsia="CG Times"/>
                <w:sz w:val="22"/>
              </w:rPr>
              <w:t xml:space="preserve"> </w:t>
            </w:r>
            <w:r>
              <w:rPr>
                <w:strike/>
                <w:sz w:val="22"/>
              </w:rPr>
              <w:t xml:space="preserve">416,100 416,100     </w:t>
            </w:r>
            <w:r>
              <w:rPr>
                <w:sz w:val="22"/>
              </w:rPr>
              <w:t xml:space="preserve"> </w:t>
            </w:r>
            <w:r>
              <w:rPr>
                <w:b/>
                <w:sz w:val="22"/>
                <w:u w:val="double"/>
              </w:rPr>
              <w:t>409,468</w:t>
            </w:r>
          </w:p>
        </w:tc>
        <w:tc>
          <w:tcPr>
            <w:tcW w:w="1440" w:type="dxa"/>
            <w:tcBorders/>
          </w:tcPr>
          <w:p>
            <w:pPr>
              <w:pStyle w:val="Normal"/>
              <w:jc w:val="center"/>
              <w:rPr>
                <w:sz w:val="22"/>
              </w:rPr>
            </w:pPr>
            <w:r>
              <w:rPr>
                <w:b/>
                <w:sz w:val="22"/>
                <w:u w:val="double"/>
              </w:rPr>
              <w:t>393,735</w:t>
            </w:r>
          </w:p>
        </w:tc>
      </w:tr>
      <w:tr>
        <w:trPr/>
        <w:tc>
          <w:tcPr>
            <w:tcW w:w="3024" w:type="dxa"/>
            <w:tcBorders/>
          </w:tcPr>
          <w:p>
            <w:pPr>
              <w:pStyle w:val="Normal"/>
              <w:rPr>
                <w:sz w:val="22"/>
              </w:rPr>
            </w:pPr>
            <w:r>
              <w:rPr>
                <w:sz w:val="22"/>
              </w:rPr>
              <w:t xml:space="preserve">Energy Price ($/MWh) </w:t>
            </w:r>
            <w:r>
              <w:rPr>
                <w:rStyle w:val="FootnoteCharacters"/>
                <w:rStyle w:val="FootnoteReference"/>
                <w:sz w:val="22"/>
              </w:rPr>
              <w:footnoteReference w:id="8"/>
            </w:r>
          </w:p>
        </w:tc>
        <w:tc>
          <w:tcPr>
            <w:tcW w:w="1440" w:type="dxa"/>
            <w:tcBorders/>
          </w:tcPr>
          <w:p>
            <w:pPr>
              <w:pStyle w:val="Normal"/>
              <w:jc w:val="center"/>
              <w:rPr>
                <w:sz w:val="22"/>
              </w:rPr>
            </w:pPr>
            <w:r>
              <w:rPr>
                <w:sz w:val="22"/>
              </w:rPr>
              <w:t>$47.79</w:t>
            </w:r>
          </w:p>
        </w:tc>
        <w:tc>
          <w:tcPr>
            <w:tcW w:w="1440" w:type="dxa"/>
            <w:tcBorders/>
          </w:tcPr>
          <w:p>
            <w:pPr>
              <w:pStyle w:val="Normal"/>
              <w:jc w:val="center"/>
              <w:rPr>
                <w:sz w:val="22"/>
              </w:rPr>
            </w:pPr>
            <w:r>
              <w:rPr>
                <w:sz w:val="22"/>
              </w:rPr>
              <w:t>$47.79</w:t>
            </w:r>
          </w:p>
        </w:tc>
        <w:tc>
          <w:tcPr>
            <w:tcW w:w="1440" w:type="dxa"/>
            <w:tcBorders/>
          </w:tcPr>
          <w:p>
            <w:pPr>
              <w:pStyle w:val="Normal"/>
              <w:jc w:val="center"/>
              <w:rPr>
                <w:sz w:val="22"/>
              </w:rPr>
            </w:pPr>
            <w:r>
              <w:rPr>
                <w:sz w:val="22"/>
              </w:rPr>
              <w:t>$47.79</w:t>
            </w:r>
          </w:p>
        </w:tc>
        <w:tc>
          <w:tcPr>
            <w:tcW w:w="1440" w:type="dxa"/>
            <w:tcBorders/>
          </w:tcPr>
          <w:p>
            <w:pPr>
              <w:pStyle w:val="Normal"/>
              <w:jc w:val="center"/>
              <w:rPr>
                <w:sz w:val="22"/>
              </w:rPr>
            </w:pPr>
            <w:r>
              <w:rPr>
                <w:sz w:val="22"/>
              </w:rPr>
              <w:t>$49.13</w:t>
            </w:r>
          </w:p>
        </w:tc>
        <w:tc>
          <w:tcPr>
            <w:tcW w:w="1440" w:type="dxa"/>
            <w:tcBorders/>
          </w:tcPr>
          <w:p>
            <w:pPr>
              <w:pStyle w:val="Normal"/>
              <w:jc w:val="center"/>
              <w:rPr>
                <w:sz w:val="22"/>
              </w:rPr>
            </w:pPr>
            <w:r>
              <w:rPr>
                <w:rFonts w:eastAsia="CG Times"/>
                <w:sz w:val="22"/>
              </w:rPr>
              <w:t xml:space="preserve"> </w:t>
            </w:r>
            <w:r>
              <w:rPr>
                <w:strike/>
                <w:sz w:val="22"/>
              </w:rPr>
              <w:t xml:space="preserve">$50.50       Total Operating Revenue  $5,369,063 $16,306,044 $19,885,419 $20,442,211 $21,014,593       Expenses     </w:t>
            </w:r>
            <w:r>
              <w:rPr>
                <w:sz w:val="22"/>
              </w:rPr>
              <w:t xml:space="preserve"> </w:t>
            </w:r>
            <w:r>
              <w:rPr>
                <w:b/>
                <w:sz w:val="22"/>
                <w:u w:val="double"/>
              </w:rPr>
              <w:t>$50.50</w:t>
            </w:r>
          </w:p>
        </w:tc>
      </w:tr>
      <w:tr>
        <w:trPr/>
        <w:tc>
          <w:tcPr>
            <w:tcW w:w="3024" w:type="dxa"/>
            <w:tcBorders/>
          </w:tcPr>
          <w:p>
            <w:pPr>
              <w:pStyle w:val="Normal"/>
              <w:rPr>
                <w:sz w:val="22"/>
              </w:rPr>
            </w:pPr>
            <w:r>
              <w:rPr>
                <w:sz w:val="22"/>
              </w:rPr>
              <w:t xml:space="preserve">Natural Gas Price ($/mmBtu) </w:t>
            </w:r>
            <w:r>
              <w:rPr>
                <w:rStyle w:val="FootnoteCharacters"/>
                <w:rStyle w:val="FootnoteReference"/>
                <w:sz w:val="22"/>
              </w:rPr>
              <w:footnoteReference w:id="9"/>
            </w:r>
          </w:p>
        </w:tc>
        <w:tc>
          <w:tcPr>
            <w:tcW w:w="1440" w:type="dxa"/>
            <w:tcBorders/>
          </w:tcPr>
          <w:p>
            <w:pPr>
              <w:pStyle w:val="Normal"/>
              <w:jc w:val="center"/>
              <w:rPr>
                <w:sz w:val="22"/>
              </w:rPr>
            </w:pPr>
            <w:r>
              <w:rPr>
                <w:sz w:val="22"/>
              </w:rPr>
              <w:t>$4.37</w:t>
            </w:r>
          </w:p>
        </w:tc>
        <w:tc>
          <w:tcPr>
            <w:tcW w:w="1440" w:type="dxa"/>
            <w:tcBorders/>
          </w:tcPr>
          <w:p>
            <w:pPr>
              <w:pStyle w:val="Normal"/>
              <w:jc w:val="center"/>
              <w:rPr>
                <w:sz w:val="22"/>
              </w:rPr>
            </w:pPr>
            <w:r>
              <w:rPr>
                <w:sz w:val="22"/>
              </w:rPr>
              <w:t>$4.17</w:t>
            </w:r>
          </w:p>
        </w:tc>
        <w:tc>
          <w:tcPr>
            <w:tcW w:w="1440" w:type="dxa"/>
            <w:tcBorders/>
          </w:tcPr>
          <w:p>
            <w:pPr>
              <w:pStyle w:val="Normal"/>
              <w:jc w:val="center"/>
              <w:rPr>
                <w:sz w:val="22"/>
              </w:rPr>
            </w:pPr>
            <w:r>
              <w:rPr>
                <w:sz w:val="22"/>
              </w:rPr>
              <w:t>$4.15</w:t>
            </w:r>
          </w:p>
        </w:tc>
        <w:tc>
          <w:tcPr>
            <w:tcW w:w="1440" w:type="dxa"/>
            <w:tcBorders/>
          </w:tcPr>
          <w:p>
            <w:pPr>
              <w:pStyle w:val="Normal"/>
              <w:jc w:val="center"/>
              <w:rPr>
                <w:sz w:val="22"/>
              </w:rPr>
            </w:pPr>
            <w:r>
              <w:rPr>
                <w:sz w:val="22"/>
              </w:rPr>
              <w:t>$4.15</w:t>
            </w:r>
          </w:p>
        </w:tc>
        <w:tc>
          <w:tcPr>
            <w:tcW w:w="1440" w:type="dxa"/>
            <w:tcBorders/>
          </w:tcPr>
          <w:p>
            <w:pPr>
              <w:pStyle w:val="Normal"/>
              <w:jc w:val="center"/>
              <w:rPr>
                <w:sz w:val="22"/>
              </w:rPr>
            </w:pPr>
            <w:r>
              <w:rPr>
                <w:sz w:val="22"/>
              </w:rPr>
              <w:t>$4.16</w:t>
            </w:r>
          </w:p>
        </w:tc>
      </w:tr>
      <w:tr>
        <w:trPr/>
        <w:tc>
          <w:tcPr>
            <w:tcW w:w="3024" w:type="dxa"/>
            <w:tcBorders/>
          </w:tcPr>
          <w:p>
            <w:pPr>
              <w:pStyle w:val="Normal"/>
              <w:rPr>
                <w:sz w:val="22"/>
              </w:rPr>
            </w:pPr>
            <w:r>
              <w:rPr>
                <w:sz w:val="22"/>
              </w:rPr>
              <w:t>Fuel ($/MWh)</w:t>
            </w:r>
          </w:p>
        </w:tc>
        <w:tc>
          <w:tcPr>
            <w:tcW w:w="1440" w:type="dxa"/>
            <w:tcBorders/>
          </w:tcPr>
          <w:p>
            <w:pPr>
              <w:pStyle w:val="Normal"/>
              <w:jc w:val="center"/>
              <w:rPr/>
            </w:pPr>
            <w:r>
              <w:rPr>
                <w:rFonts w:eastAsia="CG Times"/>
                <w:sz w:val="22"/>
              </w:rPr>
              <w:t xml:space="preserve"> </w:t>
            </w:r>
            <w:r>
              <w:rPr>
                <w:strike/>
                <w:sz w:val="22"/>
              </w:rPr>
              <w:t>$32.53 $30.81 $30.67 $29.82 $29.17       Total Fuel Expense $3,630,744 $10,513,872 $12,760,299 $12,406,338 $12,136,738</w:t>
            </w:r>
            <w:r>
              <w:rPr>
                <w:sz w:val="22"/>
              </w:rPr>
              <w:t xml:space="preserve"> </w:t>
            </w:r>
            <w:r>
              <w:rPr>
                <w:b/>
                <w:sz w:val="22"/>
                <w:u w:val="double"/>
              </w:rPr>
              <w:t>$32.02</w:t>
            </w:r>
          </w:p>
        </w:tc>
        <w:tc>
          <w:tcPr>
            <w:tcW w:w="1440" w:type="dxa"/>
            <w:tcBorders/>
          </w:tcPr>
          <w:p>
            <w:pPr>
              <w:pStyle w:val="Normal"/>
              <w:jc w:val="center"/>
              <w:rPr>
                <w:b/>
                <w:sz w:val="22"/>
                <w:u w:val="double"/>
              </w:rPr>
            </w:pPr>
            <w:r>
              <w:rPr>
                <w:b/>
                <w:sz w:val="22"/>
                <w:u w:val="double"/>
              </w:rPr>
              <w:t>$31.42</w:t>
            </w:r>
          </w:p>
        </w:tc>
        <w:tc>
          <w:tcPr>
            <w:tcW w:w="1440" w:type="dxa"/>
            <w:tcBorders/>
          </w:tcPr>
          <w:p>
            <w:pPr>
              <w:pStyle w:val="Normal"/>
              <w:jc w:val="center"/>
              <w:rPr>
                <w:b/>
                <w:sz w:val="22"/>
                <w:u w:val="double"/>
              </w:rPr>
            </w:pPr>
            <w:r>
              <w:rPr>
                <w:b/>
                <w:sz w:val="22"/>
                <w:u w:val="double"/>
              </w:rPr>
              <w:t>$32.54</w:t>
            </w:r>
          </w:p>
        </w:tc>
        <w:tc>
          <w:tcPr>
            <w:tcW w:w="1440" w:type="dxa"/>
            <w:tcBorders/>
          </w:tcPr>
          <w:p>
            <w:pPr>
              <w:pStyle w:val="Normal"/>
              <w:jc w:val="center"/>
              <w:rPr>
                <w:b/>
                <w:sz w:val="22"/>
                <w:u w:val="double"/>
              </w:rPr>
            </w:pPr>
            <w:r>
              <w:rPr>
                <w:b/>
                <w:sz w:val="22"/>
                <w:u w:val="double"/>
              </w:rPr>
              <w:t>$33.28</w:t>
            </w:r>
          </w:p>
        </w:tc>
        <w:tc>
          <w:tcPr>
            <w:tcW w:w="1440" w:type="dxa"/>
            <w:tcBorders/>
          </w:tcPr>
          <w:p>
            <w:pPr>
              <w:pStyle w:val="Normal"/>
              <w:jc w:val="center"/>
              <w:rPr>
                <w:b/>
                <w:sz w:val="22"/>
                <w:u w:val="double"/>
              </w:rPr>
            </w:pPr>
            <w:r>
              <w:rPr>
                <w:b/>
                <w:sz w:val="22"/>
                <w:u w:val="double"/>
              </w:rPr>
              <w:t>$33.65</w:t>
            </w:r>
          </w:p>
        </w:tc>
      </w:tr>
      <w:tr>
        <w:trPr/>
        <w:tc>
          <w:tcPr>
            <w:tcW w:w="3024" w:type="dxa"/>
            <w:tcBorders/>
          </w:tcPr>
          <w:p>
            <w:pPr>
              <w:pStyle w:val="Normal"/>
              <w:snapToGrid w:val="false"/>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r>
      <w:tr>
        <w:trPr/>
        <w:tc>
          <w:tcPr>
            <w:tcW w:w="3024" w:type="dxa"/>
            <w:tcBorders/>
          </w:tcPr>
          <w:p>
            <w:pPr>
              <w:pStyle w:val="Normal"/>
              <w:rPr>
                <w:b/>
                <w:sz w:val="22"/>
                <w:u w:val="double"/>
              </w:rPr>
            </w:pPr>
            <w:r>
              <w:rPr>
                <w:b/>
                <w:sz w:val="22"/>
                <w:u w:val="double"/>
              </w:rPr>
              <w:t>Financial Forecast:</w:t>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r>
      <w:tr>
        <w:trPr/>
        <w:tc>
          <w:tcPr>
            <w:tcW w:w="3024" w:type="dxa"/>
            <w:tcBorders/>
          </w:tcPr>
          <w:p>
            <w:pPr>
              <w:pStyle w:val="Normal"/>
              <w:rPr>
                <w:b/>
                <w:sz w:val="22"/>
                <w:u w:val="double"/>
              </w:rPr>
            </w:pPr>
            <w:r>
              <w:rPr>
                <w:b/>
                <w:sz w:val="22"/>
                <w:u w:val="double"/>
              </w:rPr>
              <w:t>Total Operating Revenue</w:t>
            </w:r>
          </w:p>
        </w:tc>
        <w:tc>
          <w:tcPr>
            <w:tcW w:w="1440" w:type="dxa"/>
            <w:tcBorders/>
          </w:tcPr>
          <w:p>
            <w:pPr>
              <w:pStyle w:val="Normal"/>
              <w:jc w:val="center"/>
              <w:rPr>
                <w:b/>
                <w:sz w:val="22"/>
                <w:u w:val="double"/>
              </w:rPr>
            </w:pPr>
            <w:r>
              <w:rPr>
                <w:b/>
                <w:sz w:val="22"/>
                <w:u w:val="double"/>
              </w:rPr>
              <w:t>$5,369,063</w:t>
            </w:r>
          </w:p>
        </w:tc>
        <w:tc>
          <w:tcPr>
            <w:tcW w:w="1440" w:type="dxa"/>
            <w:tcBorders/>
          </w:tcPr>
          <w:p>
            <w:pPr>
              <w:pStyle w:val="Normal"/>
              <w:jc w:val="center"/>
              <w:rPr>
                <w:b/>
                <w:sz w:val="22"/>
                <w:u w:val="double"/>
              </w:rPr>
            </w:pPr>
            <w:r>
              <w:rPr>
                <w:b/>
                <w:sz w:val="22"/>
                <w:u w:val="double"/>
              </w:rPr>
              <w:t>$16,306,044</w:t>
            </w:r>
          </w:p>
        </w:tc>
        <w:tc>
          <w:tcPr>
            <w:tcW w:w="1440" w:type="dxa"/>
            <w:tcBorders/>
          </w:tcPr>
          <w:p>
            <w:pPr>
              <w:pStyle w:val="Normal"/>
              <w:jc w:val="center"/>
              <w:rPr>
                <w:b/>
                <w:sz w:val="22"/>
                <w:u w:val="double"/>
              </w:rPr>
            </w:pPr>
            <w:r>
              <w:rPr>
                <w:b/>
                <w:sz w:val="22"/>
                <w:u w:val="double"/>
              </w:rPr>
              <w:t>$19,885,419</w:t>
            </w:r>
          </w:p>
        </w:tc>
        <w:tc>
          <w:tcPr>
            <w:tcW w:w="1440" w:type="dxa"/>
            <w:tcBorders/>
          </w:tcPr>
          <w:p>
            <w:pPr>
              <w:pStyle w:val="Normal"/>
              <w:jc w:val="center"/>
              <w:rPr>
                <w:b/>
                <w:sz w:val="22"/>
                <w:u w:val="double"/>
              </w:rPr>
            </w:pPr>
            <w:r>
              <w:rPr>
                <w:b/>
                <w:sz w:val="22"/>
                <w:u w:val="double"/>
              </w:rPr>
              <w:t>$20,117,173</w:t>
            </w:r>
          </w:p>
        </w:tc>
        <w:tc>
          <w:tcPr>
            <w:tcW w:w="1440" w:type="dxa"/>
            <w:tcBorders/>
          </w:tcPr>
          <w:p>
            <w:pPr>
              <w:pStyle w:val="Normal"/>
              <w:jc w:val="center"/>
              <w:rPr>
                <w:b/>
                <w:sz w:val="22"/>
                <w:u w:val="double"/>
              </w:rPr>
            </w:pPr>
            <w:r>
              <w:rPr>
                <w:b/>
                <w:sz w:val="22"/>
                <w:u w:val="double"/>
              </w:rPr>
              <w:t>$19,883,599</w:t>
            </w:r>
          </w:p>
        </w:tc>
      </w:tr>
      <w:tr>
        <w:trPr/>
        <w:tc>
          <w:tcPr>
            <w:tcW w:w="3024" w:type="dxa"/>
            <w:tcBorders/>
          </w:tcPr>
          <w:p>
            <w:pPr>
              <w:pStyle w:val="Normal"/>
              <w:snapToGrid w:val="false"/>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r>
      <w:tr>
        <w:trPr/>
        <w:tc>
          <w:tcPr>
            <w:tcW w:w="3024" w:type="dxa"/>
            <w:tcBorders/>
          </w:tcPr>
          <w:p>
            <w:pPr>
              <w:pStyle w:val="Heading1"/>
              <w:ind w:hanging="0" w:start="0"/>
              <w:rPr>
                <w:b/>
                <w:u w:val="double"/>
              </w:rPr>
            </w:pPr>
            <w:r>
              <w:rPr>
                <w:b/>
                <w:u w:val="double"/>
              </w:rPr>
              <w:t>Expenses</w:t>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r>
      <w:tr>
        <w:trPr/>
        <w:tc>
          <w:tcPr>
            <w:tcW w:w="3024" w:type="dxa"/>
            <w:tcBorders/>
          </w:tcPr>
          <w:p>
            <w:pPr>
              <w:pStyle w:val="Normal"/>
              <w:rPr>
                <w:b/>
                <w:sz w:val="22"/>
                <w:u w:val="double"/>
              </w:rPr>
            </w:pPr>
            <w:r>
              <w:rPr>
                <w:b/>
                <w:sz w:val="22"/>
                <w:u w:val="double"/>
              </w:rPr>
              <w:t>Total Fuel Expense</w:t>
            </w:r>
          </w:p>
        </w:tc>
        <w:tc>
          <w:tcPr>
            <w:tcW w:w="1440" w:type="dxa"/>
            <w:tcBorders/>
          </w:tcPr>
          <w:p>
            <w:pPr>
              <w:pStyle w:val="Normal"/>
              <w:jc w:val="center"/>
              <w:rPr>
                <w:b/>
                <w:sz w:val="22"/>
                <w:u w:val="double"/>
              </w:rPr>
            </w:pPr>
            <w:r>
              <w:rPr>
                <w:b/>
                <w:sz w:val="22"/>
                <w:u w:val="double"/>
              </w:rPr>
              <w:t>$3,597,237</w:t>
            </w:r>
          </w:p>
        </w:tc>
        <w:tc>
          <w:tcPr>
            <w:tcW w:w="1440" w:type="dxa"/>
            <w:tcBorders/>
          </w:tcPr>
          <w:p>
            <w:pPr>
              <w:pStyle w:val="Normal"/>
              <w:jc w:val="center"/>
              <w:rPr>
                <w:b/>
                <w:sz w:val="22"/>
                <w:u w:val="double"/>
              </w:rPr>
            </w:pPr>
            <w:r>
              <w:rPr>
                <w:b/>
                <w:sz w:val="22"/>
                <w:u w:val="double"/>
              </w:rPr>
              <w:t>$10,720,931</w:t>
            </w:r>
          </w:p>
        </w:tc>
        <w:tc>
          <w:tcPr>
            <w:tcW w:w="1440" w:type="dxa"/>
            <w:tcBorders/>
          </w:tcPr>
          <w:p>
            <w:pPr>
              <w:pStyle w:val="Normal"/>
              <w:jc w:val="center"/>
              <w:rPr>
                <w:b/>
                <w:sz w:val="22"/>
                <w:u w:val="double"/>
              </w:rPr>
            </w:pPr>
            <w:r>
              <w:rPr>
                <w:b/>
                <w:sz w:val="22"/>
                <w:u w:val="double"/>
              </w:rPr>
              <w:t>$13,541,203</w:t>
            </w:r>
          </w:p>
        </w:tc>
        <w:tc>
          <w:tcPr>
            <w:tcW w:w="1440" w:type="dxa"/>
            <w:tcBorders/>
          </w:tcPr>
          <w:p>
            <w:pPr>
              <w:pStyle w:val="Normal"/>
              <w:jc w:val="center"/>
              <w:rPr>
                <w:b/>
                <w:sz w:val="22"/>
                <w:u w:val="double"/>
              </w:rPr>
            </w:pPr>
            <w:r>
              <w:rPr>
                <w:b/>
                <w:sz w:val="22"/>
                <w:u w:val="double"/>
              </w:rPr>
              <w:t>$13,625,445</w:t>
            </w:r>
          </w:p>
        </w:tc>
        <w:tc>
          <w:tcPr>
            <w:tcW w:w="1440" w:type="dxa"/>
            <w:tcBorders/>
          </w:tcPr>
          <w:p>
            <w:pPr>
              <w:pStyle w:val="Normal"/>
              <w:jc w:val="center"/>
              <w:rPr>
                <w:sz w:val="22"/>
              </w:rPr>
            </w:pPr>
            <w:r>
              <w:rPr>
                <w:b/>
                <w:sz w:val="22"/>
                <w:u w:val="double"/>
              </w:rPr>
              <w:t>$13,249,278</w:t>
            </w:r>
          </w:p>
        </w:tc>
      </w:tr>
      <w:tr>
        <w:trPr/>
        <w:tc>
          <w:tcPr>
            <w:tcW w:w="3024"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r>
        <w:trPr/>
        <w:tc>
          <w:tcPr>
            <w:tcW w:w="3024" w:type="dxa"/>
            <w:tcBorders/>
          </w:tcPr>
          <w:p>
            <w:pPr>
              <w:pStyle w:val="Normal"/>
              <w:rPr>
                <w:sz w:val="22"/>
              </w:rPr>
            </w:pPr>
            <w:r>
              <w:rPr>
                <w:sz w:val="22"/>
              </w:rPr>
              <w:t xml:space="preserve">Variable O&amp;M </w:t>
            </w:r>
            <w:r>
              <w:rPr>
                <w:rStyle w:val="FootnoteCharacters"/>
                <w:rStyle w:val="FootnoteReference"/>
                <w:sz w:val="22"/>
              </w:rPr>
              <w:footnoteReference w:id="10"/>
            </w:r>
          </w:p>
        </w:tc>
        <w:tc>
          <w:tcPr>
            <w:tcW w:w="1440" w:type="dxa"/>
            <w:tcBorders/>
          </w:tcPr>
          <w:p>
            <w:pPr>
              <w:pStyle w:val="Normal"/>
              <w:jc w:val="center"/>
              <w:rPr>
                <w:sz w:val="22"/>
              </w:rPr>
            </w:pPr>
            <w:r>
              <w:rPr>
                <w:sz w:val="22"/>
              </w:rPr>
              <w:t>$452,250</w:t>
            </w:r>
          </w:p>
        </w:tc>
        <w:tc>
          <w:tcPr>
            <w:tcW w:w="1440" w:type="dxa"/>
            <w:tcBorders/>
          </w:tcPr>
          <w:p>
            <w:pPr>
              <w:pStyle w:val="Normal"/>
              <w:jc w:val="center"/>
              <w:rPr>
                <w:sz w:val="22"/>
              </w:rPr>
            </w:pPr>
            <w:r>
              <w:rPr>
                <w:sz w:val="22"/>
              </w:rPr>
              <w:t>$1,675,000</w:t>
            </w:r>
          </w:p>
        </w:tc>
        <w:tc>
          <w:tcPr>
            <w:tcW w:w="1440" w:type="dxa"/>
            <w:tcBorders/>
          </w:tcPr>
          <w:p>
            <w:pPr>
              <w:pStyle w:val="Normal"/>
              <w:jc w:val="center"/>
              <w:rPr>
                <w:sz w:val="22"/>
              </w:rPr>
            </w:pPr>
            <w:r>
              <w:rPr>
                <w:sz w:val="22"/>
              </w:rPr>
              <w:t>$1,675,000</w:t>
            </w:r>
          </w:p>
        </w:tc>
        <w:tc>
          <w:tcPr>
            <w:tcW w:w="1440" w:type="dxa"/>
            <w:tcBorders/>
          </w:tcPr>
          <w:p>
            <w:pPr>
              <w:pStyle w:val="Normal"/>
              <w:jc w:val="center"/>
              <w:rPr/>
            </w:pPr>
            <w:r>
              <w:rPr>
                <w:rFonts w:eastAsia="CG Times"/>
                <w:sz w:val="22"/>
              </w:rPr>
              <w:t xml:space="preserve"> </w:t>
            </w:r>
            <w:r>
              <w:rPr>
                <w:strike/>
                <w:sz w:val="22"/>
              </w:rPr>
              <w:t>$979,017 $979,017</w:t>
            </w:r>
            <w:r>
              <w:rPr>
                <w:sz w:val="22"/>
              </w:rPr>
              <w:t xml:space="preserve"> </w:t>
            </w:r>
            <w:r>
              <w:rPr>
                <w:b/>
                <w:sz w:val="22"/>
                <w:u w:val="double"/>
              </w:rPr>
              <w:t>$1,675,000</w:t>
            </w:r>
          </w:p>
        </w:tc>
        <w:tc>
          <w:tcPr>
            <w:tcW w:w="1440" w:type="dxa"/>
            <w:tcBorders/>
          </w:tcPr>
          <w:p>
            <w:pPr>
              <w:pStyle w:val="Normal"/>
              <w:jc w:val="center"/>
              <w:rPr>
                <w:sz w:val="22"/>
              </w:rPr>
            </w:pPr>
            <w:r>
              <w:rPr>
                <w:b/>
                <w:sz w:val="22"/>
                <w:u w:val="double"/>
              </w:rPr>
              <w:t>$1,675,000</w:t>
            </w:r>
          </w:p>
        </w:tc>
      </w:tr>
      <w:tr>
        <w:trPr/>
        <w:tc>
          <w:tcPr>
            <w:tcW w:w="3024" w:type="dxa"/>
            <w:tcBorders/>
          </w:tcPr>
          <w:p>
            <w:pPr>
              <w:pStyle w:val="Heading1"/>
              <w:ind w:hanging="0" w:start="0"/>
              <w:rPr/>
            </w:pPr>
            <w:r>
              <w:rPr/>
              <w:t xml:space="preserve">Fixed O&amp;M </w:t>
            </w:r>
            <w:r>
              <w:rPr>
                <w:rStyle w:val="FootnoteCharacters"/>
                <w:rStyle w:val="FootnoteReference"/>
              </w:rPr>
              <w:footnoteReference w:id="11"/>
            </w:r>
          </w:p>
        </w:tc>
        <w:tc>
          <w:tcPr>
            <w:tcW w:w="1440" w:type="dxa"/>
            <w:tcBorders/>
          </w:tcPr>
          <w:p>
            <w:pPr>
              <w:pStyle w:val="Normal"/>
              <w:pBdr>
                <w:bottom w:val="single" w:sz="6" w:space="1" w:color="000000"/>
              </w:pBdr>
              <w:jc w:val="center"/>
              <w:rPr>
                <w:sz w:val="22"/>
              </w:rPr>
            </w:pPr>
            <w:r>
              <w:rPr>
                <w:sz w:val="22"/>
              </w:rPr>
              <w:t>$650,000</w:t>
            </w:r>
          </w:p>
        </w:tc>
        <w:tc>
          <w:tcPr>
            <w:tcW w:w="1440" w:type="dxa"/>
            <w:tcBorders/>
          </w:tcPr>
          <w:p>
            <w:pPr>
              <w:pStyle w:val="Normal"/>
              <w:pBdr>
                <w:bottom w:val="single" w:sz="6" w:space="1" w:color="000000"/>
              </w:pBdr>
              <w:jc w:val="center"/>
              <w:rPr>
                <w:sz w:val="22"/>
              </w:rPr>
            </w:pPr>
            <w:r>
              <w:rPr>
                <w:sz w:val="22"/>
              </w:rPr>
              <w:t>$1,250,000</w:t>
            </w:r>
          </w:p>
        </w:tc>
        <w:tc>
          <w:tcPr>
            <w:tcW w:w="1440" w:type="dxa"/>
            <w:tcBorders/>
          </w:tcPr>
          <w:p>
            <w:pPr>
              <w:pStyle w:val="Normal"/>
              <w:pBdr>
                <w:bottom w:val="single" w:sz="6" w:space="1" w:color="000000"/>
              </w:pBdr>
              <w:jc w:val="center"/>
              <w:rPr>
                <w:sz w:val="22"/>
              </w:rPr>
            </w:pPr>
            <w:r>
              <w:rPr>
                <w:sz w:val="22"/>
              </w:rPr>
              <w:t>$1,250,000</w:t>
            </w:r>
          </w:p>
        </w:tc>
        <w:tc>
          <w:tcPr>
            <w:tcW w:w="1440" w:type="dxa"/>
            <w:tcBorders/>
          </w:tcPr>
          <w:p>
            <w:pPr>
              <w:pStyle w:val="Normal"/>
              <w:pBdr>
                <w:bottom w:val="single" w:sz="6" w:space="1" w:color="000000"/>
              </w:pBdr>
              <w:jc w:val="center"/>
              <w:rPr/>
            </w:pPr>
            <w:r>
              <w:rPr>
                <w:rFonts w:eastAsia="CG Times"/>
                <w:sz w:val="22"/>
              </w:rPr>
              <w:t xml:space="preserve"> </w:t>
            </w:r>
            <w:r>
              <w:rPr>
                <w:strike/>
                <w:sz w:val="22"/>
              </w:rPr>
              <w:t>$418,500 $418,500</w:t>
            </w:r>
            <w:r>
              <w:rPr>
                <w:sz w:val="22"/>
              </w:rPr>
              <w:t xml:space="preserve"> </w:t>
            </w:r>
            <w:r>
              <w:rPr>
                <w:b/>
                <w:sz w:val="22"/>
                <w:u w:val="double"/>
              </w:rPr>
              <w:t>$1,250,000</w:t>
            </w:r>
          </w:p>
        </w:tc>
        <w:tc>
          <w:tcPr>
            <w:tcW w:w="1440" w:type="dxa"/>
            <w:tcBorders/>
          </w:tcPr>
          <w:p>
            <w:pPr>
              <w:pStyle w:val="Normal"/>
              <w:pBdr>
                <w:bottom w:val="single" w:sz="6" w:space="1" w:color="000000"/>
              </w:pBdr>
              <w:jc w:val="center"/>
              <w:rPr>
                <w:sz w:val="22"/>
              </w:rPr>
            </w:pPr>
            <w:r>
              <w:rPr>
                <w:b/>
                <w:sz w:val="22"/>
                <w:u w:val="double"/>
              </w:rPr>
              <w:t>$1,250,000</w:t>
            </w:r>
          </w:p>
        </w:tc>
      </w:tr>
      <w:tr>
        <w:trPr/>
        <w:tc>
          <w:tcPr>
            <w:tcW w:w="3024" w:type="dxa"/>
            <w:tcBorders/>
          </w:tcPr>
          <w:p>
            <w:pPr>
              <w:pStyle w:val="Normal"/>
              <w:rPr>
                <w:sz w:val="22"/>
              </w:rPr>
            </w:pPr>
            <w:r>
              <w:rPr>
                <w:sz w:val="22"/>
              </w:rPr>
              <w:t>Total Operating Expenses</w:t>
            </w:r>
          </w:p>
        </w:tc>
        <w:tc>
          <w:tcPr>
            <w:tcW w:w="1440" w:type="dxa"/>
            <w:tcBorders/>
          </w:tcPr>
          <w:p>
            <w:pPr>
              <w:pStyle w:val="Normal"/>
              <w:jc w:val="center"/>
              <w:rPr/>
            </w:pPr>
            <w:r>
              <w:rPr>
                <w:rFonts w:eastAsia="CG Times"/>
                <w:sz w:val="22"/>
              </w:rPr>
              <w:t xml:space="preserve"> </w:t>
            </w:r>
            <w:r>
              <w:rPr>
                <w:strike/>
                <w:sz w:val="22"/>
              </w:rPr>
              <w:t>$4,732,994 $13,438,872 $15,685,299 $13,803,854 $13,534,255</w:t>
            </w:r>
            <w:r>
              <w:rPr>
                <w:sz w:val="22"/>
              </w:rPr>
              <w:t xml:space="preserve"> </w:t>
            </w:r>
            <w:r>
              <w:rPr>
                <w:b/>
                <w:sz w:val="22"/>
                <w:u w:val="double"/>
              </w:rPr>
              <w:t>$4,699,487</w:t>
            </w:r>
          </w:p>
        </w:tc>
        <w:tc>
          <w:tcPr>
            <w:tcW w:w="1440" w:type="dxa"/>
            <w:tcBorders/>
          </w:tcPr>
          <w:p>
            <w:pPr>
              <w:pStyle w:val="Normal"/>
              <w:jc w:val="center"/>
              <w:rPr>
                <w:b/>
                <w:sz w:val="22"/>
                <w:u w:val="double"/>
              </w:rPr>
            </w:pPr>
            <w:r>
              <w:rPr>
                <w:b/>
                <w:sz w:val="22"/>
                <w:u w:val="double"/>
              </w:rPr>
              <w:t>$13,645,931</w:t>
            </w:r>
          </w:p>
        </w:tc>
        <w:tc>
          <w:tcPr>
            <w:tcW w:w="1440" w:type="dxa"/>
            <w:tcBorders/>
          </w:tcPr>
          <w:p>
            <w:pPr>
              <w:pStyle w:val="Normal"/>
              <w:jc w:val="center"/>
              <w:rPr>
                <w:b/>
                <w:sz w:val="22"/>
                <w:u w:val="double"/>
              </w:rPr>
            </w:pPr>
            <w:r>
              <w:rPr>
                <w:b/>
                <w:sz w:val="22"/>
                <w:u w:val="double"/>
              </w:rPr>
              <w:t>16,466,203</w:t>
            </w:r>
          </w:p>
        </w:tc>
        <w:tc>
          <w:tcPr>
            <w:tcW w:w="1440" w:type="dxa"/>
            <w:tcBorders/>
          </w:tcPr>
          <w:p>
            <w:pPr>
              <w:pStyle w:val="Normal"/>
              <w:jc w:val="center"/>
              <w:rPr>
                <w:b/>
                <w:sz w:val="22"/>
                <w:u w:val="double"/>
              </w:rPr>
            </w:pPr>
            <w:r>
              <w:rPr>
                <w:b/>
                <w:sz w:val="22"/>
                <w:u w:val="double"/>
              </w:rPr>
              <w:t>16,550,445</w:t>
            </w:r>
          </w:p>
        </w:tc>
        <w:tc>
          <w:tcPr>
            <w:tcW w:w="1440" w:type="dxa"/>
            <w:tcBorders/>
          </w:tcPr>
          <w:p>
            <w:pPr>
              <w:pStyle w:val="Normal"/>
              <w:jc w:val="center"/>
              <w:rPr>
                <w:sz w:val="22"/>
              </w:rPr>
            </w:pPr>
            <w:r>
              <w:rPr>
                <w:b/>
                <w:sz w:val="22"/>
                <w:u w:val="double"/>
              </w:rPr>
              <w:t>16,174,278</w:t>
            </w:r>
          </w:p>
        </w:tc>
      </w:tr>
      <w:tr>
        <w:trPr/>
        <w:tc>
          <w:tcPr>
            <w:tcW w:w="3024"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r>
        <w:trPr/>
        <w:tc>
          <w:tcPr>
            <w:tcW w:w="3024" w:type="dxa"/>
            <w:tcBorders/>
          </w:tcPr>
          <w:p>
            <w:pPr>
              <w:pStyle w:val="Normal"/>
              <w:rPr>
                <w:sz w:val="22"/>
              </w:rPr>
            </w:pPr>
            <w:r>
              <w:rPr>
                <w:sz w:val="22"/>
              </w:rPr>
              <w:t>Earnings from Operations</w:t>
            </w:r>
          </w:p>
        </w:tc>
        <w:tc>
          <w:tcPr>
            <w:tcW w:w="1440" w:type="dxa"/>
            <w:tcBorders/>
          </w:tcPr>
          <w:p>
            <w:pPr>
              <w:pStyle w:val="Normal"/>
              <w:jc w:val="center"/>
              <w:rPr>
                <w:b/>
                <w:sz w:val="22"/>
                <w:u w:val="double"/>
              </w:rPr>
            </w:pPr>
            <w:r>
              <w:rPr>
                <w:b/>
                <w:sz w:val="22"/>
                <w:u w:val="double"/>
              </w:rPr>
              <w:t>$669,576</w:t>
            </w:r>
          </w:p>
        </w:tc>
        <w:tc>
          <w:tcPr>
            <w:tcW w:w="1440" w:type="dxa"/>
            <w:tcBorders/>
          </w:tcPr>
          <w:p>
            <w:pPr>
              <w:pStyle w:val="Normal"/>
              <w:jc w:val="center"/>
              <w:rPr>
                <w:b/>
                <w:sz w:val="22"/>
                <w:u w:val="double"/>
              </w:rPr>
            </w:pPr>
            <w:r>
              <w:rPr>
                <w:b/>
                <w:sz w:val="22"/>
                <w:u w:val="double"/>
              </w:rPr>
              <w:t>$2,660,112</w:t>
            </w:r>
          </w:p>
        </w:tc>
        <w:tc>
          <w:tcPr>
            <w:tcW w:w="1440" w:type="dxa"/>
            <w:tcBorders/>
          </w:tcPr>
          <w:p>
            <w:pPr>
              <w:pStyle w:val="Normal"/>
              <w:jc w:val="center"/>
              <w:rPr>
                <w:b/>
                <w:sz w:val="22"/>
                <w:u w:val="double"/>
              </w:rPr>
            </w:pPr>
            <w:r>
              <w:rPr>
                <w:b/>
                <w:sz w:val="22"/>
                <w:u w:val="double"/>
              </w:rPr>
              <w:t>$3,419,216</w:t>
            </w:r>
          </w:p>
        </w:tc>
        <w:tc>
          <w:tcPr>
            <w:tcW w:w="1440" w:type="dxa"/>
            <w:tcBorders/>
          </w:tcPr>
          <w:p>
            <w:pPr>
              <w:pStyle w:val="Normal"/>
              <w:jc w:val="center"/>
              <w:rPr>
                <w:b/>
                <w:sz w:val="22"/>
                <w:u w:val="double"/>
              </w:rPr>
            </w:pPr>
            <w:r>
              <w:rPr>
                <w:b/>
                <w:sz w:val="22"/>
                <w:u w:val="double"/>
              </w:rPr>
              <w:t>$3,566,727</w:t>
            </w:r>
          </w:p>
        </w:tc>
        <w:tc>
          <w:tcPr>
            <w:tcW w:w="1440" w:type="dxa"/>
            <w:tcBorders/>
          </w:tcPr>
          <w:p>
            <w:pPr>
              <w:pStyle w:val="Normal"/>
              <w:jc w:val="center"/>
              <w:rPr>
                <w:b/>
                <w:sz w:val="22"/>
                <w:u w:val="double"/>
              </w:rPr>
            </w:pPr>
            <w:r>
              <w:rPr>
                <w:b/>
                <w:sz w:val="22"/>
                <w:u w:val="double"/>
              </w:rPr>
              <w:t>$3,709,321</w:t>
            </w:r>
          </w:p>
        </w:tc>
      </w:tr>
      <w:tr>
        <w:trPr/>
        <w:tc>
          <w:tcPr>
            <w:tcW w:w="3024" w:type="dxa"/>
            <w:tcBorders/>
          </w:tcPr>
          <w:p>
            <w:pPr>
              <w:pStyle w:val="Normal"/>
              <w:snapToGrid w:val="false"/>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c>
          <w:tcPr>
            <w:tcW w:w="1440" w:type="dxa"/>
            <w:tcBorders/>
          </w:tcPr>
          <w:p>
            <w:pPr>
              <w:pStyle w:val="Normal"/>
              <w:snapToGrid w:val="false"/>
              <w:jc w:val="center"/>
              <w:rPr>
                <w:b/>
                <w:sz w:val="22"/>
                <w:u w:val="double"/>
              </w:rPr>
            </w:pPr>
            <w:r>
              <w:rPr>
                <w:b/>
                <w:sz w:val="22"/>
                <w:u w:val="double"/>
              </w:rPr>
            </w:r>
          </w:p>
        </w:tc>
      </w:tr>
    </w:tbl>
    <w:p>
      <w:pPr>
        <w:pStyle w:val="Normal"/>
        <w:rPr/>
      </w:pPr>
      <w:r>
        <w:rPr>
          <w:rFonts w:eastAsia="CG Times"/>
          <w:sz w:val="22"/>
        </w:rPr>
        <w:t xml:space="preserve"> </w:t>
      </w:r>
      <w:r>
        <w:rPr>
          <w:strike/>
          <w:sz w:val="22"/>
        </w:rPr>
        <w:t xml:space="preserve">$636,069 $2,867,172 $4,200,120 $6,638,356 $7,480,338 </w:t>
      </w:r>
    </w:p>
    <w:p>
      <w:pPr>
        <w:pStyle w:val="Normal"/>
        <w:rPr>
          <w:strike/>
          <w:sz w:val="22"/>
        </w:rPr>
      </w:pPr>
      <w:r>
        <w:rPr>
          <w:strike/>
          <w:sz w:val="22"/>
        </w:rPr>
        <w:t>Proposed Time Schedule</w:t>
      </w:r>
    </w:p>
    <w:p>
      <w:pPr>
        <w:pStyle w:val="Normal"/>
        <w:rPr>
          <w:strike/>
          <w:sz w:val="22"/>
        </w:rPr>
      </w:pPr>
      <w:r>
        <w:rPr>
          <w:strike/>
          <w:sz w:val="22"/>
        </w:rPr>
        <w:t>Docket No. 99-09-30, DPUC Review of Connecticut Light and Power Company's Conservation and Load Management Programs for 2000 - Reopening</w:t>
      </w:r>
    </w:p>
    <w:p>
      <w:pPr>
        <w:pStyle w:val="Normal"/>
        <w:rPr>
          <w:strike/>
          <w:sz w:val="22"/>
        </w:rPr>
      </w:pPr>
      <w:r>
        <w:rPr>
          <w:strike/>
          <w:sz w:val="22"/>
        </w:rPr>
        <w:t>Docket No. 99-10-18, DPUC Review of the United Illuminating Company's Conservation and Load Management Plan for 2000-Reopening</w:t>
      </w:r>
    </w:p>
    <w:p>
      <w:pPr>
        <w:pStyle w:val="Normal"/>
        <w:rPr>
          <w:strike/>
          <w:sz w:val="22"/>
        </w:rPr>
      </w:pPr>
      <w:r>
        <w:rPr>
          <w:strike/>
          <w:sz w:val="22"/>
        </w:rPr>
      </w:r>
    </w:p>
    <w:p>
      <w:pPr>
        <w:pStyle w:val="Normal"/>
        <w:rPr>
          <w:strike/>
          <w:sz w:val="22"/>
        </w:rPr>
      </w:pPr>
      <w:r>
        <w:rPr>
          <w:strike/>
          <w:sz w:val="22"/>
        </w:rPr>
        <w:t>Hearing DPUC November 15, 2000</w:t>
      </w:r>
    </w:p>
    <w:p>
      <w:pPr>
        <w:pStyle w:val="Normal"/>
        <w:rPr>
          <w:strike/>
          <w:sz w:val="22"/>
        </w:rPr>
      </w:pPr>
      <w:r>
        <w:rPr>
          <w:strike/>
          <w:sz w:val="22"/>
        </w:rPr>
        <w:t>Site Tour, FuelCell Energy, Inc., Torrington, CT November 16, 2000</w:t>
      </w:r>
    </w:p>
    <w:p>
      <w:pPr>
        <w:pStyle w:val="Normal"/>
        <w:rPr>
          <w:strike/>
          <w:sz w:val="22"/>
        </w:rPr>
      </w:pPr>
      <w:r>
        <w:rPr>
          <w:strike/>
          <w:sz w:val="22"/>
        </w:rPr>
        <w:t>Late Filed Exhibits Due November 17, 2000</w:t>
      </w:r>
    </w:p>
    <w:p>
      <w:pPr>
        <w:pStyle w:val="Normal"/>
        <w:rPr>
          <w:strike/>
          <w:sz w:val="22"/>
        </w:rPr>
      </w:pPr>
      <w:r>
        <w:rPr>
          <w:strike/>
          <w:sz w:val="22"/>
        </w:rPr>
        <w:t>LFE Hearing DPUC November 21, 2000</w:t>
      </w:r>
    </w:p>
    <w:p>
      <w:pPr>
        <w:pStyle w:val="Normal"/>
        <w:rPr>
          <w:strike/>
          <w:sz w:val="22"/>
        </w:rPr>
      </w:pPr>
      <w:r>
        <w:rPr>
          <w:strike/>
          <w:sz w:val="22"/>
        </w:rPr>
        <w:t>Briefs Due November 22, 2000</w:t>
      </w:r>
    </w:p>
    <w:p>
      <w:pPr>
        <w:pStyle w:val="Normal"/>
        <w:rPr>
          <w:strike/>
          <w:sz w:val="22"/>
        </w:rPr>
      </w:pPr>
      <w:r>
        <w:rPr>
          <w:strike/>
          <w:sz w:val="22"/>
        </w:rPr>
        <w:t>Reply Briefs Due November 27, 2000</w:t>
      </w:r>
    </w:p>
    <w:p>
      <w:pPr>
        <w:pStyle w:val="Normal"/>
        <w:rPr>
          <w:strike/>
          <w:sz w:val="22"/>
        </w:rPr>
      </w:pPr>
      <w:r>
        <w:rPr>
          <w:strike/>
          <w:sz w:val="22"/>
        </w:rPr>
        <w:t>Distribution of Draft Decision November 29, 2000</w:t>
      </w:r>
    </w:p>
    <w:p>
      <w:pPr>
        <w:pStyle w:val="Normal"/>
        <w:rPr>
          <w:strike/>
          <w:sz w:val="22"/>
        </w:rPr>
      </w:pPr>
      <w:r>
        <w:rPr>
          <w:strike/>
          <w:sz w:val="22"/>
        </w:rPr>
        <w:t>Written Exceptions Due December 1, 2000 10:00 a.m.</w:t>
      </w:r>
    </w:p>
    <w:p>
      <w:pPr>
        <w:pStyle w:val="Normal"/>
        <w:rPr>
          <w:strike/>
          <w:sz w:val="22"/>
        </w:rPr>
      </w:pPr>
      <w:r>
        <w:rPr>
          <w:strike/>
          <w:sz w:val="22"/>
        </w:rPr>
        <w:t>Oral Arguments DPUC December 4, 2000</w:t>
      </w:r>
    </w:p>
    <w:p>
      <w:pPr>
        <w:pStyle w:val="Normal"/>
        <w:rPr>
          <w:sz w:val="22"/>
        </w:rPr>
      </w:pPr>
      <w:r>
        <w:rPr>
          <w:strike/>
          <w:sz w:val="22"/>
        </w:rPr>
        <w:t>Regular Meeting/Final Decision DPUC December 6, 2000</w:t>
      </w:r>
    </w:p>
    <w:p>
      <w:pPr>
        <w:pStyle w:val="Normal"/>
        <w:rPr>
          <w:sz w:val="22"/>
        </w:rPr>
      </w:pPr>
      <w:r>
        <w:rPr>
          <w:sz w:val="22"/>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sz w:val="22"/>
        </w:rPr>
      </w:pPr>
      <w:r>
        <w:rPr>
          <w:sz w:val="22"/>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COMPARISON OF FOOTNOTES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1-</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Fonts w:eastAsia="CG Times"/>
        </w:rPr>
        <w:t xml:space="preserve"> </w:t>
      </w:r>
      <w:r>
        <w:rPr/>
        <w:t xml:space="preserve">Indeed, it was a combination of </w:t>
      </w:r>
      <w:r>
        <w:rPr>
          <w:strike/>
        </w:rPr>
        <w:t>progressive</w:t>
      </w:r>
      <w:r>
        <w:rPr/>
        <w:t xml:space="preserve"> environmental and energy policies that led to the creation of CRRA nearly 30 years ago to combat the environmentally debilitating practice of </w:t>
      </w:r>
      <w:r>
        <w:rPr>
          <w:strike/>
        </w:rPr>
        <w:t>landfilling</w:t>
      </w:r>
      <w:r>
        <w:rPr/>
        <w:t xml:space="preserve"> </w:t>
      </w:r>
      <w:r>
        <w:rPr>
          <w:b/>
          <w:u w:val="double"/>
        </w:rPr>
        <w:t>land-filling</w:t>
      </w:r>
      <w:r>
        <w:rPr/>
        <w:t xml:space="preserve"> raw municipal solid waste while at the same time creating a native source of electricity.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t>-FOOTNOTE 2-</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t>Conn. Gen. Stat. § 16-1(26) includes a fuel cell in the definition of a "Class I renewable energy source"..</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-FOOTNOTE </w:t>
      </w:r>
      <w:r>
        <w:rPr>
          <w:strike/>
        </w:rPr>
        <w:t>2</w:t>
      </w:r>
      <w:r>
        <w:rPr/>
        <w:t xml:space="preserve"> </w:t>
      </w:r>
      <w:r>
        <w:rPr>
          <w:b/>
          <w:u w:val="double"/>
        </w:rPr>
        <w:t>3</w:t>
      </w: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Conn. Gen. Stat. § 16a-35k states in pertinent part: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Therefore, the General Assembly declares that it is the policy of the state of Connecticut to (1) conserve energy resources by avoiding unnecessary and wasteful consumption; (2) consume energy resources in the most efficient manner feasible; (3) develop and utilize renewable energy resources, such as solar and wind energy, to the maximum practicable extent; (4) diversify the state's energy supply mix; (5) where practicable, replace energy resources vulnerable to interruption due to circumstances beyond the state's control with those less vulnerable; (6) assist citizen and businesses in implementing measures to reduce energy consumption and costs; (7) ensure that low-income households can meet essential energy needs; (8) maintain planning and preparedness capabilities necessary to deal effectively with future energy supply interruptions; and (9) when available energy alternatives are equivalent, give preference for capacity additions first to conservation and load management.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(emphasis added).,</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-FOOTNOTE </w:t>
      </w:r>
      <w:r>
        <w:rPr>
          <w:strike/>
        </w:rPr>
        <w:t>3</w:t>
      </w:r>
      <w:r>
        <w:rPr/>
        <w:t xml:space="preserve"> </w:t>
      </w:r>
      <w:r>
        <w:rPr>
          <w:b/>
          <w:u w:val="double"/>
        </w:rPr>
        <w:t>4</w:t>
      </w: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The Department has been granted broad powers by the legislature in regard to the promotion of conservation and load management programs. Prior to the enactment of the Electric Restructuring Act, the legislature required the Department to order "each gas and electric public service company to implement a cost effective conservation and load management program consistent with integrated resource planning principles." Conn. Gen. Stat. § 16a-49. This statutory scheme, introduced prior to the opening of the electric industry to competition, focuses on the electric public service company's development of programs which further the state's energy policy. In doing so, the Legislature went so far as to require the Department to remove the economic disincentives for utilities created by the implementation of cost effective conservation and load management programs. See, Conn. Gen. Stat. § 16-19kk through § 16-19oo, and Conn. Gen. Stat. § 16-19aa (return on investment allowed for facilities temporarily or permanently retired from service due to affect of conservation and load management programs).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-FOOTNOTE </w:t>
      </w:r>
      <w:r>
        <w:rPr>
          <w:strike/>
        </w:rPr>
        <w:t>4</w:t>
      </w:r>
      <w:r>
        <w:rPr/>
        <w:t xml:space="preserve"> </w:t>
      </w:r>
      <w:r>
        <w:rPr>
          <w:b/>
          <w:u w:val="double"/>
        </w:rPr>
        <w:t>5</w:t>
      </w: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strike/>
        </w:rPr>
        <w:t>ADD cite to expedited permitting at Siting Council 16-50k. Expedited</w:t>
      </w:r>
      <w:r>
        <w:rPr/>
        <w:t xml:space="preserve"> </w:t>
      </w:r>
      <w:r>
        <w:rPr>
          <w:b/>
          <w:u w:val="double"/>
        </w:rPr>
        <w:t>See, e.g., Conn. Gen. Stat. § 16-50k (expedited Siting Council</w:t>
      </w:r>
      <w:r>
        <w:rPr/>
        <w:t xml:space="preserve"> permitting </w:t>
      </w:r>
      <w:r>
        <w:rPr>
          <w:strike/>
        </w:rPr>
        <w:t xml:space="preserve">in some circumstances. </w:t>
      </w:r>
      <w:r>
        <w:rPr>
          <w:b/>
          <w:u w:val="double"/>
        </w:rPr>
        <w:t xml:space="preserve">procedures for fuel cells provided under certain circumstances.)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-FOOTNOTE </w:t>
      </w:r>
      <w:r>
        <w:rPr>
          <w:strike/>
        </w:rPr>
        <w:t>5</w:t>
      </w:r>
      <w:r>
        <w:rPr/>
        <w:t xml:space="preserve"> </w:t>
      </w:r>
      <w:r>
        <w:rPr>
          <w:b/>
          <w:u w:val="double"/>
        </w:rPr>
        <w:t>6</w:t>
      </w: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strike/>
        </w:rPr>
        <w:t>Other Class I renewable energy sources include energy derived from solar, wind, biomass facilities</w:t>
      </w:r>
      <w:r>
        <w:rPr/>
        <w:t xml:space="preserve"> </w:t>
      </w:r>
      <w:r>
        <w:rPr>
          <w:b/>
          <w:u w:val="double"/>
        </w:rPr>
        <w:t>Assumes a 95% availability factor</w:t>
      </w:r>
      <w:r>
        <w:rPr/>
        <w:t xml:space="preserve"> and </w:t>
      </w:r>
      <w:r>
        <w:rPr>
          <w:strike/>
        </w:rPr>
        <w:t>methane gas from landfills.</w:t>
      </w:r>
      <w:r>
        <w:rPr/>
        <w:t xml:space="preserve"> </w:t>
      </w:r>
      <w:r>
        <w:rPr>
          <w:b/>
          <w:u w:val="double"/>
        </w:rPr>
        <w:t>FuelCell Energy forecasted degradation.</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t>-FOOTNOTE 7-</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t>Blended average Standard Offer Service rate for Connecticut Light &amp; Power and The United Illuminating Company.</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t>-FOOTNOTE 8-</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t>Blended forward prices for Algonquin Gas Transmission and Tennessee Gas Pipeline.</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t>-FOOTNOTE 9-</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t>Based on variable O&amp;M assumptions of $33,500 per MW per full year of operation.</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t>-FOOTNOTE 10-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u w:val="double"/>
        </w:rPr>
      </w:pPr>
      <w:r>
        <w:rPr>
          <w:b/>
          <w:u w:val="double"/>
        </w:rPr>
        <w:t>Based on fixed O&amp;M assumptions of $25,000 per MW per full year of operation.</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COMPARISON OF HEADERS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-HEADER 1-</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COMPARISON OF FOOTERS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-FOOTER 1-</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strike/>
        </w:rPr>
      </w:pPr>
      <w:r>
        <w:rPr>
          <w:b/>
          <w:u w:val="double"/>
        </w:rPr>
        <w:t>15</w:t>
      </w:r>
      <w:r>
        <w:rPr/>
        <w:t xml:space="preserve">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strike/>
        </w:rPr>
      </w:pPr>
      <w:r>
        <w:rPr>
          <w:strike/>
        </w:rPr>
        <w:t>-FOOTER 2-</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strike/>
        </w:rPr>
      </w:pPr>
      <w:r>
        <w:rPr>
          <w:strike/>
        </w:rPr>
        <w:t>5</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-FOOTER </w:t>
      </w:r>
      <w:r>
        <w:rPr>
          <w:strike/>
        </w:rPr>
        <w:t>3</w:t>
      </w:r>
      <w:r>
        <w:rPr/>
        <w:t xml:space="preserve"> </w:t>
      </w:r>
      <w:r>
        <w:rPr>
          <w:b/>
          <w:u w:val="double"/>
        </w:rPr>
        <w:t>2</w:t>
      </w: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strike/>
        </w:rPr>
        <w:t>#504928v2</w:t>
      </w:r>
      <w:r>
        <w:rPr>
          <w:b/>
          <w:u w:val="double"/>
        </w:rPr>
        <w:t>#506961</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S</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-FOOTER </w:t>
      </w:r>
      <w:r>
        <w:rPr>
          <w:strike/>
        </w:rPr>
        <w:t>4</w:t>
      </w:r>
      <w:r>
        <w:rPr/>
        <w:t xml:space="preserve"> </w:t>
      </w:r>
      <w:r>
        <w:rPr>
          <w:b/>
          <w:u w:val="double"/>
        </w:rPr>
        <w:t>3</w:t>
      </w: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E</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r>
        <w:br w:type="page"/>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This redlined draft, generated by CompareRite (TM) - The Instant Redliner, shows the differences between -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original document   : C:\WINDOWS\TEMP\HARTFORD_504928_2</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and revised document: C:\WINDOWS\TEMP\HARTFORD_506961_1</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CompareRite found  130 change(s) in the text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CompareRite found    9 change(s) in the notes</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Deletions appear as Overstrike text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Additions appear as Bold+Dbl Underline text </w:t>
      </w:r>
    </w:p>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#506961v2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#506961v2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#506961v2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#506961v2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t xml:space="preserve">Indeed, it was a combination of environmental and energy policies that led to the creation of CRRA nearly 30 years ago to combat the environmentally debilitating practice of land-filling raw municipal solid waste while at the same time creating a native source of electricity.  </w:t>
      </w:r>
    </w:p>
  </w:footnote>
  <w:footnote w:id="3">
    <w:p>
      <w:pPr>
        <w:pStyle w:val="FootnoteText"/>
        <w:spacing w:before="0" w:after="240"/>
        <w:ind w:hanging="720" w:start="720" w:end="0"/>
        <w:rPr/>
      </w:pPr>
      <w:r>
        <w:rPr>
          <w:rStyle w:val="FootnoteCharacters"/>
        </w:rPr>
        <w:footnoteRef/>
      </w:r>
      <w:r>
        <w:rPr/>
        <w:t xml:space="preserve"> </w:t>
      </w:r>
      <w:r>
        <w:rPr/>
        <w:tab/>
        <w:t>Conn. Gen. Stat. § 16-1(26) includes a fuel cell in the definition of a "Class I renewable energy source".</w:t>
      </w:r>
    </w:p>
  </w:footnote>
  <w:footnote w:id="4">
    <w:p>
      <w:pPr>
        <w:pStyle w:val="FootnoteText"/>
        <w:rPr/>
      </w:pPr>
      <w:r>
        <w:rPr>
          <w:rStyle w:val="FootnoteCharacters"/>
        </w:rPr>
        <w:footnoteRef/>
      </w:r>
      <w:r>
        <w:rPr/>
        <w:t xml:space="preserve"> </w:t>
      </w:r>
      <w:r>
        <w:rPr/>
        <w:tab/>
        <w:t>Conn. Gen. Stat. § 16a-35k states in pertinent part:</w:t>
      </w:r>
    </w:p>
    <w:p>
      <w:pPr>
        <w:pStyle w:val="FootnoteText"/>
        <w:rPr/>
      </w:pPr>
      <w:r>
        <w:rPr/>
        <w:tab/>
        <w:t xml:space="preserve">Therefore, the General Assembly declares that it is the policy of the state of Connecticut to </w:t>
      </w:r>
      <w:r>
        <w:rPr>
          <w:b/>
        </w:rPr>
        <w:t>(1) conserve energy resources by avoiding unnecessary and wasteful consumption; (2)  consume energy resources in the most efficient manner feasible; (3) develop and utilize renewable energy resources, such as solar and wind energy, to the maximum practicable extent; (4) diversify the state's energy supply mix; (5) where practicable, replace energy resources vulnerable to interruption due to circumstances beyond the state's control with those less vulnerable;</w:t>
      </w:r>
      <w:r>
        <w:rPr/>
        <w:t xml:space="preserve"> (6) assist citizen and businesses in implementing measures to reduce energy consumption and costs; (7) ensure that low-income households can meet essential energy needs; (8) maintain planning and preparedness capabilities necessary to deal effectively with future energy supply interruptions; and </w:t>
      </w:r>
      <w:r>
        <w:rPr>
          <w:b/>
        </w:rPr>
        <w:t>(9)</w:t>
      </w:r>
      <w:r>
        <w:rPr/>
        <w:t xml:space="preserve"> </w:t>
      </w:r>
      <w:r>
        <w:rPr>
          <w:b/>
        </w:rPr>
        <w:t>when available energy alternatives are equivalent, give preference for capacity additions first to conservation and load management.</w:t>
      </w:r>
    </w:p>
    <w:p>
      <w:pPr>
        <w:pStyle w:val="FootnoteText"/>
        <w:spacing w:before="0" w:after="240"/>
        <w:ind w:hanging="720" w:start="720" w:end="0"/>
        <w:rPr/>
      </w:pPr>
      <w:r>
        <w:rPr/>
        <w:t>(emphasis added).</w:t>
      </w:r>
    </w:p>
  </w:footnote>
  <w:footnote w:id="5">
    <w:p>
      <w:pPr>
        <w:pStyle w:val="FootnoteText"/>
        <w:rPr/>
      </w:pPr>
      <w:r>
        <w:rPr>
          <w:rStyle w:val="FootnoteCharacters"/>
        </w:rPr>
        <w:footnoteRef/>
      </w:r>
      <w:r>
        <w:rPr/>
        <w:t xml:space="preserve"> </w:t>
      </w:r>
      <w:r>
        <w:rPr/>
        <w:tab/>
        <w:t xml:space="preserve">The Department has been granted broad powers by the legislature in regard to the promotion of conservation and load management programs.  Prior to the enactment of the Electric Restructuring Act, the legislature required the Department to order "each gas and electric public service company to implement a cost effective conservation and load management program consistent with integrated resource planning principles."  Conn. Gen. Stat. § 16a-49.  This statutory scheme, introduced prior to the opening of the electric industry to competition, focuses on the electric public service company's development of programs which further the state's energy policy.  In doing so, the Legislature went so far as to require the Department to remove the economic disincentives for utilities created by the implementation of cost effective conservation and load management programs.  </w:t>
      </w:r>
      <w:r>
        <w:rPr>
          <w:u w:val="single"/>
        </w:rPr>
        <w:t>See</w:t>
      </w:r>
      <w:r>
        <w:rPr/>
        <w:t xml:space="preserve">, Conn. Gen. Stat. § 16-19kk through § 16-19oo, and Conn. Gen. Stat. § 16-19aa (return on investment allowed for facilities temporarily or permanently retired from service due to affect of conservation and load management programs).  </w:t>
      </w:r>
    </w:p>
    <w:p>
      <w:pPr>
        <w:pStyle w:val="FootnoteText"/>
        <w:spacing w:before="0" w:after="240"/>
        <w:ind w:hanging="720" w:start="720" w:end="0"/>
        <w:rPr/>
      </w:pPr>
      <w:r>
        <w:rPr/>
      </w:r>
    </w:p>
  </w:footnote>
  <w:footnote w:id="6">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w:t>
      </w:r>
      <w:r>
        <w:rPr>
          <w:u w:val="single"/>
        </w:rPr>
        <w:t>e.g.</w:t>
      </w:r>
      <w:r>
        <w:rPr/>
        <w:t>, Conn. Gen. Stat. § 16-50k (expedited Siting Council permitting procedures for fuel cells provided under certain circumstances.)</w:t>
      </w:r>
    </w:p>
  </w:footnote>
  <w:footnote w:id="7">
    <w:p>
      <w:pPr>
        <w:pStyle w:val="FootnoteText"/>
        <w:spacing w:before="0" w:after="240"/>
        <w:ind w:hanging="720" w:start="720" w:end="0"/>
        <w:rPr/>
      </w:pPr>
      <w:r>
        <w:rPr>
          <w:rStyle w:val="FootnoteCharacters"/>
        </w:rPr>
        <w:footnoteRef/>
      </w:r>
      <w:r>
        <w:rPr/>
        <w:t xml:space="preserve"> </w:t>
      </w:r>
      <w:r>
        <w:rPr/>
        <w:t>Assumes a 95% availability factor and FuelCell Energy forecasted degradation.</w:t>
      </w:r>
    </w:p>
  </w:footnote>
  <w:footnote w:id="8">
    <w:p>
      <w:pPr>
        <w:pStyle w:val="FootnoteText"/>
        <w:spacing w:before="0" w:after="240"/>
        <w:ind w:hanging="720" w:start="720" w:end="0"/>
        <w:rPr/>
      </w:pPr>
      <w:r>
        <w:rPr>
          <w:rStyle w:val="FootnoteCharacters"/>
        </w:rPr>
        <w:footnoteRef/>
      </w:r>
      <w:r>
        <w:rPr/>
        <w:t xml:space="preserve"> </w:t>
      </w:r>
      <w:r>
        <w:rPr/>
        <w:t>Blended average Standard Offer Service rate for Connecticut Light &amp; Power and The United Illuminating Company.</w:t>
      </w:r>
    </w:p>
  </w:footnote>
  <w:footnote w:id="9">
    <w:p>
      <w:pPr>
        <w:pStyle w:val="FootnoteText"/>
        <w:spacing w:before="0" w:after="240"/>
        <w:ind w:hanging="720" w:start="720" w:end="0"/>
        <w:rPr/>
      </w:pPr>
      <w:r>
        <w:rPr>
          <w:rStyle w:val="FootnoteCharacters"/>
        </w:rPr>
        <w:footnoteRef/>
      </w:r>
      <w:r>
        <w:rPr/>
        <w:t xml:space="preserve"> </w:t>
      </w:r>
      <w:r>
        <w:rPr/>
        <w:t>Blended forward prices for Algonquin Gas Transmission and Tennessee Gas Pipeline.</w:t>
      </w:r>
    </w:p>
  </w:footnote>
  <w:footnote w:id="10">
    <w:p>
      <w:pPr>
        <w:pStyle w:val="FootnoteText"/>
        <w:spacing w:before="0" w:after="240"/>
        <w:ind w:hanging="720" w:start="720" w:end="0"/>
        <w:rPr/>
      </w:pPr>
      <w:r>
        <w:rPr>
          <w:rStyle w:val="FootnoteCharacters"/>
        </w:rPr>
        <w:footnoteRef/>
      </w:r>
      <w:r>
        <w:rPr/>
        <w:t xml:space="preserve"> </w:t>
      </w:r>
      <w:r>
        <w:rPr/>
        <w:t>Based on variable O&amp;M assumptions of $33,500 per MW per full year of operation.</w:t>
      </w:r>
    </w:p>
  </w:footnote>
  <w:footnote w:id="11">
    <w:p>
      <w:pPr>
        <w:pStyle w:val="FootnoteText"/>
        <w:spacing w:before="0" w:after="240"/>
        <w:ind w:hanging="720" w:start="720" w:end="0"/>
        <w:rPr/>
      </w:pPr>
      <w:r>
        <w:rPr>
          <w:rStyle w:val="FootnoteCharacters"/>
        </w:rPr>
        <w:footnoteRef/>
      </w:r>
      <w:r>
        <w:rPr/>
        <w:t xml:space="preserve"> </w:t>
      </w:r>
      <w:r>
        <w:rPr/>
        <w:t>Based on fixed O&amp;M assumptions of $25,000 per MW per full year of operation.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45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style>
  <w:style w:type="character" w:styleId="WW8Num6z0">
    <w:name w:val="WW8Num6z0"/>
    <w:qFormat/>
    <w:rPr/>
  </w:style>
  <w:style w:type="character" w:styleId="WW8Num7z0">
    <w:name w:val="WW8Num7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sz w:val="24"/>
      <w:vertAlign w:val="superscript"/>
    </w:rPr>
  </w:style>
  <w:style w:type="character" w:styleId="PageNumber">
    <w:name w:val="page number"/>
    <w:basedOn w:val="DefaultParagraphFont"/>
    <w:rPr>
      <w:rFonts w:ascii="CG Times" w:hAnsi="CG Times" w:cs="CG Times"/>
      <w:sz w:val="24"/>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tabs>
        <w:tab w:val="clear" w:pos="720"/>
        <w:tab w:val="clear" w:pos="1440"/>
        <w:tab w:val="clear" w:pos="2160"/>
        <w:tab w:val="clear" w:pos="2880"/>
        <w:tab w:val="clear" w:pos="3240"/>
        <w:tab w:val="clear" w:pos="4320"/>
        <w:tab w:val="clear" w:pos="4680"/>
        <w:tab w:val="clear" w:pos="5040"/>
        <w:tab w:val="clear" w:pos="9360"/>
      </w:tabs>
      <w:jc w:val="center"/>
    </w:pPr>
    <w:rPr>
      <w:rFonts w:ascii="Times New Roman" w:hAnsi="Times New Roman" w:cs="Times New Roman"/>
      <w:b/>
      <w:sz w:val="32"/>
    </w:rPr>
  </w:style>
  <w:style w:type="paragraph" w:styleId="BodyText">
    <w:name w:val="Body Text"/>
    <w:basedOn w:val="Normal"/>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ind w:hanging="720" w:start="72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lear" w:pos="1440"/>
        <w:tab w:val="clear" w:pos="2160"/>
        <w:tab w:val="clear" w:pos="2880"/>
        <w:tab w:val="clear" w:pos="3240"/>
        <w:tab w:val="clear" w:pos="4320"/>
        <w:tab w:val="clear" w:pos="4680"/>
        <w:tab w:val="clear" w:pos="5040"/>
        <w:tab w:val="clear" w:pos="9360"/>
        <w:tab w:val="center" w:pos="4986" w:leader="none"/>
        <w:tab w:val="right" w:pos="9972" w:leader="none"/>
      </w:tabs>
    </w:pPr>
    <w:rPr/>
  </w:style>
  <w:style w:type="paragraph" w:styleId="Footer">
    <w:name w:val="foot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FootnoteText">
    <w:name w:val="footnote text"/>
    <w:basedOn w:val="Normal"/>
    <w:pPr>
      <w:spacing w:before="0" w:after="240"/>
      <w:ind w:hanging="720" w:start="720" w:end="0"/>
    </w:pPr>
    <w:rPr/>
  </w:style>
  <w:style w:type="paragraph" w:styleId="Header">
    <w:name w:val="head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BodyTextIndent">
    <w:name w:val="Body Text Indent"/>
    <w:basedOn w:val="Normal"/>
    <w:pPr>
      <w:tabs>
        <w:tab w:val="clear" w:pos="720"/>
        <w:tab w:val="clear" w:pos="1440"/>
        <w:tab w:val="clear" w:pos="2160"/>
        <w:tab w:val="clear" w:pos="2880"/>
        <w:tab w:val="clear" w:pos="3240"/>
        <w:tab w:val="clear" w:pos="4320"/>
        <w:tab w:val="clear" w:pos="4680"/>
        <w:tab w:val="clear" w:pos="5040"/>
        <w:tab w:val="clear" w:pos="9360"/>
      </w:tabs>
      <w:spacing w:lineRule="auto" w:line="480"/>
      <w:ind w:firstLine="720" w:start="0" w:end="0"/>
    </w:pPr>
    <w:rPr>
      <w:rFonts w:ascii="Times New Roman" w:hAnsi="Times New Roman" w:cs="Times New Roman"/>
    </w:rPr>
  </w:style>
  <w:style w:type="paragraph" w:styleId="TOC1">
    <w:name w:val="toc 1"/>
    <w:basedOn w:val="Normal"/>
    <w:next w:val="Normal"/>
    <w:pPr>
      <w:tabs>
        <w:tab w:val="clear" w:pos="1440"/>
        <w:tab w:val="clear" w:pos="2160"/>
        <w:tab w:val="clear" w:pos="2880"/>
        <w:tab w:val="clear" w:pos="3240"/>
        <w:tab w:val="clear" w:pos="4320"/>
        <w:tab w:val="clear" w:pos="4680"/>
        <w:tab w:val="clear" w:pos="5040"/>
        <w:tab w:val="clear" w:pos="9360"/>
        <w:tab w:val="left" w:pos="720" w:leader="none"/>
        <w:tab w:val="right" w:pos="9072" w:leader="dot"/>
      </w:tabs>
      <w:spacing w:before="0" w:after="240"/>
      <w:ind w:hanging="720" w:start="720" w:end="1440"/>
    </w:pPr>
    <w:rPr/>
  </w:style>
  <w:style w:type="paragraph" w:styleId="TOC2">
    <w:name w:val="toc 2"/>
    <w:basedOn w:val="Normal"/>
    <w:next w:val="Normal"/>
    <w:pPr>
      <w:tabs>
        <w:tab w:val="clear" w:pos="2160"/>
        <w:tab w:val="clear" w:pos="2880"/>
        <w:tab w:val="clear" w:pos="3240"/>
        <w:tab w:val="clear" w:pos="4320"/>
        <w:tab w:val="clear" w:pos="4680"/>
        <w:tab w:val="clear" w:pos="5040"/>
        <w:tab w:val="clear" w:pos="9360"/>
        <w:tab w:val="left" w:pos="720" w:leader="none"/>
        <w:tab w:val="left" w:pos="1440" w:leader="none"/>
        <w:tab w:val="right" w:pos="9072" w:leader="dot"/>
      </w:tabs>
      <w:spacing w:before="0" w:after="240"/>
      <w:ind w:hanging="720" w:start="1440" w:end="1440"/>
    </w:pPr>
    <w:rPr/>
  </w:style>
  <w:style w:type="paragraph" w:styleId="TOC3">
    <w:name w:val="toc 3"/>
    <w:basedOn w:val="Normal"/>
    <w:next w:val="Normal"/>
    <w:pPr>
      <w:tabs>
        <w:tab w:val="clear" w:pos="720"/>
        <w:tab w:val="clear" w:pos="2880"/>
        <w:tab w:val="clear" w:pos="3240"/>
        <w:tab w:val="clear" w:pos="4320"/>
        <w:tab w:val="clear" w:pos="4680"/>
        <w:tab w:val="clear" w:pos="5040"/>
        <w:tab w:val="clear" w:pos="9360"/>
        <w:tab w:val="left" w:pos="1440" w:leader="none"/>
        <w:tab w:val="left" w:pos="2160" w:leader="none"/>
        <w:tab w:val="right" w:pos="9072" w:leader="dot"/>
      </w:tabs>
      <w:spacing w:before="0" w:after="240"/>
      <w:ind w:hanging="720" w:start="2160" w:end="1440"/>
    </w:pPr>
    <w:rPr/>
  </w:style>
  <w:style w:type="paragraph" w:styleId="TOC4">
    <w:name w:val="toc 4"/>
    <w:basedOn w:val="Normal"/>
    <w:next w:val="Normal"/>
    <w:pPr>
      <w:tabs>
        <w:tab w:val="clear" w:pos="720"/>
        <w:tab w:val="clear" w:pos="1440"/>
        <w:tab w:val="clear" w:pos="3240"/>
        <w:tab w:val="clear" w:pos="4320"/>
        <w:tab w:val="clear" w:pos="4680"/>
        <w:tab w:val="clear" w:pos="5040"/>
        <w:tab w:val="clear" w:pos="9360"/>
        <w:tab w:val="left" w:pos="2160" w:leader="none"/>
        <w:tab w:val="left" w:pos="2880" w:leader="none"/>
        <w:tab w:val="right" w:pos="9072" w:leader="dot"/>
      </w:tabs>
      <w:spacing w:before="0" w:after="240"/>
      <w:ind w:hanging="720" w:start="2880" w:end="1440"/>
    </w:pPr>
    <w:rPr/>
  </w:style>
  <w:style w:type="paragraph" w:styleId="BodyText3">
    <w:name w:val="Body Text 3"/>
    <w:basedOn w:val="Normal"/>
    <w:qFormat/>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rPr>
  </w:style>
  <w:style w:type="paragraph" w:styleId="BodyText2">
    <w:name w:val="Body Text 2"/>
    <w:basedOn w:val="Normal"/>
    <w:qFormat/>
    <w:pPr>
      <w:tabs>
        <w:tab w:val="clear" w:pos="720"/>
        <w:tab w:val="clear" w:pos="1440"/>
        <w:tab w:val="clear" w:pos="2160"/>
        <w:tab w:val="clear" w:pos="2880"/>
        <w:tab w:val="clear" w:pos="3240"/>
        <w:tab w:val="clear" w:pos="4320"/>
        <w:tab w:val="clear" w:pos="4680"/>
        <w:tab w:val="clear" w:pos="5040"/>
        <w:tab w:val="clear" w:pos="9360"/>
      </w:tabs>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oleObject" Target="embeddings/oleObject1.bin"/><Relationship Id="rId7" Type="http://schemas.openxmlformats.org/officeDocument/2006/relationships/image" Target="media/image1.wmf"/><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2000-11-09T16:43:00Z</dcterms:created>
  <dc:creator>MCRP</dc:creator>
  <dc:description/>
  <dc:language>en-CA</dc:language>
  <cp:lastModifiedBy>MCRP</cp:lastModifiedBy>
  <cp:lastPrinted>2000-11-09T14:05:00Z</cp:lastPrinted>
  <dcterms:modified xsi:type="dcterms:W3CDTF">2000-11-09T16:43:00Z</dcterms:modified>
  <cp:revision>2</cp:revision>
  <dc:subject/>
  <dc:title>STATE OF CONNECTICUT</dc:title>
</cp:coreProperties>
</file>