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PRE-FILED TESTIMONY OF </w:t>
      </w:r>
    </w:p>
    <w:p>
      <w:pPr>
        <w:pStyle w:val="Normal"/>
        <w:jc w:val="center"/>
        <w:rPr/>
      </w:pPr>
      <w:r>
        <w:rPr/>
        <w:t>ROBERT E. WRIGHT, PRESIDENT</w:t>
      </w:r>
    </w:p>
    <w:p>
      <w:pPr>
        <w:pStyle w:val="Normal"/>
        <w:jc w:val="center"/>
        <w:rPr/>
      </w:pPr>
      <w:r>
        <w:rPr/>
        <w:t>CONNECTICUT RESOURCES RECOVERY AUTHORITY</w:t>
      </w:r>
    </w:p>
    <w:p>
      <w:pPr>
        <w:pStyle w:val="Normal"/>
        <w:jc w:val="center"/>
        <w:rPr/>
      </w:pPr>
      <w:r>
        <w:rPr/>
        <w:t>NOVEMBER 9, 2000</w:t>
      </w:r>
    </w:p>
    <w:p>
      <w:pPr>
        <w:pStyle w:val="Normal"/>
        <w:spacing w:lineRule="auto" w:line="480"/>
        <w:jc w:val="center"/>
        <w:rPr/>
      </w:pPr>
      <w:r>
        <w:rPr/>
      </w:r>
    </w:p>
    <w:p>
      <w:pPr>
        <w:pStyle w:val="Normal"/>
        <w:spacing w:lineRule="auto" w:line="480"/>
        <w:rPr/>
      </w:pPr>
      <w:r>
        <w:rPr/>
        <w:t>Q.</w:t>
        <w:tab/>
        <w:t>Please describe your position and the role of Connecticut Resources Recovery Authority ("CRRA") in this fuel-cell project.</w:t>
      </w:r>
    </w:p>
    <w:p>
      <w:pPr>
        <w:pStyle w:val="Normal"/>
        <w:spacing w:lineRule="auto" w:line="480"/>
        <w:rPr/>
      </w:pPr>
      <w:r>
        <w:rPr/>
        <w:t>A.</w:t>
        <w:tab/>
        <w:t>My name is Robert E. Wright, I am President of the CRRA.  CRRA is a public instrumentality and political subdivision of the State of Connecticut charged by statute with a variety of responsibilities related to implementation of the state's solid waste management plan and related matters.  In carrying out this statutory mandate, CRRA has developed and financed several waste-to-energy projects which presently supply approximately 150 megawatts of Connecticut's current electricity demands.  In this fuel cell project, CRRA will; 1) enter into a contract with a project developer who will oversee the purchasing, permitting, installation of and payment for the fuel cells; 2) issue approximately $187 million of revenue bonds to finance the project; and 3) control and have responsibility for the operation of the fuel cell farms and related facilities.</w:t>
      </w:r>
    </w:p>
    <w:p>
      <w:pPr>
        <w:pStyle w:val="Normal"/>
        <w:spacing w:lineRule="auto" w:line="480"/>
        <w:rPr/>
      </w:pPr>
      <w:r>
        <w:rPr/>
        <w:tab/>
        <w:t>The project is presented in two separate parts.  The first part consists of the capital financing and installation of 50 megawatts of fuel cells at sites controlled by CRRA in Connecticut.  This capital portion is referred to as the " market transformation initiative."  The second part of the project consists of the ongoing operation and maintenance of the fuel cells.  This component is referred to as the "conservation and load management program."</w:t>
      </w:r>
    </w:p>
    <w:p>
      <w:pPr>
        <w:pStyle w:val="Normal"/>
        <w:spacing w:lineRule="auto" w:line="480"/>
        <w:rPr/>
      </w:pPr>
      <w:r>
        <w:rPr/>
        <w:t>Q.</w:t>
        <w:tab/>
        <w:t>What is the market transformation initiative proposed by CRRA?</w:t>
      </w:r>
    </w:p>
    <w:p>
      <w:pPr>
        <w:pStyle w:val="Normal"/>
        <w:spacing w:lineRule="auto" w:line="480"/>
        <w:rPr/>
      </w:pPr>
      <w:r>
        <w:rPr/>
        <w:t>A.</w:t>
        <w:tab/>
        <w:t xml:space="preserve">The market transformation initiative is the construction and installation of 50 MW of fuel cells in Connecticut.  It is anticipated that 22 fuel cell units will be installed at locations in Wallingford and Hartford, Connecticut.  This is the largest fuel cell commercialization efforts anywhere in the United States to date.  The fuel cell purchase order submitted for this proposal will enable the fuel cell manufacturer to put the manufacturing infrastructure in place to drive down the cost of producing the fuel cells.  CRRA believes strongly that once economies of scale are realized, fuel cells will become even less expensive and therefore become a more attractive source of electric generation, effectively transforming the market.  </w:t>
      </w:r>
    </w:p>
    <w:p>
      <w:pPr>
        <w:pStyle w:val="Normal"/>
        <w:spacing w:lineRule="auto" w:line="480"/>
        <w:rPr/>
      </w:pPr>
      <w:r>
        <w:rPr/>
        <w:t>Q.</w:t>
        <w:tab/>
        <w:t>What is the conservation and load management program proposed by CRRA?</w:t>
      </w:r>
    </w:p>
    <w:p>
      <w:pPr>
        <w:pStyle w:val="Normal"/>
        <w:spacing w:lineRule="auto" w:line="480"/>
        <w:rPr/>
      </w:pPr>
      <w:r>
        <w:rPr/>
        <w:t xml:space="preserve">A. </w:t>
        <w:tab/>
        <w:t xml:space="preserve">The conservation and load management program is the ongoing operation of the fuel cells.   The installed fuel cell facilities will be held to the cost effectiveness testing as outlined in Conn. Gen. Stat. § 16-245m.  Any income from the fuel cell facilities will be returned to the Conservation and Load Management Fund.  In return CRRA proposes that it be reimbursed through the Conservation and Load Management Fund for any shortfall in earnings caused by lower-than-expected energy prices or higher-than-expected fuel or operating prices for a given year. </w:t>
      </w:r>
    </w:p>
    <w:p>
      <w:pPr>
        <w:pStyle w:val="Normal"/>
        <w:spacing w:lineRule="auto" w:line="480"/>
        <w:rPr/>
      </w:pPr>
      <w:r>
        <w:rPr/>
        <w:t>Q.</w:t>
        <w:tab/>
        <w:t>How will this multi-year market transformation initiative and ongoing conservation and load management program increase competition in the Connecticut electric industry?</w:t>
      </w:r>
    </w:p>
    <w:p>
      <w:pPr>
        <w:pStyle w:val="Normal"/>
        <w:spacing w:lineRule="auto" w:line="480"/>
        <w:rPr/>
      </w:pPr>
      <w:r>
        <w:rPr/>
        <w:t>A.</w:t>
        <w:tab/>
        <w:t xml:space="preserve">At the present time there is not a sufficient supply of Class I renewable resources in the New England market place to enable competitive electric suppliers to meet the statutory mandates.  This creates a barrier to entry in to the retail electricity market.  The market transformation initiative and conservation and load management program are designed to create a sufficient supply of Class I renewable resources and to make those resources available to competitive electricity suppliers in order to facilitate retail competition in the Connecticut electric industry.  </w:t>
      </w:r>
    </w:p>
    <w:p>
      <w:pPr>
        <w:pStyle w:val="Normal"/>
        <w:spacing w:lineRule="auto" w:line="480"/>
        <w:rPr/>
      </w:pPr>
      <w:r>
        <w:rPr/>
        <w:tab/>
        <w:t>Output from the fuel cell facilities will be scheduled into the NEPOOL power grid.  CRRA will offer this renewable energy product for sale to all suppliers serving retail load in the State of Connecticut and subject to the renewable portfolio requirement for Class I resources.  CRRA proposes that initially these Class I resources be made available at competitive wholesale rates without the addition of a Class I renewable premium to entities wishing to serve retail load in Connecticut. The purpose of not charging a Class I renewable premium initially is to encourage retail competition in Connecticut.  Since ratepayer funds are to be used to fund the initiative, it is equitable to omit any Class I renewable premium at the outset.  These Class I renewable resources will be vital to competitive electric suppliers in meeting their renewable portfolio requirements.  CRRA would consider adding a premium later if it believed that the then existing Connecticut retail market could support a premium.</w:t>
      </w:r>
    </w:p>
    <w:p>
      <w:pPr>
        <w:pStyle w:val="Normal"/>
        <w:spacing w:lineRule="auto" w:line="480"/>
        <w:rPr/>
      </w:pPr>
      <w:r>
        <w:rPr/>
        <w:t>Q.</w:t>
        <w:tab/>
        <w:t>How does this proposal add to the reliability of electric power supply in the State of Connecticut?</w:t>
      </w:r>
    </w:p>
    <w:p>
      <w:pPr>
        <w:pStyle w:val="Normal"/>
        <w:spacing w:lineRule="auto" w:line="480"/>
        <w:rPr/>
      </w:pPr>
      <w:r>
        <w:rPr/>
        <w:t>A.</w:t>
        <w:tab/>
        <w:t xml:space="preserve">When the NRC ordered the shutdown of the Millstone Nuclear stations several years ago there was a very real electric power supply crisis in the State of Connecticut.  By diversifying the State’s energy supply through the addition of smaller, more geographically dispersed fuel cell modules, CRRA will clearly add to the reliability of electric supply in Connecticut and reduce the kind of vulnerability that we experienced several years ago.  Additionally, Connecticut obtains much of its energy supply from the burning of imported oil.  Fuel cells operate on domestic natural gas, thus reducing the State’s dependence on foreign oil. </w:t>
      </w:r>
    </w:p>
    <w:p>
      <w:pPr>
        <w:pStyle w:val="Normal"/>
        <w:spacing w:lineRule="auto" w:line="480"/>
        <w:rPr/>
      </w:pPr>
      <w:r>
        <w:rPr/>
        <w:t xml:space="preserve">Q. </w:t>
        <w:tab/>
        <w:t>How does this proposal support the economic development of the State of Connecticut?</w:t>
      </w:r>
    </w:p>
    <w:p>
      <w:pPr>
        <w:pStyle w:val="Normal"/>
        <w:spacing w:lineRule="auto" w:line="480"/>
        <w:rPr/>
      </w:pPr>
      <w:r>
        <w:rPr/>
        <w:t>A.</w:t>
        <w:tab/>
        <w:t xml:space="preserve">This project in isolation will require an addition of over 100 employees by FuelCell Energy Inc.  However, Connecticut is currently home to several fuel cell companies.   The increase in demand for fuel cells created from the commercialization of the technology will lead to the expansion of the fuel cell manufacturing industry in Connecticut.  Additional workforce increases in manufacturing, marketing, accounting, research and consulting will be created as the market demand for fuel cells expands.  </w:t>
      </w:r>
    </w:p>
    <w:p>
      <w:pPr>
        <w:pStyle w:val="Normal"/>
        <w:spacing w:lineRule="auto" w:line="480"/>
        <w:rPr/>
      </w:pPr>
      <w:r>
        <w:rPr/>
        <w:tab/>
        <w:t>Fuel cell technology is poised to provide energy requirements in emerging markets and in geographic locations where traditional infrastructure is difficult to construct.  Ten states have enacted minimum clean energy standards and the rest of the country and some foreign markets have a growing concern about environmental impacts.   Presently there are over $1 billion per year of various state and federal programs aimed at promoting environmentally responsible energy resources and conservation efforts.  Fuel cells are an important alternative to traditional electric generation technologies.  Connecticut is well positioned to take advantage of these trends.</w:t>
      </w:r>
    </w:p>
    <w:p>
      <w:pPr>
        <w:pStyle w:val="Normal"/>
        <w:spacing w:lineRule="auto" w:line="480"/>
        <w:rPr/>
      </w:pPr>
      <w:r>
        <w:rPr/>
        <w:t>Q.</w:t>
        <w:tab/>
        <w:t>How will this proposal be financed?</w:t>
      </w:r>
    </w:p>
    <w:p>
      <w:pPr>
        <w:pStyle w:val="Normal"/>
        <w:spacing w:lineRule="auto" w:line="480"/>
        <w:rPr/>
      </w:pPr>
      <w:r>
        <w:rPr/>
        <w:t>A.</w:t>
        <w:tab/>
      </w:r>
      <w:r>
        <w:rPr>
          <w:lang w:eastAsia="en-US"/>
        </w:rPr>
        <w:t>Following approval by the Department, CRRA will issue revenue bonds in the approximate amount of $187 million.  The proceeds of this financing will be paid over to the Project Developer to cover the project's costs.  The bonds will be repaid over a term as short as three years and as long as ten years (depending on the Department's preference) from periodic payments disbursed by CL&amp;P and UI from the Conservation and Load Management Fund.  The Department's order approving this project and requiring payments to be made from the Fund will serve as the credit support for the financing.  In other words, bondholders will be looking to the stream of disbursements by CL&amp;P and UI created by the terms of the Department's approval.</w:t>
      </w:r>
    </w:p>
    <w:p>
      <w:pPr>
        <w:pStyle w:val="Normal"/>
        <w:spacing w:lineRule="auto" w:line="480"/>
        <w:rPr>
          <w:lang w:eastAsia="en-US"/>
        </w:rPr>
      </w:pPr>
      <w:r>
        <w:rPr>
          <w:lang w:eastAsia="en-US"/>
        </w:rPr>
        <w:t>Q.</w:t>
        <w:tab/>
        <w:t>Why is it necessary to issue bonds to finance the project?</w:t>
      </w:r>
    </w:p>
    <w:p>
      <w:pPr>
        <w:pStyle w:val="Normal"/>
        <w:spacing w:lineRule="auto" w:line="480"/>
        <w:rPr/>
      </w:pPr>
      <w:r>
        <w:rPr/>
        <w:t>A.</w:t>
        <w:tab/>
        <w:t>CRRA recognizes that the Department has approved a number of traditional conservation and load management programs to be funded by the Conservation and Load Management Fund.  Buying a small number of fuel cells on an annual basis from available monies in the Fund would not enable the manufacturer to drive down the price of the units because the manufacturer would not have a sufficiently strong purchase commitment to support the acquisition of additional manufacturing infrastructure.  On the other hand, funding the entire project directly from the Fund in one year is impossible (because the Fund will not likely have $187 million available).  Even if it were possible, the very large single year disbursement would require the abandonment of many other viable programs being undertaken pursuant to the electric utilities' conservation and load management plans.  By issuing bonds to finance the project, CRRA can enable the fuel cell project to go forward in its entirety (thereby realizing economies of scale in manufacturing) while still preserving the Department's ability to use the substantial remaining money in the Fund to continue present programs or to support new programs proposed by the utilities or by other third parties.  CRRA proposes three alternative repayment options from which the Department can select.  Shorter repayment periods require higher annual disbursements from the fund.  The following chart shows these options</w:t>
      </w:r>
    </w:p>
    <w:tbl>
      <w:tblPr>
        <w:tblW w:w="7920" w:type="dxa"/>
        <w:jc w:val="start"/>
        <w:tblInd w:w="0" w:type="dxa"/>
        <w:tblLayout w:type="fixed"/>
        <w:tblCellMar>
          <w:top w:w="0" w:type="dxa"/>
          <w:start w:w="108" w:type="dxa"/>
          <w:bottom w:w="0" w:type="dxa"/>
          <w:end w:w="108" w:type="dxa"/>
        </w:tblCellMar>
      </w:tblPr>
      <w:tblGrid>
        <w:gridCol w:w="2304"/>
        <w:gridCol w:w="1872"/>
        <w:gridCol w:w="1872"/>
        <w:gridCol w:w="1872"/>
      </w:tblGrid>
      <w:tr>
        <w:trPr/>
        <w:tc>
          <w:tcPr>
            <w:tcW w:w="2304" w:type="dxa"/>
            <w:tcBorders/>
          </w:tcPr>
          <w:p>
            <w:pPr>
              <w:pStyle w:val="BodyText"/>
              <w:spacing w:lineRule="auto" w:line="480"/>
              <w:rPr>
                <w:rFonts w:ascii="CG Times" w:hAnsi="CG Times" w:cs="CG Times"/>
                <w:sz w:val="24"/>
              </w:rPr>
            </w:pPr>
            <w:r>
              <w:rPr>
                <w:rFonts w:cs="CG Times" w:ascii="CG Times" w:hAnsi="CG Times"/>
                <w:sz w:val="24"/>
              </w:rPr>
              <w:t>Repayment Period:</w:t>
            </w:r>
          </w:p>
        </w:tc>
        <w:tc>
          <w:tcPr>
            <w:tcW w:w="1872" w:type="dxa"/>
            <w:tcBorders/>
          </w:tcPr>
          <w:p>
            <w:pPr>
              <w:pStyle w:val="BodyText"/>
              <w:spacing w:lineRule="auto" w:line="480"/>
              <w:rPr>
                <w:rFonts w:ascii="CG Times" w:hAnsi="CG Times" w:cs="CG Times"/>
                <w:sz w:val="24"/>
              </w:rPr>
            </w:pPr>
            <w:r>
              <w:rPr>
                <w:rFonts w:cs="CG Times" w:ascii="CG Times" w:hAnsi="CG Times"/>
                <w:sz w:val="24"/>
              </w:rPr>
              <w:t>5 years</w:t>
            </w:r>
          </w:p>
        </w:tc>
        <w:tc>
          <w:tcPr>
            <w:tcW w:w="1872" w:type="dxa"/>
            <w:tcBorders/>
          </w:tcPr>
          <w:p>
            <w:pPr>
              <w:pStyle w:val="BodyText"/>
              <w:spacing w:lineRule="auto" w:line="480"/>
              <w:rPr>
                <w:rFonts w:ascii="CG Times" w:hAnsi="CG Times" w:cs="CG Times"/>
                <w:sz w:val="24"/>
              </w:rPr>
            </w:pPr>
            <w:r>
              <w:rPr>
                <w:rFonts w:cs="CG Times" w:ascii="CG Times" w:hAnsi="CG Times"/>
                <w:sz w:val="24"/>
              </w:rPr>
              <w:t>7 years</w:t>
            </w:r>
          </w:p>
        </w:tc>
        <w:tc>
          <w:tcPr>
            <w:tcW w:w="1872" w:type="dxa"/>
            <w:tcBorders>
              <w:top w:val="single" w:sz="6" w:space="0" w:color="000000"/>
              <w:start w:val="single" w:sz="6" w:space="0" w:color="000000"/>
              <w:end w:val="single" w:sz="6" w:space="0" w:color="000000"/>
            </w:tcBorders>
          </w:tcPr>
          <w:p>
            <w:pPr>
              <w:pStyle w:val="BodyText"/>
              <w:spacing w:lineRule="auto" w:line="480"/>
              <w:rPr>
                <w:rFonts w:ascii="CG Times" w:hAnsi="CG Times" w:cs="CG Times"/>
                <w:sz w:val="24"/>
              </w:rPr>
            </w:pPr>
            <w:r>
              <w:rPr>
                <w:rFonts w:cs="CG Times" w:ascii="CG Times" w:hAnsi="CG Times"/>
                <w:sz w:val="24"/>
              </w:rPr>
              <w:t>10 years</w:t>
            </w:r>
          </w:p>
        </w:tc>
      </w:tr>
      <w:tr>
        <w:trPr/>
        <w:tc>
          <w:tcPr>
            <w:tcW w:w="2304" w:type="dxa"/>
            <w:tcBorders/>
          </w:tcPr>
          <w:p>
            <w:pPr>
              <w:pStyle w:val="BodyText"/>
              <w:spacing w:lineRule="auto" w:line="480"/>
              <w:rPr>
                <w:rFonts w:ascii="CG Times" w:hAnsi="CG Times" w:cs="CG Times"/>
                <w:sz w:val="24"/>
              </w:rPr>
            </w:pPr>
            <w:r>
              <w:rPr>
                <w:rFonts w:cs="CG Times" w:ascii="CG Times" w:hAnsi="CG Times"/>
                <w:sz w:val="24"/>
              </w:rPr>
              <w:t>Payment per Year *:</w:t>
            </w:r>
          </w:p>
        </w:tc>
        <w:tc>
          <w:tcPr>
            <w:tcW w:w="1872" w:type="dxa"/>
            <w:tcBorders/>
          </w:tcPr>
          <w:p>
            <w:pPr>
              <w:pStyle w:val="BodyText"/>
              <w:spacing w:lineRule="auto" w:line="480"/>
              <w:rPr>
                <w:rFonts w:ascii="CG Times" w:hAnsi="CG Times" w:cs="CG Times"/>
                <w:sz w:val="24"/>
              </w:rPr>
            </w:pPr>
            <w:r>
              <w:rPr>
                <w:rFonts w:cs="CG Times" w:ascii="CG Times" w:hAnsi="CG Times"/>
                <w:sz w:val="24"/>
              </w:rPr>
              <w:t>$45.6 million</w:t>
            </w:r>
          </w:p>
        </w:tc>
        <w:tc>
          <w:tcPr>
            <w:tcW w:w="1872" w:type="dxa"/>
            <w:tcBorders/>
          </w:tcPr>
          <w:p>
            <w:pPr>
              <w:pStyle w:val="BodyText"/>
              <w:spacing w:lineRule="auto" w:line="480"/>
              <w:rPr>
                <w:rFonts w:ascii="CG Times" w:hAnsi="CG Times" w:cs="CG Times"/>
                <w:sz w:val="24"/>
              </w:rPr>
            </w:pPr>
            <w:r>
              <w:rPr>
                <w:rFonts w:cs="CG Times" w:ascii="CG Times" w:hAnsi="CG Times"/>
                <w:sz w:val="24"/>
              </w:rPr>
              <w:t>$34.7 million</w:t>
            </w:r>
          </w:p>
        </w:tc>
        <w:tc>
          <w:tcPr>
            <w:tcW w:w="1872" w:type="dxa"/>
            <w:tcBorders>
              <w:start w:val="single" w:sz="6" w:space="0" w:color="000000"/>
              <w:bottom w:val="single" w:sz="6" w:space="0" w:color="000000"/>
              <w:end w:val="single" w:sz="6" w:space="0" w:color="000000"/>
            </w:tcBorders>
          </w:tcPr>
          <w:p>
            <w:pPr>
              <w:pStyle w:val="BodyText"/>
              <w:spacing w:lineRule="auto" w:line="480"/>
              <w:rPr>
                <w:rFonts w:ascii="CG Times" w:hAnsi="CG Times" w:cs="CG Times"/>
                <w:sz w:val="24"/>
              </w:rPr>
            </w:pPr>
            <w:r>
              <w:rPr>
                <w:rFonts w:cs="CG Times" w:ascii="CG Times" w:hAnsi="CG Times"/>
                <w:sz w:val="24"/>
              </w:rPr>
              <w:t>$26.6 million</w:t>
            </w:r>
          </w:p>
        </w:tc>
      </w:tr>
      <w:tr>
        <w:trPr/>
        <w:tc>
          <w:tcPr>
            <w:tcW w:w="4176" w:type="dxa"/>
            <w:gridSpan w:val="2"/>
            <w:tcBorders/>
          </w:tcPr>
          <w:p>
            <w:pPr>
              <w:pStyle w:val="BodyText"/>
              <w:spacing w:lineRule="auto" w:line="480"/>
              <w:rPr>
                <w:rFonts w:ascii="CG Times" w:hAnsi="CG Times" w:cs="CG Times"/>
                <w:b/>
                <w:sz w:val="24"/>
                <w:u w:val="double"/>
              </w:rPr>
            </w:pPr>
            <w:r>
              <w:rPr>
                <w:rFonts w:cs="CG Times" w:ascii="CG Times" w:hAnsi="CG Times"/>
                <w:i/>
                <w:sz w:val="24"/>
              </w:rPr>
              <w:t>*Assumed interest rate 7%</w:t>
            </w:r>
          </w:p>
        </w:tc>
        <w:tc>
          <w:tcPr>
            <w:tcW w:w="1872" w:type="dxa"/>
            <w:tcBorders/>
          </w:tcPr>
          <w:p>
            <w:pPr>
              <w:pStyle w:val="BodyText"/>
              <w:snapToGrid w:val="false"/>
              <w:spacing w:lineRule="auto" w:line="480"/>
              <w:rPr>
                <w:rFonts w:ascii="CG Times" w:hAnsi="CG Times" w:cs="CG Times"/>
                <w:b/>
                <w:sz w:val="24"/>
                <w:u w:val="double"/>
              </w:rPr>
            </w:pPr>
            <w:r>
              <w:rPr>
                <w:rFonts w:cs="CG Times" w:ascii="CG Times" w:hAnsi="CG Times"/>
                <w:b/>
                <w:sz w:val="24"/>
                <w:u w:val="double"/>
              </w:rPr>
            </w:r>
          </w:p>
        </w:tc>
        <w:tc>
          <w:tcPr>
            <w:tcW w:w="1872" w:type="dxa"/>
            <w:tcBorders/>
          </w:tcPr>
          <w:p>
            <w:pPr>
              <w:pStyle w:val="BodyText"/>
              <w:snapToGrid w:val="false"/>
              <w:spacing w:lineRule="auto" w:line="480"/>
              <w:rPr>
                <w:rFonts w:ascii="CG Times" w:hAnsi="CG Times" w:cs="CG Times"/>
                <w:b/>
                <w:sz w:val="24"/>
                <w:u w:val="double"/>
              </w:rPr>
            </w:pPr>
            <w:r>
              <w:rPr>
                <w:rFonts w:cs="CG Times" w:ascii="CG Times" w:hAnsi="CG Times"/>
                <w:b/>
                <w:sz w:val="24"/>
                <w:u w:val="double"/>
              </w:rPr>
            </w:r>
          </w:p>
        </w:tc>
      </w:tr>
    </w:tbl>
    <w:p>
      <w:pPr>
        <w:pStyle w:val="Normal"/>
        <w:spacing w:lineRule="auto" w:line="480"/>
        <w:rPr>
          <w:lang w:eastAsia="en-US"/>
        </w:rPr>
      </w:pPr>
      <w:r>
        <w:rPr>
          <w:lang w:eastAsia="en-US"/>
        </w:rPr>
      </w:r>
    </w:p>
    <w:p>
      <w:pPr>
        <w:pStyle w:val="Normal"/>
        <w:spacing w:lineRule="auto" w:line="480"/>
        <w:rPr/>
      </w:pPr>
      <w:r>
        <w:rPr/>
        <w:t>Q.</w:t>
        <w:tab/>
        <w:t>What benefits does CRRA receive from this multi-year market transformation initiative and ongoing conservation and load management program.</w:t>
      </w:r>
    </w:p>
    <w:p>
      <w:pPr>
        <w:pStyle w:val="Normal"/>
        <w:spacing w:lineRule="auto" w:line="480"/>
        <w:rPr/>
      </w:pPr>
      <w:r>
        <w:rPr/>
        <w:t>A.</w:t>
        <w:tab/>
        <w:t>The fuel cells designed and manufactured by FuelCell Energy, Inc. are unique in that they can utilize natural gas, methanol, ethanol, bio-gas and any other fuel that contains methane.  It is CRRA's future intention to implement more advanced resource recovery technologies that extract gases which could then be used to fuel the fuel cells.  The units can also serve as a backup source of station service for CRRA's waste-to-energy projects.</w:t>
      </w:r>
    </w:p>
    <w:p>
      <w:pPr>
        <w:pStyle w:val="Normal"/>
        <w:spacing w:lineRule="auto" w:line="480"/>
        <w:rPr/>
      </w:pPr>
      <w:r>
        <w:rPr/>
      </w:r>
    </w:p>
    <w:sectPr>
      <w:footerReference w:type="default" r:id="rId2"/>
      <w:footerReference w:type="first" r:id="rId3"/>
      <w:type w:val="nextPage"/>
      <w:pgSz w:w="12240" w:h="15840"/>
      <w:pgMar w:left="1440" w:right="1440" w:gutter="0" w:header="0" w:top="1440" w:footer="720" w:bottom="144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#506308</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sz w:val="24"/>
      <w:vertAlign w:val="superscript"/>
    </w:rPr>
  </w:style>
  <w:style w:type="character" w:styleId="PageNumber">
    <w:name w:val="page number"/>
    <w:basedOn w:val="DefaultParagraphFont"/>
    <w:rPr>
      <w:rFonts w:ascii="CG Times" w:hAnsi="CG Times" w:cs="CG Times"/>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lear" w:pos="1440"/>
        <w:tab w:val="clear" w:pos="2160"/>
        <w:tab w:val="clear" w:pos="2880"/>
        <w:tab w:val="clear" w:pos="3240"/>
        <w:tab w:val="clear" w:pos="4320"/>
        <w:tab w:val="clear" w:pos="4680"/>
        <w:tab w:val="clear" w:pos="5040"/>
        <w:tab w:val="clear" w:pos="9360"/>
      </w:tabs>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spacing w:before="0" w:after="240"/>
      <w:ind w:hanging="720" w:start="72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lear" w:pos="1440"/>
        <w:tab w:val="clear" w:pos="2160"/>
        <w:tab w:val="clear" w:pos="2880"/>
        <w:tab w:val="clear" w:pos="3240"/>
        <w:tab w:val="clear" w:pos="4320"/>
        <w:tab w:val="clear" w:pos="4680"/>
        <w:tab w:val="clear" w:pos="5040"/>
        <w:tab w:val="clear" w:pos="9360"/>
        <w:tab w:val="center" w:pos="4986" w:leader="none"/>
        <w:tab w:val="right" w:pos="9972" w:leader="none"/>
      </w:tabs>
    </w:pPr>
    <w:rPr/>
  </w:style>
  <w:style w:type="paragraph" w:styleId="Footer">
    <w:name w:val="foot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FootnoteText">
    <w:name w:val="footnote text"/>
    <w:basedOn w:val="Normal"/>
    <w:pPr>
      <w:spacing w:before="0" w:after="240"/>
      <w:ind w:hanging="720" w:start="720" w:end="0"/>
    </w:pPr>
    <w:rPr/>
  </w:style>
  <w:style w:type="paragraph" w:styleId="Header">
    <w:name w:val="head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TOC1">
    <w:name w:val="toc 1"/>
    <w:basedOn w:val="Normal"/>
    <w:next w:val="Normal"/>
    <w:pPr>
      <w:tabs>
        <w:tab w:val="clear" w:pos="1440"/>
        <w:tab w:val="clear" w:pos="2160"/>
        <w:tab w:val="clear" w:pos="2880"/>
        <w:tab w:val="clear" w:pos="3240"/>
        <w:tab w:val="clear" w:pos="4320"/>
        <w:tab w:val="clear" w:pos="4680"/>
        <w:tab w:val="clear" w:pos="5040"/>
        <w:tab w:val="clear" w:pos="9360"/>
        <w:tab w:val="left" w:pos="720" w:leader="none"/>
        <w:tab w:val="right" w:pos="9072" w:leader="dot"/>
      </w:tabs>
      <w:spacing w:before="0" w:after="240"/>
      <w:ind w:hanging="720" w:start="720" w:end="1440"/>
    </w:pPr>
    <w:rPr/>
  </w:style>
  <w:style w:type="paragraph" w:styleId="TOC2">
    <w:name w:val="toc 2"/>
    <w:basedOn w:val="Normal"/>
    <w:next w:val="Normal"/>
    <w:pPr>
      <w:tabs>
        <w:tab w:val="clear" w:pos="2160"/>
        <w:tab w:val="clear" w:pos="2880"/>
        <w:tab w:val="clear" w:pos="3240"/>
        <w:tab w:val="clear" w:pos="4320"/>
        <w:tab w:val="clear" w:pos="4680"/>
        <w:tab w:val="clear" w:pos="5040"/>
        <w:tab w:val="clear" w:pos="9360"/>
        <w:tab w:val="left" w:pos="720" w:leader="none"/>
        <w:tab w:val="left" w:pos="1440" w:leader="none"/>
        <w:tab w:val="right" w:pos="9072" w:leader="dot"/>
      </w:tabs>
      <w:spacing w:before="0" w:after="240"/>
      <w:ind w:hanging="720" w:start="1440" w:end="1440"/>
    </w:pPr>
    <w:rPr/>
  </w:style>
  <w:style w:type="paragraph" w:styleId="TOC3">
    <w:name w:val="toc 3"/>
    <w:basedOn w:val="Normal"/>
    <w:next w:val="Normal"/>
    <w:pPr>
      <w:tabs>
        <w:tab w:val="clear" w:pos="720"/>
        <w:tab w:val="clear" w:pos="2880"/>
        <w:tab w:val="clear" w:pos="3240"/>
        <w:tab w:val="clear" w:pos="4320"/>
        <w:tab w:val="clear" w:pos="4680"/>
        <w:tab w:val="clear" w:pos="5040"/>
        <w:tab w:val="clear" w:pos="9360"/>
        <w:tab w:val="left" w:pos="1440" w:leader="none"/>
        <w:tab w:val="left" w:pos="2160" w:leader="none"/>
        <w:tab w:val="right" w:pos="9072" w:leader="dot"/>
      </w:tabs>
      <w:spacing w:before="0" w:after="240"/>
      <w:ind w:hanging="720" w:start="2160" w:end="1440"/>
    </w:pPr>
    <w:rPr/>
  </w:style>
  <w:style w:type="paragraph" w:styleId="TOC4">
    <w:name w:val="toc 4"/>
    <w:basedOn w:val="Normal"/>
    <w:next w:val="Normal"/>
    <w:pPr>
      <w:tabs>
        <w:tab w:val="clear" w:pos="720"/>
        <w:tab w:val="clear" w:pos="1440"/>
        <w:tab w:val="clear" w:pos="3240"/>
        <w:tab w:val="clear" w:pos="4320"/>
        <w:tab w:val="clear" w:pos="4680"/>
        <w:tab w:val="clear" w:pos="5040"/>
        <w:tab w:val="clear" w:pos="9360"/>
        <w:tab w:val="left" w:pos="2160" w:leader="none"/>
        <w:tab w:val="left" w:pos="2880" w:leader="none"/>
        <w:tab w:val="right" w:pos="9072" w:leader="dot"/>
      </w:tabs>
      <w:spacing w:before="0" w:after="240"/>
      <w:ind w:hanging="720" w:start="28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2000-11-09T12:33:00Z</dcterms:created>
  <dc:creator>MCRP</dc:creator>
  <dc:description/>
  <dc:language>en-CA</dc:language>
  <cp:lastModifiedBy>MCRP</cp:lastModifiedBy>
  <cp:lastPrinted>2000-11-08T16:35:00Z</cp:lastPrinted>
  <dcterms:modified xsi:type="dcterms:W3CDTF">2000-11-09T12:33:00Z</dcterms:modified>
  <cp:revision>2</cp:revision>
  <dc:subject/>
  <dc:title>PRE-FILED TESTIMONY OF TERRY </dc:title>
</cp:coreProperties>
</file>