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
    </w:p>
    <w:p>
      <w:pPr>
        <w:pStyle w:val="Normal"/>
        <w:jc w:val="center"/>
        <w:rPr>
          <w:b/>
          <w:sz w:val="30"/>
        </w:rPr>
      </w:pPr>
      <w:r>
        <w:rPr>
          <w:b/>
          <w:sz w:val="30"/>
        </w:rPr>
        <w:t xml:space="preserve">Hart-Scott-Rodino Premerger Notification </w:t>
      </w:r>
    </w:p>
    <w:p>
      <w:pPr>
        <w:pStyle w:val="Normal"/>
        <w:jc w:val="center"/>
        <w:rPr>
          <w:b/>
          <w:sz w:val="30"/>
        </w:rPr>
      </w:pPr>
      <w:r>
        <w:rPr>
          <w:b/>
          <w:sz w:val="30"/>
        </w:rPr>
        <w:t>Requirements Amended by New Legislation</w:t>
      </w:r>
    </w:p>
    <w:p>
      <w:pPr>
        <w:pStyle w:val="Normal"/>
        <w:jc w:val="center"/>
        <w:rPr>
          <w:b/>
          <w:sz w:val="20"/>
        </w:rPr>
      </w:pPr>
      <w:r>
        <w:rPr>
          <w:b/>
          <w:sz w:val="20"/>
        </w:rPr>
      </w:r>
    </w:p>
    <w:p>
      <w:pPr>
        <w:pStyle w:val="Normal"/>
        <w:rPr>
          <w:b/>
          <w:sz w:val="20"/>
        </w:rPr>
      </w:pPr>
      <w:r>
        <w:rPr>
          <w:b/>
          <w:sz w:val="20"/>
        </w:rPr>
      </w:r>
    </w:p>
    <w:p>
      <w:pPr>
        <w:pStyle w:val="Normal"/>
        <w:jc w:val="both"/>
        <w:rPr/>
      </w:pPr>
      <w:r>
        <w:rPr/>
        <w:t>December 21, 2000 – The President</w:t>
      </w:r>
      <w:r>
        <w:rPr>
          <w:lang w:eastAsia="en-US"/>
        </w:rPr>
        <w:t xml:space="preserve"> today signed legislation amending the provisions of the Hart-Scott-Rodino Antitrust Improvements Act of 1976 that require premerger notification of certain mergers and acquisitions.  The amendments, contained in an appropriations bill for the 2001 fiscal year, exempt certain smaller transactions that previously would have been covered, but also broaden coverage to reach certain transactions involving start-up companies and newly formed acquisition vehicles that were previously exempt.  Congress anticipates that the new thresholds will reduce the number of premerger filings by approximately fifty percent.  The amendments adopt a three-tier filing fee structure, with filing fees increased for larger transactions.  The new provisions take effect as of February 1, 2001 and will govern acquisitions of assets or voting securities that close on or after that date.</w:t>
      </w:r>
    </w:p>
    <w:p>
      <w:pPr>
        <w:pStyle w:val="Normal"/>
        <w:jc w:val="both"/>
        <w:rPr>
          <w:lang w:eastAsia="en-US"/>
        </w:rPr>
      </w:pPr>
      <w:r>
        <w:rPr>
          <w:lang w:eastAsia="en-US"/>
        </w:rPr>
      </w:r>
    </w:p>
    <w:p>
      <w:pPr>
        <w:pStyle w:val="Normal"/>
        <w:jc w:val="both"/>
        <w:rPr>
          <w:lang w:eastAsia="en-US"/>
        </w:rPr>
      </w:pPr>
      <w:r>
        <w:rPr>
          <w:lang w:eastAsia="en-US"/>
        </w:rPr>
        <w:tab/>
        <w:t>As originally enacted, the Act required persons to notify the Federal Trade Commission and the U.S. Department of Justice prior to acquiring assets or voting securities where three conditions were satisfied:</w:t>
      </w:r>
    </w:p>
    <w:p>
      <w:pPr>
        <w:pStyle w:val="Normal"/>
        <w:jc w:val="both"/>
        <w:rPr>
          <w:lang w:eastAsia="en-US"/>
        </w:rPr>
      </w:pPr>
      <w:r>
        <w:rPr>
          <w:lang w:eastAsia="en-US"/>
        </w:rPr>
      </w:r>
    </w:p>
    <w:p>
      <w:pPr>
        <w:pStyle w:val="Normal"/>
        <w:numPr>
          <w:ilvl w:val="0"/>
          <w:numId w:val="1"/>
        </w:numPr>
        <w:tabs>
          <w:tab w:val="left" w:pos="720" w:leader="none"/>
        </w:tabs>
        <w:ind w:hanging="360" w:start="720" w:end="0"/>
        <w:jc w:val="both"/>
        <w:rPr>
          <w:lang w:eastAsia="en-US"/>
        </w:rPr>
      </w:pPr>
      <w:r>
        <w:rPr>
          <w:i/>
          <w:lang w:eastAsia="en-US"/>
        </w:rPr>
        <w:t>Commerce Test</w:t>
      </w:r>
      <w:r>
        <w:rPr>
          <w:lang w:eastAsia="en-US"/>
        </w:rPr>
        <w:t>.   One of the parties is engaged in activities in or affecting interstate commerce.  This test is almost always satisfied.</w:t>
      </w:r>
    </w:p>
    <w:p>
      <w:pPr>
        <w:pStyle w:val="Normal"/>
        <w:numPr>
          <w:ilvl w:val="0"/>
          <w:numId w:val="1"/>
        </w:numPr>
        <w:tabs>
          <w:tab w:val="left" w:pos="720" w:leader="none"/>
        </w:tabs>
        <w:ind w:hanging="360" w:start="720" w:end="0"/>
        <w:jc w:val="both"/>
        <w:rPr>
          <w:lang w:eastAsia="en-US"/>
        </w:rPr>
      </w:pPr>
      <w:r>
        <w:rPr>
          <w:i/>
          <w:lang w:eastAsia="en-US"/>
        </w:rPr>
        <w:t>Size of Persons Test</w:t>
      </w:r>
      <w:r>
        <w:rPr>
          <w:lang w:eastAsia="en-US"/>
        </w:rPr>
        <w:t>.   One of the parties has total assets or annual net revenues of $100 million or more, and the other party has total assets (or in some cases annual net revenues) of $10 million or more.</w:t>
      </w:r>
    </w:p>
    <w:p>
      <w:pPr>
        <w:pStyle w:val="Normal"/>
        <w:numPr>
          <w:ilvl w:val="0"/>
          <w:numId w:val="1"/>
        </w:numPr>
        <w:tabs>
          <w:tab w:val="left" w:pos="720" w:leader="none"/>
        </w:tabs>
        <w:ind w:hanging="360" w:start="720" w:end="0"/>
        <w:jc w:val="both"/>
        <w:rPr>
          <w:lang w:eastAsia="en-US"/>
        </w:rPr>
      </w:pPr>
      <w:r>
        <w:rPr>
          <w:i/>
          <w:lang w:eastAsia="en-US"/>
        </w:rPr>
        <w:t>Size of Transaction Test.</w:t>
      </w:r>
      <w:r>
        <w:rPr>
          <w:lang w:eastAsia="en-US"/>
        </w:rPr>
        <w:t xml:space="preserve">   As a result of the acquisition, one party would hold more than $15 million or 15 percent of the assets or voting securities of the other.</w:t>
      </w:r>
    </w:p>
    <w:p>
      <w:pPr>
        <w:pStyle w:val="Normal"/>
        <w:jc w:val="both"/>
        <w:rPr>
          <w:lang w:eastAsia="en-US"/>
        </w:rPr>
      </w:pPr>
      <w:r>
        <w:rPr>
          <w:lang w:eastAsia="en-US"/>
        </w:rPr>
      </w:r>
    </w:p>
    <w:p>
      <w:pPr>
        <w:pStyle w:val="Normal"/>
        <w:jc w:val="both"/>
        <w:rPr>
          <w:lang w:eastAsia="en-US"/>
        </w:rPr>
      </w:pPr>
      <w:r>
        <w:rPr>
          <w:lang w:eastAsia="en-US"/>
        </w:rPr>
        <w:t xml:space="preserve">The dollar values were not indexed for inflation.  Parties to transactions that satisfied all three tests and that did not fall within various exemptions were required to observe a thirty-day waiting period (fifteen days for cash tender offers) after filing notification before they could close.  Within that thirty-day period the Commission or the Department could request additional information (a “Second Request”), in which case the waiting period would be extended until twenty days (ten days for cash tender offers) after the parties had substantially complied with the Request.  Although the original Act did not contemplate filing fees, Congress began imposing such fees in 1989; the fee most recently has been $45,000 per transaction.  </w:t>
      </w:r>
    </w:p>
    <w:p>
      <w:pPr>
        <w:pStyle w:val="Normal"/>
        <w:jc w:val="both"/>
        <w:rPr>
          <w:lang w:eastAsia="en-US"/>
        </w:rPr>
      </w:pPr>
      <w:r>
        <w:rPr>
          <w:lang w:eastAsia="en-US"/>
        </w:rPr>
      </w:r>
    </w:p>
    <w:p>
      <w:pPr>
        <w:pStyle w:val="Normal"/>
        <w:jc w:val="both"/>
        <w:rPr>
          <w:lang w:eastAsia="en-US"/>
        </w:rPr>
      </w:pPr>
      <w:r>
        <w:rPr>
          <w:lang w:eastAsia="en-US"/>
        </w:rPr>
        <w:tab/>
        <w:t>The principal amendments enacted today are as follows:</w:t>
      </w:r>
    </w:p>
    <w:p>
      <w:pPr>
        <w:pStyle w:val="Normal"/>
        <w:jc w:val="both"/>
        <w:rPr>
          <w:lang w:eastAsia="en-US"/>
        </w:rPr>
      </w:pPr>
      <w:r>
        <w:rPr>
          <w:lang w:eastAsia="en-US"/>
        </w:rPr>
      </w:r>
    </w:p>
    <w:p>
      <w:pPr>
        <w:pStyle w:val="Normal"/>
        <w:rPr/>
      </w:pPr>
      <w:r>
        <w:rPr/>
        <w:t>I.</w:t>
        <w:tab/>
      </w:r>
      <w:r>
        <w:rPr>
          <w:u w:val="single"/>
        </w:rPr>
        <w:t>Size of Persons</w:t>
      </w:r>
    </w:p>
    <w:p>
      <w:pPr>
        <w:pStyle w:val="Normal"/>
        <w:rPr>
          <w:u w:val="single"/>
        </w:rPr>
      </w:pPr>
      <w:r>
        <w:rPr>
          <w:u w:val="single"/>
        </w:rPr>
      </w:r>
    </w:p>
    <w:p>
      <w:pPr>
        <w:pStyle w:val="Normal"/>
        <w:jc w:val="both"/>
        <w:rPr/>
      </w:pPr>
      <w:r>
        <w:rPr/>
        <w:tab/>
        <w:t xml:space="preserve">The amendments limit the continued applicability of the Size of Person test to transactions that would result in the acquiring person’s holding assets and voting securities of the acquired person with a value no greater than $200,000,000.  For transactions exceeding this threshold, the assets and revenues of the parties will no longer be relevant to whether premerger notification is required.  </w:t>
      </w:r>
    </w:p>
    <w:p>
      <w:pPr>
        <w:pStyle w:val="Normal"/>
        <w:jc w:val="both"/>
        <w:rPr/>
      </w:pPr>
      <w:r>
        <w:rPr/>
      </w:r>
    </w:p>
    <w:p>
      <w:pPr>
        <w:pStyle w:val="Normal"/>
        <w:jc w:val="both"/>
        <w:rPr/>
      </w:pPr>
      <w:r>
        <w:rPr/>
        <w:tab/>
        <w:t>The main effect will be to create a filing obligation that otherwise might not have existed for two types of transaction.  First, transactions involving certain start-up companies with substantial value in technology industries often have been exempt under the original Act because the acquired company has less than $10 million in assets and revenues as reflected on its financial statements.   Second, transactions involving newly formed acquisition vehicles in which no investor holds a majority position have often been exempt under a regulation that treats the vehicle as having less than $10 million in assets and revenues.  Those exemptions will no longer be available for transactions with a value exceeding $200,000,000.</w:t>
      </w:r>
    </w:p>
    <w:p>
      <w:pPr>
        <w:pStyle w:val="Normal"/>
        <w:jc w:val="both"/>
        <w:rPr/>
      </w:pPr>
      <w:r>
        <w:rPr/>
      </w:r>
    </w:p>
    <w:p>
      <w:pPr>
        <w:pStyle w:val="Normal"/>
        <w:jc w:val="both"/>
        <w:rPr/>
      </w:pPr>
      <w:r>
        <w:rPr/>
        <w:t>II.</w:t>
        <w:tab/>
      </w:r>
      <w:r>
        <w:rPr>
          <w:u w:val="single"/>
        </w:rPr>
        <w:t>Size of Transaction</w:t>
      </w:r>
    </w:p>
    <w:p>
      <w:pPr>
        <w:pStyle w:val="Normal"/>
        <w:jc w:val="both"/>
        <w:rPr>
          <w:u w:val="single"/>
        </w:rPr>
      </w:pPr>
      <w:r>
        <w:rPr>
          <w:u w:val="single"/>
        </w:rPr>
      </w:r>
    </w:p>
    <w:p>
      <w:pPr>
        <w:pStyle w:val="Normal"/>
        <w:jc w:val="both"/>
        <w:rPr/>
      </w:pPr>
      <w:r>
        <w:rPr/>
        <w:tab/>
        <w:t>The amendments eliminate the percentage prong of the Size of Transaction test and raise the dollar-value prong from $15 million to $50 million.  Thus, under the new test, premerger notification is not required unless the acquisition will result in the acquiring person’s holding voting securities or assets of the acquired person with an aggregate value of more than $50 million.</w:t>
      </w:r>
    </w:p>
    <w:p>
      <w:pPr>
        <w:pStyle w:val="Normal"/>
        <w:jc w:val="both"/>
        <w:rPr/>
      </w:pPr>
      <w:r>
        <w:rPr/>
      </w:r>
    </w:p>
    <w:p>
      <w:pPr>
        <w:pStyle w:val="Normal"/>
        <w:rPr/>
      </w:pPr>
      <w:r>
        <w:rPr/>
        <w:t>III.</w:t>
        <w:tab/>
      </w:r>
      <w:r>
        <w:rPr>
          <w:u w:val="single"/>
        </w:rPr>
        <w:t>Filing Fees</w:t>
      </w:r>
    </w:p>
    <w:p>
      <w:pPr>
        <w:pStyle w:val="Normal"/>
        <w:rPr>
          <w:u w:val="single"/>
        </w:rPr>
      </w:pPr>
      <w:r>
        <w:rPr>
          <w:u w:val="single"/>
        </w:rPr>
      </w:r>
    </w:p>
    <w:p>
      <w:pPr>
        <w:pStyle w:val="Normal"/>
        <w:jc w:val="both"/>
        <w:rPr/>
      </w:pPr>
      <w:r>
        <w:rPr/>
        <w:tab/>
        <w:t>The amendments adopt a three-tier filing fee structure.  The fee remains at the current $45,000 where the Size of Transaction is less than $100 million.  The fee increases to $125,000 where the Size of Transaction is $100 million or more, but less than $500 million.  The fee increases to $280,000 where the Size of Transaction is $500 million or more.</w:t>
      </w:r>
    </w:p>
    <w:p>
      <w:pPr>
        <w:pStyle w:val="Normal"/>
        <w:jc w:val="both"/>
        <w:rPr/>
      </w:pPr>
      <w:r>
        <w:rPr/>
      </w:r>
    </w:p>
    <w:p>
      <w:pPr>
        <w:pStyle w:val="Normal"/>
        <w:rPr/>
      </w:pPr>
      <w:r>
        <w:rPr/>
        <w:t>IV.</w:t>
        <w:tab/>
      </w:r>
      <w:r>
        <w:rPr>
          <w:u w:val="single"/>
        </w:rPr>
        <w:t>Inflation Adjustment</w:t>
      </w:r>
    </w:p>
    <w:p>
      <w:pPr>
        <w:pStyle w:val="Normal"/>
        <w:rPr>
          <w:u w:val="single"/>
        </w:rPr>
      </w:pPr>
      <w:r>
        <w:rPr>
          <w:u w:val="single"/>
        </w:rPr>
      </w:r>
    </w:p>
    <w:p>
      <w:pPr>
        <w:pStyle w:val="Normal"/>
        <w:jc w:val="both"/>
        <w:rPr/>
      </w:pPr>
      <w:r>
        <w:rPr/>
        <w:tab/>
        <w:t>The amendments introduce an inflation adjustment.  For each fiscal year beginning after September 30, 2004, the dollar thresholds used for the Size of Person and Size of Transaction tests will be adjusted to reflect the percentage change in the gross national product.  The thresholds used for determining filing fee tiers (but not the fees themselves) will be similarly adjusted.</w:t>
      </w:r>
    </w:p>
    <w:p>
      <w:pPr>
        <w:pStyle w:val="Normal"/>
        <w:jc w:val="both"/>
        <w:rPr/>
      </w:pPr>
      <w:r>
        <w:rPr/>
      </w:r>
    </w:p>
    <w:p>
      <w:pPr>
        <w:pStyle w:val="Normal"/>
        <w:jc w:val="both"/>
        <w:rPr/>
      </w:pPr>
      <w:r>
        <w:rPr/>
        <w:t xml:space="preserve">V. </w:t>
        <w:tab/>
      </w:r>
      <w:r>
        <w:rPr>
          <w:u w:val="single"/>
        </w:rPr>
        <w:t>Waiting Periods</w:t>
      </w:r>
    </w:p>
    <w:p>
      <w:pPr>
        <w:pStyle w:val="Normal"/>
        <w:jc w:val="both"/>
        <w:rPr/>
      </w:pPr>
      <w:r>
        <w:rPr/>
      </w:r>
    </w:p>
    <w:p>
      <w:pPr>
        <w:pStyle w:val="Normal"/>
        <w:jc w:val="both"/>
        <w:rPr/>
      </w:pPr>
      <w:r>
        <w:rPr/>
        <w:tab/>
        <w:t>Under the amendments, waiting periods that otherwise would expire on a Saturday, Sunday, or legal holiday will be extended to the end of the following business day.   In addition, the amendments lengthen the supplemental waiting period following substantial compliance with a Second Request to thirty days from the current twenty.</w:t>
      </w:r>
      <w:r>
        <w:br w:type="page"/>
      </w:r>
    </w:p>
    <w:p>
      <w:pPr>
        <w:pStyle w:val="Normal"/>
        <w:jc w:val="both"/>
        <w:rPr/>
      </w:pPr>
      <w:r>
        <w:rPr/>
        <w:t xml:space="preserve">VI. </w:t>
        <w:tab/>
      </w:r>
      <w:r>
        <w:rPr>
          <w:u w:val="single"/>
        </w:rPr>
        <w:t>Procedural Reforms</w:t>
      </w:r>
    </w:p>
    <w:p>
      <w:pPr>
        <w:pStyle w:val="Normal"/>
        <w:jc w:val="both"/>
        <w:rPr/>
      </w:pPr>
      <w:r>
        <w:rPr/>
        <w:tab/>
      </w:r>
    </w:p>
    <w:p>
      <w:pPr>
        <w:pStyle w:val="Normal"/>
        <w:jc w:val="both"/>
        <w:rPr/>
      </w:pPr>
      <w:r>
        <w:rPr/>
        <w:tab/>
        <w:t>The amendments call for the Commission and the Department to adopt internal review procedures by which a recipient of a Second Request may petition for determinations as to whether the Request is unreasonably cumulative, unduly burdensome, or duplicative or whether the recipient has substantially complied with the Request.  The amendments also call for the agencies to conduct an internal review and implement reforms within 90 days of enactment in order to enhance the efficiency of the merger review process, to adopt conforming regulations and policy documents within 120 days, and to report to Congress within 180 days on the steps they have taken.</w:t>
      </w:r>
    </w:p>
    <w:p>
      <w:pPr>
        <w:pStyle w:val="Normal"/>
        <w:jc w:val="both"/>
        <w:rPr/>
      </w:pPr>
      <w:r>
        <w:rPr/>
      </w:r>
    </w:p>
    <w:p>
      <w:pPr>
        <w:pStyle w:val="Normal"/>
        <w:jc w:val="center"/>
        <w:rPr/>
      </w:pPr>
      <w:r>
        <w:rPr/>
        <w:t>*     *     *</w:t>
      </w:r>
    </w:p>
    <w:p>
      <w:pPr>
        <w:pStyle w:val="Normal"/>
        <w:jc w:val="both"/>
        <w:rPr/>
      </w:pPr>
      <w:r>
        <w:rPr/>
      </w:r>
    </w:p>
    <w:p>
      <w:pPr>
        <w:pStyle w:val="Normal"/>
        <w:jc w:val="both"/>
        <w:rPr/>
      </w:pPr>
      <w:r>
        <w:rPr/>
        <w:tab/>
        <w:t>The Commission and the Department have not yet published guidance on the rules that will govern the transition from the old framework to the new one.  They are likely to do so shortly.  Among issues to be addressed are (a) whether transactions that will close after the effective date will be subject to the old or new filing fee structure if premerger notification is submitted before the effective date and (b) how various thresholds set forth in the regulations will be adjusted to conform to the amended Size of Person and Size of Transaction tests.</w:t>
      </w:r>
    </w:p>
    <w:p>
      <w:pPr>
        <w:pStyle w:val="Normal"/>
        <w:rPr/>
      </w:pPr>
      <w:r>
        <w:rPr/>
      </w:r>
    </w:p>
    <w:p>
      <w:pPr>
        <w:pStyle w:val="Normal"/>
        <w:rPr/>
      </w:pPr>
      <w:r>
        <w:rPr/>
        <w:tab/>
        <w:t>For more information on the Hart-Scott-Rodino amendments, kindly call your contact at King &amp; Spalding.</w:t>
      </w:r>
    </w:p>
    <w:sectPr>
      <w:headerReference w:type="default" r:id="rId2"/>
      <w:headerReference w:type="first" r:id="rId3"/>
      <w:type w:val="nextPage"/>
      <w:pgSz w:w="12240" w:h="15840"/>
      <w:pgMar w:left="1440" w:right="144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b/>
        <w:sz w:val="32"/>
      </w:rPr>
    </w:pPr>
    <w:r>
      <w:rPr>
        <w:b/>
        <w:sz w:val="32"/>
      </w:rPr>
    </w:r>
  </w:p>
  <w:p>
    <w:pPr>
      <w:pStyle w:val="Header"/>
      <w:rPr>
        <w:b/>
        <w:sz w:val="32"/>
      </w:rPr>
    </w:pPr>
    <w:r>
      <w:rPr>
        <w:b/>
        <w:sz w:val="3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drawing>
        <wp:inline distT="0" distB="0" distL="0" distR="0">
          <wp:extent cx="4182110" cy="79565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9" t="-45" r="-9" b="-45"/>
                  <a:stretch>
                    <a:fillRect/>
                  </a:stretch>
                </pic:blipFill>
                <pic:spPr bwMode="auto">
                  <a:xfrm>
                    <a:off x="0" y="0"/>
                    <a:ext cx="4182110" cy="795655"/>
                  </a:xfrm>
                  <a:prstGeom prst="rect">
                    <a:avLst/>
                  </a:prstGeom>
                  <a:noFill/>
                </pic:spPr>
              </pic:pic>
            </a:graphicData>
          </a:graphic>
        </wp:inline>
      </w:drawing>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WW8Num1z0">
    <w:name w:val="WW8Num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2000-12-21T14:51:00Z</dcterms:created>
  <dc:creator>Preferred Customer</dc:creator>
  <dc:description/>
  <dc:language>en-CA</dc:language>
  <cp:lastModifiedBy>David Cohen</cp:lastModifiedBy>
  <cp:lastPrinted>2000-12-18T12:44:00Z</cp:lastPrinted>
  <dcterms:modified xsi:type="dcterms:W3CDTF">2000-12-21T14:51:00Z</dcterms:modified>
  <cp:revision>2</cp:revision>
  <dc:subject/>
  <dc:title>April 4, 2000</dc:title>
</cp:coreProperties>
</file>