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Hart-Scott-Rodino Antitrust Improvement Act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autoSpaceDE w:val="false"/>
        <w:rPr/>
      </w:pPr>
      <w:r>
        <w:rPr/>
        <w:t>Since enacted into law in 1976 the Hart-Scott-Rodino Antitrust Improvements Act served</w:t>
      </w:r>
    </w:p>
    <w:p>
      <w:pPr>
        <w:pStyle w:val="Normal"/>
        <w:autoSpaceDE w:val="false"/>
        <w:rPr/>
      </w:pPr>
      <w:r>
        <w:rPr/>
        <w:t xml:space="preserve">as an effective watchdog over American business competition, much in the spirit of its celebrated relatives, the Sherman Antitrust Act of 1890 and the Clayton Act of 1914.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Hart-Scott-Rodino antitrust improvement act requires all persons contemplating horizontal mergers or acquisitions to file notification with the Federal Trade Commission (FTC) and to wait a designated period of time [30 days after both parties file] before consummating such transactions.  97% of mergers filed with the Department of Justice (DOJ) and the FTC are cleared without a “second request” (i.e., without extensive factual inquiry) and of transactions where a second request is issued, the parties are in court or the investigation is closed in the vast majority of instances within 120 days.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An explanation of the Guidelines primarily used by the DOJ and FTC to determine whether a merger/acquisition is likely substantially to lessen competition, </w:t>
      </w:r>
      <w:r>
        <w:rPr>
          <w:b/>
          <w:bCs/>
        </w:rPr>
        <w:t>not to describe how the agencies will actually proceed</w:t>
      </w:r>
      <w:r>
        <w:rPr/>
        <w:t xml:space="preserve">, are listed below.  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 xml:space="preserve">These Guidelines outline the present enforcement policy of the Department of Justice and the Federal Trade Commission (the "Agency") concerning horizontal acquisitions and mergers ("mergers") subject to section 7 of the Clayton Act, to section 1 of the Sherman Act, or to section 5 of the FTC Act.  They describe the analytical framework and specific standards normally used by the Agency in analyzing mergers.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Does the proposed merger/acquisition: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significantly increase concentration resulting in a concentrated market, properly defined and measured;  </w:t>
      </w:r>
    </w:p>
    <w:p>
      <w:pPr>
        <w:pStyle w:val="Normal"/>
        <w:numPr>
          <w:ilvl w:val="0"/>
          <w:numId w:val="2"/>
        </w:numPr>
        <w:rPr/>
      </w:pPr>
      <w:r>
        <w:rPr/>
        <w:t>have potential adverse competitive effects;</w:t>
      </w:r>
    </w:p>
    <w:p>
      <w:pPr>
        <w:pStyle w:val="Normal"/>
        <w:numPr>
          <w:ilvl w:val="0"/>
          <w:numId w:val="2"/>
        </w:numPr>
        <w:rPr/>
      </w:pPr>
      <w:r>
        <w:rPr/>
        <w:t>hinder timely market entry that is likely and sufficient either to deter or to counteract the competitive effects of the proposed merger/acquisition;</w:t>
      </w:r>
    </w:p>
    <w:p>
      <w:pPr>
        <w:pStyle w:val="Normal"/>
        <w:numPr>
          <w:ilvl w:val="0"/>
          <w:numId w:val="2"/>
        </w:numPr>
        <w:rPr/>
      </w:pPr>
      <w:r>
        <w:rPr/>
        <w:t>offer efficiency gains that reasonably cannot be achieved by the parties through other means;</w:t>
      </w:r>
    </w:p>
    <w:p>
      <w:pPr>
        <w:pStyle w:val="Normal"/>
        <w:numPr>
          <w:ilvl w:val="0"/>
          <w:numId w:val="2"/>
        </w:numPr>
        <w:rPr/>
      </w:pPr>
      <w:r>
        <w:rPr/>
        <w:t>mean, but for the merger/acquisition, either party to transaction would likely fail, causing its assets to exit the market.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Market concentration is a function of the number of firms in the market and their respective market shares.  The agency will use the Herfindahl-Hirschman Index (HHI) of market concentration.  HHI is calculated by summing the squares of the individual market shares of all the participants.  Market concentration is a useful indicator of the likely potential competitive effect of a merger.  [A post-merger HHI below 1000, market is unconcentrated; HHI between 1000 and 1800, market is moderately concentrated; HHI above 1800, market is highly concentrated].</w:t>
      </w:r>
    </w:p>
    <w:p>
      <w:pPr>
        <w:pStyle w:val="NormalWeb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  <w:i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2001-11-14T12:49:00Z</dcterms:created>
  <dc:creator>rhartfi</dc:creator>
  <dc:description/>
  <dc:language>en-CA</dc:language>
  <cp:lastModifiedBy>rhartfi</cp:lastModifiedBy>
  <cp:lastPrinted>2001-11-14T12:51:00Z</cp:lastPrinted>
  <dcterms:modified xsi:type="dcterms:W3CDTF">2001-11-14T16:24:00Z</dcterms:modified>
  <cp:revision>7</cp:revision>
  <dc:subject/>
  <dc:title>Hart-Scott-Rodino Antitrust Improvement Act</dc:title>
</cp:coreProperties>
</file>