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rFonts w:ascii="Book Antiqua" w:hAnsi="Book Antiqua" w:cs="Book Antiqua"/>
          <w:sz w:val="36"/>
        </w:rPr>
      </w:pPr>
      <w:r>
        <w:rPr>
          <w:rFonts w:cs="Book Antiqua" w:ascii="Book Antiqua" w:hAnsi="Book Antiqua"/>
          <w:sz w:val="36"/>
        </w:rPr>
        <w:t xml:space="preserve">Enron Energy Services </w:t>
      </w:r>
    </w:p>
    <w:p>
      <w:pPr>
        <w:pStyle w:val="Normal"/>
        <w:ind w:start="-180" w:end="-720"/>
        <w:jc w:val="center"/>
        <w:rPr>
          <w:rFonts w:ascii="Book Antiqua" w:hAnsi="Book Antiqua" w:cs="Book Antiqua"/>
          <w:b/>
          <w:sz w:val="24"/>
        </w:rPr>
      </w:pPr>
      <w:r>
        <w:drawing>
          <wp:anchor behindDoc="0" distT="0" distB="0" distL="114935" distR="114935" simplePos="0" locked="0" layoutInCell="1" allowOverlap="1" relativeHeight="8">
            <wp:simplePos x="0" y="0"/>
            <wp:positionH relativeFrom="column">
              <wp:posOffset>2446020</wp:posOffset>
            </wp:positionH>
            <wp:positionV relativeFrom="paragraph">
              <wp:posOffset>152400</wp:posOffset>
            </wp:positionV>
            <wp:extent cx="1280160" cy="5549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" t="-73" r="-32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ook Antiqua" w:ascii="Book Antiqua" w:hAnsi="Book Antiqua"/>
          <w:b/>
          <w:sz w:val="24"/>
        </w:rPr>
        <w:t>Welcomes</w:t>
      </w:r>
    </w:p>
    <w:p>
      <w:pPr>
        <w:pStyle w:val="Normal"/>
        <w:ind w:start="-180" w:end="-72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ind w:start="-180" w:end="-72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ind w:start="-180" w:end="-72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Heading9"/>
        <w:ind w:hanging="0" w:start="0"/>
        <w:rPr>
          <w:rFonts w:ascii="Book Antiqua" w:hAnsi="Book Antiqua" w:cs="Book Antiqua"/>
          <w:sz w:val="22"/>
        </w:rPr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" cy="19050"/>
            <wp:effectExtent l="0" t="0" r="0" b="0"/>
            <wp:wrapTopAndBottom/>
            <wp:docPr id="2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87" t="-1887" r="-1887" b="-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" cy="19050"/>
            <wp:effectExtent l="0" t="0" r="0" b="0"/>
            <wp:wrapTopAndBottom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87" t="-1887" r="-1887" b="-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" cy="19050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87" t="-1887" r="-1887" b="-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" cy="19050"/>
            <wp:effectExtent l="0" t="0" r="0" b="0"/>
            <wp:wrapTopAndBottom/>
            <wp:docPr id="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887" t="-1887" r="-1887" b="-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 Antiqua" w:cs="Book Antiqua" w:ascii="Book Antiqua" w:hAnsi="Book Antiqua"/>
          <w:sz w:val="22"/>
        </w:rPr>
        <w:t xml:space="preserve">              </w:t>
      </w:r>
      <w:r>
        <w:rPr>
          <w:rFonts w:cs="Book Antiqua" w:ascii="Book Antiqua" w:hAnsi="Book Antiqua"/>
          <w:sz w:val="22"/>
        </w:rPr>
        <w:t>Thursday, August 2, 2001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E5E5E5" w:val="clear"/>
        <w:jc w:val="center"/>
        <w:rPr/>
      </w:pPr>
      <w:r>
        <w:rPr>
          <w:b/>
        </w:rPr>
        <w:tab/>
      </w: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E5E5E5" w:val="clear"/>
        <w:jc w:val="center"/>
        <w:rPr>
          <w:rFonts w:ascii="Book Antiqua" w:hAnsi="Book Antiqua" w:cs="Book Antiqua"/>
          <w:b/>
          <w:i/>
          <w:i/>
          <w:sz w:val="32"/>
        </w:rPr>
      </w:pPr>
      <w:r>
        <w:rPr>
          <w:rFonts w:cs="Book Antiqua" w:ascii="Book Antiqua" w:hAnsi="Book Antiqua"/>
          <w:b/>
          <w:i/>
          <w:sz w:val="32"/>
        </w:rPr>
        <w:t>Venue: Enron Building Conference Room 5029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E5E5E5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 Antiqua" w:ascii="Book Antiqua" w:hAnsi="Book Antiqua"/>
          <w:b/>
          <w:i/>
          <w:sz w:val="28"/>
        </w:rPr>
        <w:t>Attire:  Business Casual</w:t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9:00-9:05</w:t>
        <w:tab/>
        <w:tab/>
        <w:t>Arrival and Check in - Enron Front Desk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32"/>
        </w:rPr>
      </w:pPr>
      <w:r>
        <w:rPr>
          <w:rFonts w:cs="Book Antiqua" w:ascii="Book Antiqua" w:hAnsi="Book Antiqua"/>
          <w:b w:val="false"/>
          <w:sz w:val="3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9:05-9:15</w:t>
        <w:tab/>
        <w:tab/>
        <w:t>Continental Breakfast</w:t>
        <w:tab/>
        <w:tab/>
        <w:tab/>
        <w:tab/>
        <w:tab/>
        <w:tab/>
        <w:t>Ken Rubeli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3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Welcome/Introductions/Objectives</w:t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9:15-11:15</w:t>
        <w:tab/>
        <w:tab/>
        <w:t>Projects Discussion</w:t>
        <w:tab/>
        <w:tab/>
        <w:tab/>
        <w:tab/>
        <w:tab/>
        <w:tab/>
        <w:t>Richard Palmer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>Staffan Akerstrom</w:t>
      </w:r>
    </w:p>
    <w:p>
      <w:pPr>
        <w:pStyle w:val="BlockText"/>
        <w:pBdr>
          <w:bottom w:val="nil"/>
        </w:pBdr>
        <w:ind w:hanging="216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11:15-11:45</w:t>
        <w:tab/>
        <w:tab/>
        <w:t>Enron Freight Markets Tour</w:t>
        <w:tab/>
        <w:tab/>
        <w:tab/>
        <w:tab/>
        <w:tab/>
        <w:t>Marty Gleason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11:45- 12:15</w:t>
        <w:tab/>
        <w:tab/>
        <w:t>Catered Lunch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12:15-1:00</w:t>
        <w:tab/>
        <w:tab/>
        <w:t>Projects Discussion (Cont’d)</w:t>
        <w:tab/>
        <w:tab/>
        <w:tab/>
        <w:tab/>
        <w:tab/>
        <w:t>Richard Palmer</w:t>
        <w:tab/>
        <w:tab/>
        <w:tab/>
        <w:tab/>
        <w:tab/>
        <w:tab/>
        <w:tab/>
        <w:tab/>
        <w:tab/>
        <w:tab/>
        <w:tab/>
        <w:tab/>
        <w:t>Staffan Akerstrom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1:00-3:00</w:t>
        <w:tab/>
        <w:tab/>
        <w:t>Systems and Technology Building Tour</w:t>
      </w:r>
    </w:p>
    <w:p>
      <w:pPr>
        <w:pStyle w:val="BlockText"/>
        <w:pBdr>
          <w:bottom w:val="nil"/>
        </w:pBdr>
        <w:rPr/>
      </w:pPr>
      <w:r>
        <w:rPr>
          <w:rFonts w:cs="Book Antiqua" w:ascii="Book Antiqua" w:hAnsi="Book Antiqua"/>
          <w:b w:val="false"/>
          <w:sz w:val="22"/>
        </w:rPr>
        <w:t>1:00-1:30</w:t>
        <w:tab/>
        <w:tab/>
        <w:t>-Enron Media Services (44</w:t>
      </w:r>
      <w:r>
        <w:rPr>
          <w:rFonts w:cs="Book Antiqua" w:ascii="Book Antiqua" w:hAnsi="Book Antiqua"/>
          <w:b w:val="false"/>
          <w:sz w:val="22"/>
          <w:vertAlign w:val="superscript"/>
        </w:rPr>
        <w:t>th</w:t>
      </w:r>
      <w:r>
        <w:rPr>
          <w:rFonts w:cs="Book Antiqua" w:ascii="Book Antiqua" w:hAnsi="Book Antiqua"/>
          <w:b w:val="false"/>
          <w:sz w:val="22"/>
        </w:rPr>
        <w:t xml:space="preserve"> floor)</w:t>
        <w:tab/>
        <w:tab/>
        <w:tab/>
        <w:tab/>
        <w:t>Erik Simpson</w:t>
      </w:r>
    </w:p>
    <w:p>
      <w:pPr>
        <w:pStyle w:val="BlockText"/>
        <w:pBdr>
          <w:bottom w:val="nil"/>
        </w:pBdr>
        <w:rPr/>
      </w:pPr>
      <w:r>
        <w:rPr>
          <w:rFonts w:cs="Book Antiqua" w:ascii="Book Antiqua" w:hAnsi="Book Antiqua"/>
          <w:b w:val="false"/>
          <w:sz w:val="22"/>
        </w:rPr>
        <w:t>1:30-2:00</w:t>
        <w:tab/>
        <w:tab/>
        <w:t>-Enron Weather Desk (30</w:t>
      </w:r>
      <w:r>
        <w:rPr>
          <w:rFonts w:cs="Book Antiqua" w:ascii="Book Antiqua" w:hAnsi="Book Antiqua"/>
          <w:b w:val="false"/>
          <w:sz w:val="22"/>
          <w:vertAlign w:val="superscript"/>
        </w:rPr>
        <w:t>th</w:t>
      </w:r>
      <w:r>
        <w:rPr>
          <w:rFonts w:cs="Book Antiqua" w:ascii="Book Antiqua" w:hAnsi="Book Antiqua"/>
          <w:b w:val="false"/>
          <w:sz w:val="22"/>
        </w:rPr>
        <w:t xml:space="preserve"> Floor)</w:t>
        <w:tab/>
        <w:tab/>
        <w:tab/>
        <w:tab/>
        <w:t>Gary Taylor</w:t>
      </w:r>
    </w:p>
    <w:p>
      <w:pPr>
        <w:pStyle w:val="BlockText"/>
        <w:pBdr>
          <w:bottom w:val="nil"/>
        </w:pBdr>
        <w:rPr/>
      </w:pPr>
      <w:r>
        <w:rPr>
          <w:rFonts w:cs="Book Antiqua" w:ascii="Book Antiqua" w:hAnsi="Book Antiqua"/>
          <w:b w:val="false"/>
          <w:sz w:val="22"/>
        </w:rPr>
        <w:t>2:00-2:30</w:t>
        <w:tab/>
        <w:tab/>
        <w:t>-Gas Trading Floor (32</w:t>
      </w:r>
      <w:r>
        <w:rPr>
          <w:rFonts w:cs="Book Antiqua" w:ascii="Book Antiqua" w:hAnsi="Book Antiqua"/>
          <w:b w:val="false"/>
          <w:sz w:val="22"/>
          <w:vertAlign w:val="superscript"/>
        </w:rPr>
        <w:t>nd</w:t>
      </w:r>
      <w:r>
        <w:rPr>
          <w:rFonts w:cs="Book Antiqua" w:ascii="Book Antiqua" w:hAnsi="Book Antiqua"/>
          <w:b w:val="false"/>
          <w:sz w:val="22"/>
        </w:rPr>
        <w:t xml:space="preserve"> floor)</w:t>
        <w:tab/>
        <w:tab/>
        <w:tab/>
        <w:tab/>
        <w:t>Matt Titus</w:t>
      </w:r>
    </w:p>
    <w:p>
      <w:pPr>
        <w:pStyle w:val="BlockText"/>
        <w:pBdr>
          <w:bottom w:val="nil"/>
        </w:pBdr>
        <w:rPr/>
      </w:pPr>
      <w:r>
        <w:rPr>
          <w:rFonts w:cs="Book Antiqua" w:ascii="Book Antiqua" w:hAnsi="Book Antiqua"/>
          <w:b w:val="false"/>
          <w:sz w:val="22"/>
        </w:rPr>
        <w:t>2:30-3:00</w:t>
        <w:tab/>
        <w:tab/>
        <w:t>-Performance Measurement Center (6</w:t>
      </w:r>
      <w:r>
        <w:rPr>
          <w:rFonts w:cs="Book Antiqua" w:ascii="Book Antiqua" w:hAnsi="Book Antiqua"/>
          <w:b w:val="false"/>
          <w:sz w:val="22"/>
          <w:vertAlign w:val="superscript"/>
        </w:rPr>
        <w:t>th</w:t>
      </w:r>
      <w:r>
        <w:rPr>
          <w:rFonts w:cs="Book Antiqua" w:ascii="Book Antiqua" w:hAnsi="Book Antiqua"/>
          <w:b w:val="false"/>
          <w:sz w:val="22"/>
        </w:rPr>
        <w:t xml:space="preserve"> floor)</w:t>
        <w:tab/>
        <w:tab/>
        <w:t>George Hernandez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3:00-4:00</w:t>
        <w:tab/>
        <w:tab/>
        <w:t>Billing Implementation Discussion</w:t>
        <w:tab/>
        <w:tab/>
        <w:tab/>
        <w:tab/>
        <w:t>Rob Smith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4:00</w:t>
        <w:tab/>
        <w:tab/>
        <w:tab/>
        <w:t>Depart Enron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rPr>
          <w:rFonts w:ascii="Book Antiqua" w:hAnsi="Book Antiqua" w:cs="Book Antiqua"/>
          <w:b w:val="false"/>
          <w:i/>
          <w:i/>
          <w:color w:val="0000FF"/>
          <w:sz w:val="22"/>
        </w:rPr>
      </w:pPr>
      <w:r>
        <w:rPr>
          <w:rFonts w:cs="Book Antiqua" w:ascii="Book Antiqua" w:hAnsi="Book Antiqua"/>
          <w:b w:val="false"/>
          <w:i/>
          <w:color w:val="0000FF"/>
          <w:sz w:val="22"/>
        </w:rPr>
        <w:t>Airways Towncar Service (Ron Doherty 713.825.0377) will pick up everyone at the Doubletree Hotel at 5:30pm and take them to Enron Field.  The driver will stay at the stadium until the group is ready to return to the hotel.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i/>
          <w:i/>
          <w:color w:val="0000FF"/>
          <w:sz w:val="22"/>
        </w:rPr>
      </w:pPr>
      <w:r>
        <w:rPr>
          <w:rFonts w:cs="Book Antiqua" w:ascii="Book Antiqua" w:hAnsi="Book Antiqua"/>
          <w:b w:val="false"/>
          <w:i/>
          <w:color w:val="0000FF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i/>
          <w:i/>
          <w:color w:val="0000FF"/>
          <w:sz w:val="22"/>
        </w:rPr>
      </w:pPr>
      <w:r>
        <w:rPr>
          <w:rFonts w:cs="Book Antiqua" w:ascii="Book Antiqua" w:hAnsi="Book Antiqua"/>
          <w:b w:val="false"/>
          <w:i/>
          <w:color w:val="0000FF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</w:r>
    </w:p>
    <w:p>
      <w:pPr>
        <w:pStyle w:val="BlockText"/>
        <w:pBdr>
          <w:top w:val="single" w:sz="4" w:space="0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0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Harrah’s Attendees</w:t>
      </w:r>
    </w:p>
    <w:p>
      <w:pPr>
        <w:pStyle w:val="BlockText"/>
        <w:pBdr>
          <w:top w:val="single" w:sz="4" w:space="0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</w:rPr>
      </w:pPr>
      <w:r>
        <w:rPr>
          <w:rFonts w:cs="Book Antiqua" w:ascii="Book Antiqua" w:hAnsi="Book Antiqua"/>
          <w:b w:val="false"/>
        </w:rPr>
      </w:r>
    </w:p>
    <w:p>
      <w:pPr>
        <w:pStyle w:val="Normal"/>
        <w:tabs>
          <w:tab w:val="clear" w:pos="720"/>
          <w:tab w:val="left" w:pos="1080" w:leader="none"/>
        </w:tabs>
        <w:ind w:hanging="4320" w:start="5040" w:end="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hanging="4320" w:start="5040" w:end="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Clayton Rice</w:t>
        <w:tab/>
        <w:t>Vice President, Associate Gen. Counsel</w:t>
      </w:r>
    </w:p>
    <w:p>
      <w:pPr>
        <w:pStyle w:val="Normal"/>
        <w:tabs>
          <w:tab w:val="clear" w:pos="720"/>
          <w:tab w:val="left" w:pos="1080" w:leader="none"/>
        </w:tabs>
        <w:ind w:hanging="4320" w:start="5040" w:end="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Stuart Thomas</w:t>
        <w:tab/>
        <w:t>Director, Shared Services Sourcing</w:t>
      </w:r>
    </w:p>
    <w:p>
      <w:pPr>
        <w:pStyle w:val="Normal"/>
        <w:tabs>
          <w:tab w:val="clear" w:pos="720"/>
          <w:tab w:val="left" w:pos="1080" w:leader="none"/>
        </w:tabs>
        <w:ind w:hanging="4320" w:start="5040" w:end="0"/>
        <w:rPr>
          <w:b/>
          <w:sz w:val="24"/>
        </w:rPr>
      </w:pPr>
      <w:r>
        <w:rPr>
          <w:sz w:val="24"/>
        </w:rPr>
        <w:t>Richard Emmons</w:t>
        <w:tab/>
        <w:t>Director of Building Systems</w:t>
      </w:r>
    </w:p>
    <w:p>
      <w:pPr>
        <w:pStyle w:val="BlockText"/>
        <w:pBdr>
          <w:bottom w:val="nil"/>
        </w:pBdr>
        <w:ind w:hanging="1440" w:start="21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Enron Attendees</w:t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Richard Palmer</w:t>
        <w:tab/>
        <w:tab/>
        <w:t xml:space="preserve">Senior Director, EES 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Erik Simpson</w:t>
        <w:tab/>
        <w:tab/>
        <w:t>Director, Enron Media Services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George Hernandez</w:t>
        <w:tab/>
        <w:tab/>
        <w:t>Director, Performance Measurement Center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Marty Gleason</w:t>
        <w:tab/>
        <w:tab/>
        <w:t>Director, Enron Freight Markets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Ken Rubeli</w:t>
        <w:tab/>
        <w:tab/>
        <w:t>Manager, EES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Staffan Akerstrom</w:t>
        <w:tab/>
        <w:tab/>
        <w:t>Manager, Development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Rob Smith</w:t>
        <w:tab/>
        <w:tab/>
        <w:t>Manager, Invoicing &amp; Reporting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Gary Taylor</w:t>
        <w:tab/>
        <w:tab/>
        <w:t>Marketing Director, Global Weather Products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Matt Titus</w:t>
        <w:tab/>
        <w:tab/>
        <w:t>Senior Specialist, Mid Marketing</w:t>
      </w:r>
    </w:p>
    <w:p>
      <w:pPr>
        <w:pStyle w:val="BlockText"/>
        <w:pBdr>
          <w:bottom w:val="nil"/>
        </w:pBdr>
        <w:ind w:hanging="3600"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b w:val="false"/>
          <w:i/>
          <w:color w:val="0000FF"/>
          <w:sz w:val="22"/>
          <w:u w:val="single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ind w:start="-720" w:end="-720"/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  <w:t>Friday, August 3</w:t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ind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  <w:t xml:space="preserve">Airways Towncar Service (Ron Doherty 713.825.0377) will pick up 5 people at 6:45am, 3 at the Doubletree and two at the Hyatt to be taken to Tour 18 Golf Course.  </w:t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ind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ind w:start="-720" w:end="-720"/>
        <w:rPr>
          <w:rFonts w:ascii="Book Antiqua" w:hAnsi="Book Antiqua" w:cs="Book Antiqua"/>
          <w:i/>
          <w:i/>
          <w:color w:val="0000FF"/>
          <w:sz w:val="22"/>
          <w:u w:val="single"/>
        </w:rPr>
      </w:pPr>
      <w:r>
        <w:rPr>
          <w:rFonts w:cs="Book Antiqua" w:ascii="Book Antiqua" w:hAnsi="Book Antiqua"/>
          <w:i/>
          <w:color w:val="0000FF"/>
          <w:sz w:val="22"/>
          <w:u w:val="single"/>
        </w:rPr>
        <w:t>All of these will be from Tour 18</w:t>
      </w:r>
    </w:p>
    <w:p>
      <w:pPr>
        <w:pStyle w:val="BodyText"/>
        <w:numPr>
          <w:ilvl w:val="0"/>
          <w:numId w:val="4"/>
        </w:numPr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tabs>
          <w:tab w:val="clear" w:pos="720"/>
          <w:tab w:val="left" w:pos="-360" w:leader="none"/>
        </w:tabs>
        <w:ind w:firstLine="90"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  <w:t xml:space="preserve">A towncar will pick up Stuart Thomas at 1:00pm to go to IAH for a 2:35pm NW#942 flight.  </w:t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tabs>
          <w:tab w:val="clear" w:pos="720"/>
          <w:tab w:val="left" w:pos="-360" w:leader="none"/>
        </w:tabs>
        <w:ind w:firstLine="90"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</w:r>
    </w:p>
    <w:p>
      <w:pPr>
        <w:pStyle w:val="BodyText"/>
        <w:numPr>
          <w:ilvl w:val="0"/>
          <w:numId w:val="3"/>
        </w:numPr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tabs>
          <w:tab w:val="clear" w:pos="720"/>
          <w:tab w:val="left" w:pos="-360" w:leader="none"/>
        </w:tabs>
        <w:ind w:firstLine="90"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  <w:t xml:space="preserve">A towncar will pick up Rice, Emmons and Palmer to go to IAH at 2:15pm. </w:t>
      </w:r>
    </w:p>
    <w:p>
      <w:pPr>
        <w:pStyle w:val="BodyText"/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tabs>
          <w:tab w:val="clear" w:pos="720"/>
          <w:tab w:val="left" w:pos="-360" w:leader="none"/>
        </w:tabs>
        <w:ind w:firstLine="90"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</w:r>
    </w:p>
    <w:p>
      <w:pPr>
        <w:pStyle w:val="BodyText"/>
        <w:numPr>
          <w:ilvl w:val="0"/>
          <w:numId w:val="2"/>
        </w:numPr>
        <w:pBdr>
          <w:top w:val="single" w:sz="4" w:space="1" w:color="0000FF" w:shadow="1"/>
          <w:left w:val="single" w:sz="4" w:space="4" w:color="0000FF" w:shadow="1"/>
          <w:bottom w:val="single" w:sz="4" w:space="1" w:color="0000FF" w:shadow="1"/>
          <w:right w:val="single" w:sz="4" w:space="4" w:color="0000FF" w:shadow="1"/>
        </w:pBdr>
        <w:tabs>
          <w:tab w:val="clear" w:pos="720"/>
          <w:tab w:val="left" w:pos="-360" w:leader="none"/>
        </w:tabs>
        <w:ind w:firstLine="90" w:start="-720" w:end="-720"/>
        <w:rPr>
          <w:rFonts w:ascii="Book Antiqua" w:hAnsi="Book Antiqua" w:cs="Book Antiqua"/>
          <w:i/>
          <w:i/>
          <w:color w:val="0000FF"/>
          <w:sz w:val="22"/>
        </w:rPr>
      </w:pPr>
      <w:r>
        <w:rPr>
          <w:rFonts w:cs="Book Antiqua" w:ascii="Book Antiqua" w:hAnsi="Book Antiqua"/>
          <w:i/>
          <w:color w:val="0000FF"/>
          <w:sz w:val="22"/>
        </w:rPr>
        <w:t>A towncar will pick up Steffan Akerstrom at 1:15pm to go to Hobby Airport for a 3:10pm flight.</w:t>
      </w:r>
    </w:p>
    <w:p>
      <w:pPr>
        <w:pStyle w:val="BlockText"/>
        <w:pBdr>
          <w:bottom w:val="nil"/>
        </w:pBdr>
        <w:rPr>
          <w:rFonts w:ascii="Book Antiqua" w:hAnsi="Book Antiqua" w:eastAsia="Book Antiqua" w:cs="Book Antiqua"/>
          <w:i/>
          <w:i/>
          <w:color w:val="0000FF"/>
          <w:sz w:val="22"/>
        </w:rPr>
      </w:pPr>
      <w:r>
        <w:rPr>
          <w:rFonts w:eastAsia="Book Antiqua" w:cs="Book Antiqua" w:ascii="Book Antiqua" w:hAnsi="Book Antiqua"/>
          <w:i/>
          <w:color w:val="0000FF"/>
          <w:sz w:val="22"/>
        </w:rPr>
        <w:t xml:space="preserve"> 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2240" w:h="15840"/>
      <w:pgMar w:left="1620" w:right="1530" w:gutter="0" w:header="720" w:top="776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Palatino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8:45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6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8:45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7" name="Image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</w:rPr>
      <w:t>Harrah’s</w:t>
    </w:r>
  </w:p>
  <w:p>
    <w:pPr>
      <w:pStyle w:val="Header"/>
      <w:rPr>
        <w:i/>
        <w:i/>
      </w:rPr>
    </w:pPr>
    <w:r>
      <w:rPr>
        <w:i/>
      </w:rPr>
      <w:t>Executive Briefing Agenda</w:t>
    </w:r>
  </w:p>
  <w:p>
    <w:pPr>
      <w:pStyle w:val="Header"/>
      <w:rPr/>
    </w:pPr>
    <w:r>
      <w:rPr>
        <w:i/>
      </w:rPr>
      <w:t>Page #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>
      <w:rPr>
        <w:rStyle w:val="PageNumber"/>
        <w:i/>
      </w:rPr>
      <w:t>2</w:t>
    </w:r>
    <w:r>
      <w:rPr>
        <w:rStyle w:val="PageNumber"/>
        <w:i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24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  <w:sz w:val="24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  <w:sz w:val="22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Wingdings" w:hAnsi="Wingdings" w:cs="Wingdings"/>
      <w:sz w:val="24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Palatino" w:hAnsi="Palatino" w:cs="Palatino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lang w:eastAsia="en-US"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640" w:leader="none"/>
        <w:tab w:val="right" w:pos="112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2001-08-01T17:22:00Z</dcterms:created>
  <dc:creator>EES</dc:creator>
  <dc:description/>
  <dc:language>en-CA</dc:language>
  <cp:lastModifiedBy>ken rubeli</cp:lastModifiedBy>
  <cp:lastPrinted>2001-07-31T12:44:00Z</cp:lastPrinted>
  <dcterms:modified xsi:type="dcterms:W3CDTF">2001-08-01T17:22:00Z</dcterms:modified>
  <cp:revision>2</cp:revision>
  <dc:subject/>
  <dc:title>General Cable Corp</dc:title>
</cp:coreProperties>
</file>