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I am typing this document up to ensure that we are all on the same page regarding the responsibilities related to this Direct Access customer.</w:t>
      </w:r>
    </w:p>
    <w:p>
      <w:pPr>
        <w:pStyle w:val="Normal"/>
        <w:rPr/>
      </w:pPr>
      <w:r>
        <w:rPr/>
      </w:r>
    </w:p>
    <w:p>
      <w:pPr>
        <w:pStyle w:val="Normal"/>
        <w:rPr/>
      </w:pPr>
      <w:r>
        <w:rPr/>
      </w:r>
    </w:p>
    <w:p>
      <w:pPr>
        <w:pStyle w:val="Normal"/>
        <w:rPr/>
      </w:pPr>
      <w:r>
        <w:rPr/>
        <w:t>This customers has been established as a customer of Enron Power Marketing, Inc. (EPMI).  EPMI is not equipped to perform a number of Direct Access (DA) customer enrolment and ongoing administrative obligations.  In order to address DA obligations, EPMI has requested the services of EWS and their outsourced services with CSC.</w:t>
      </w:r>
    </w:p>
    <w:p>
      <w:pPr>
        <w:pStyle w:val="Normal"/>
        <w:rPr/>
      </w:pPr>
      <w:r>
        <w:rPr/>
      </w:r>
    </w:p>
    <w:p>
      <w:pPr>
        <w:pStyle w:val="Normal"/>
        <w:rPr/>
      </w:pPr>
      <w:r>
        <w:rPr/>
        <w:t>Following is a breakdown of activities which need to be performed by identified functional areas:</w:t>
      </w:r>
    </w:p>
    <w:p>
      <w:pPr>
        <w:pStyle w:val="Normal"/>
        <w:rPr/>
      </w:pPr>
      <w:r>
        <w:rPr/>
      </w:r>
    </w:p>
    <w:tbl>
      <w:tblPr>
        <w:tblW w:w="14328" w:type="dxa"/>
        <w:jc w:val="start"/>
        <w:tblInd w:w="0" w:type="dxa"/>
        <w:tblLayout w:type="fixed"/>
        <w:tblCellMar>
          <w:top w:w="0" w:type="dxa"/>
          <w:start w:w="108" w:type="dxa"/>
          <w:bottom w:w="0" w:type="dxa"/>
          <w:end w:w="108" w:type="dxa"/>
        </w:tblCellMar>
      </w:tblPr>
      <w:tblGrid>
        <w:gridCol w:w="4068"/>
        <w:gridCol w:w="6300"/>
        <w:gridCol w:w="3960"/>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Functional Area</w:t>
            </w:r>
          </w:p>
        </w:tc>
        <w:tc>
          <w:tcPr>
            <w:tcW w:w="63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Activity</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Status</w:t>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EWS – Deal Capture / DASR Operations</w:t>
            </w:r>
          </w:p>
        </w:tc>
        <w:tc>
          <w:tcPr>
            <w:tcW w:w="630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sz w:val="18"/>
              </w:rPr>
            </w:pPr>
            <w:r>
              <w:rPr>
                <w:sz w:val="18"/>
              </w:rPr>
              <w:t>Submit DASR Request to CSC</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sz w:val="18"/>
              </w:rPr>
            </w:pPr>
            <w:r>
              <w:rPr>
                <w:sz w:val="18"/>
              </w:rPr>
              <w:t>Request  submitted with incomplete billing information</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CSC </w:t>
            </w:r>
          </w:p>
        </w:tc>
        <w:tc>
          <w:tcPr>
            <w:tcW w:w="63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sz w:val="18"/>
              </w:rPr>
            </w:pPr>
            <w:r>
              <w:rPr>
                <w:sz w:val="18"/>
              </w:rPr>
              <w:t>Submit account DASR request to Utility</w:t>
            </w:r>
          </w:p>
          <w:p>
            <w:pPr>
              <w:pStyle w:val="Normal"/>
              <w:numPr>
                <w:ilvl w:val="0"/>
                <w:numId w:val="1"/>
              </w:numPr>
              <w:rPr>
                <w:sz w:val="18"/>
              </w:rPr>
            </w:pPr>
            <w:r>
              <w:rPr>
                <w:sz w:val="18"/>
              </w:rPr>
              <w:t>Coordinate Installation of meter with MSP</w:t>
            </w:r>
          </w:p>
          <w:p>
            <w:pPr>
              <w:pStyle w:val="Normal"/>
              <w:numPr>
                <w:ilvl w:val="0"/>
                <w:numId w:val="1"/>
              </w:numPr>
              <w:rPr>
                <w:sz w:val="18"/>
              </w:rPr>
            </w:pPr>
            <w:r>
              <w:rPr>
                <w:sz w:val="18"/>
              </w:rPr>
              <w:t>Submit meter consumption from Hanson Cement account with all other EES consumption information being submitted to utility</w:t>
            </w:r>
          </w:p>
          <w:p>
            <w:pPr>
              <w:pStyle w:val="Normal"/>
              <w:numPr>
                <w:ilvl w:val="0"/>
                <w:numId w:val="1"/>
              </w:numPr>
              <w:rPr>
                <w:sz w:val="18"/>
              </w:rPr>
            </w:pPr>
            <w:r>
              <w:rPr>
                <w:sz w:val="18"/>
              </w:rPr>
              <w:t xml:space="preserve">Separate Hanson Cement consumption information from aggregated or detailed consumption information prior to providing EES with data.  (This should not be considered part of the EES or EWS book of business) </w:t>
            </w:r>
          </w:p>
          <w:p>
            <w:pPr>
              <w:pStyle w:val="Normal"/>
              <w:numPr>
                <w:ilvl w:val="0"/>
                <w:numId w:val="1"/>
              </w:numPr>
              <w:rPr>
                <w:sz w:val="18"/>
              </w:rPr>
            </w:pPr>
            <w:r>
              <w:rPr>
                <w:sz w:val="18"/>
              </w:rPr>
              <w:t>Publish Hanson Cement consumption information in separate MDEF file to EPMI for reporting to CAISO.</w:t>
            </w:r>
          </w:p>
          <w:p>
            <w:pPr>
              <w:pStyle w:val="Normal"/>
              <w:numPr>
                <w:ilvl w:val="0"/>
                <w:numId w:val="1"/>
              </w:numPr>
              <w:rPr>
                <w:sz w:val="18"/>
              </w:rPr>
            </w:pPr>
            <w:r>
              <w:rPr>
                <w:sz w:val="18"/>
              </w:rPr>
              <w:t>Receive Hanson Cement T&amp;D bill from utility and Pass on request for Payment to Mary Lynn Ruffer’s group (EWS)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sz w:val="18"/>
              </w:rPr>
            </w:pPr>
            <w:r>
              <w:rPr>
                <w:sz w:val="18"/>
              </w:rPr>
              <w:t xml:space="preserve"> </w:t>
            </w:r>
          </w:p>
          <w:p>
            <w:pPr>
              <w:pStyle w:val="Normal"/>
              <w:numPr>
                <w:ilvl w:val="0"/>
                <w:numId w:val="1"/>
              </w:numPr>
              <w:rPr>
                <w:sz w:val="18"/>
              </w:rPr>
            </w:pPr>
            <w:r>
              <w:rPr>
                <w:sz w:val="18"/>
              </w:rPr>
              <w:t xml:space="preserve"> </w:t>
            </w:r>
          </w:p>
          <w:p>
            <w:pPr>
              <w:pStyle w:val="Normal"/>
              <w:numPr>
                <w:ilvl w:val="0"/>
                <w:numId w:val="1"/>
              </w:numPr>
              <w:rPr>
                <w:sz w:val="18"/>
              </w:rPr>
            </w:pPr>
            <w:r>
              <w:rPr>
                <w:sz w:val="18"/>
              </w:rPr>
              <w:t xml:space="preserve"> </w:t>
            </w:r>
          </w:p>
          <w:p>
            <w:pPr>
              <w:pStyle w:val="Normal"/>
              <w:ind w:start="360" w:end="0"/>
              <w:rPr>
                <w:sz w:val="18"/>
              </w:rPr>
            </w:pPr>
            <w:r>
              <w:rPr>
                <w:sz w:val="18"/>
              </w:rPr>
            </w:r>
          </w:p>
          <w:p>
            <w:pPr>
              <w:pStyle w:val="Normal"/>
              <w:numPr>
                <w:ilvl w:val="0"/>
                <w:numId w:val="1"/>
              </w:numPr>
              <w:rPr>
                <w:sz w:val="18"/>
              </w:rPr>
            </w:pPr>
            <w:r>
              <w:rPr>
                <w:sz w:val="18"/>
              </w:rPr>
              <w:t xml:space="preserve"> </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numPr>
                <w:ilvl w:val="0"/>
                <w:numId w:val="1"/>
              </w:numPr>
              <w:rPr>
                <w:sz w:val="18"/>
              </w:rPr>
            </w:pPr>
            <w:r>
              <w:rPr>
                <w:sz w:val="18"/>
              </w:rPr>
              <w:t xml:space="preserve"> </w:t>
            </w:r>
          </w:p>
          <w:p>
            <w:pPr>
              <w:pStyle w:val="Normal"/>
              <w:rPr>
                <w:sz w:val="18"/>
              </w:rPr>
            </w:pPr>
            <w:r>
              <w:rPr>
                <w:sz w:val="18"/>
              </w:rPr>
            </w:r>
          </w:p>
          <w:p>
            <w:pPr>
              <w:pStyle w:val="Normal"/>
              <w:numPr>
                <w:ilvl w:val="0"/>
                <w:numId w:val="1"/>
              </w:numPr>
              <w:rPr>
                <w:sz w:val="18"/>
              </w:rPr>
            </w:pPr>
            <w:r>
              <w:rPr>
                <w:sz w:val="18"/>
              </w:rPr>
              <w:t xml:space="preserve"> </w:t>
            </w:r>
          </w:p>
          <w:p>
            <w:pPr>
              <w:pStyle w:val="Normal"/>
              <w:rPr>
                <w:sz w:val="18"/>
              </w:rPr>
            </w:pPr>
            <w:r>
              <w:rPr>
                <w:sz w:val="18"/>
              </w:rPr>
            </w:r>
          </w:p>
          <w:p>
            <w:pPr>
              <w:pStyle w:val="Normal"/>
              <w:rPr>
                <w:sz w:val="18"/>
              </w:rPr>
            </w:pPr>
            <w:r>
              <w:rPr>
                <w:sz w:val="18"/>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EWS Financial Reporting</w:t>
            </w:r>
          </w:p>
        </w:tc>
        <w:tc>
          <w:tcPr>
            <w:tcW w:w="630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18"/>
              </w:rPr>
            </w:pPr>
            <w:r>
              <w:rPr>
                <w:sz w:val="18"/>
              </w:rPr>
              <w:t>Process payment request from CSC to utility for Hanson Cement T&amp;D bill</w:t>
            </w:r>
          </w:p>
          <w:p>
            <w:pPr>
              <w:pStyle w:val="Normal"/>
              <w:numPr>
                <w:ilvl w:val="0"/>
                <w:numId w:val="3"/>
              </w:numPr>
              <w:rPr>
                <w:sz w:val="18"/>
              </w:rPr>
            </w:pPr>
            <w:r>
              <w:rPr>
                <w:sz w:val="18"/>
              </w:rPr>
              <w:t>Create invoice and receivables entry in G/L to bill EPMI Volume Management for utility T&amp;D bill.</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18"/>
              </w:rPr>
            </w:pPr>
            <w:r>
              <w:rPr>
                <w:sz w:val="18"/>
              </w:rPr>
              <w:t xml:space="preserve"> </w:t>
            </w:r>
          </w:p>
          <w:p>
            <w:pPr>
              <w:pStyle w:val="Normal"/>
              <w:rPr>
                <w:sz w:val="18"/>
              </w:rPr>
            </w:pPr>
            <w:r>
              <w:rPr>
                <w:sz w:val="18"/>
              </w:rPr>
            </w:r>
          </w:p>
          <w:p>
            <w:pPr>
              <w:pStyle w:val="Normal"/>
              <w:numPr>
                <w:ilvl w:val="0"/>
                <w:numId w:val="3"/>
              </w:numPr>
              <w:rPr>
                <w:sz w:val="18"/>
              </w:rPr>
            </w:pPr>
            <w:r>
              <w:rPr>
                <w:sz w:val="18"/>
              </w:rPr>
              <w:t xml:space="preserve"> </w:t>
            </w:r>
          </w:p>
          <w:p>
            <w:pPr>
              <w:pStyle w:val="Normal"/>
              <w:rPr>
                <w:sz w:val="18"/>
              </w:rPr>
            </w:pPr>
            <w:r>
              <w:rPr>
                <w:sz w:val="18"/>
              </w:rPr>
            </w:r>
          </w:p>
          <w:p>
            <w:pPr>
              <w:pStyle w:val="Normal"/>
              <w:rPr>
                <w:sz w:val="18"/>
              </w:rPr>
            </w:pPr>
            <w:r>
              <w:rPr>
                <w:sz w:val="18"/>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EPMI Volume Management</w:t>
            </w:r>
          </w:p>
          <w:p>
            <w:pPr>
              <w:pStyle w:val="Normal"/>
              <w:rPr>
                <w:sz w:val="18"/>
              </w:rPr>
            </w:pPr>
            <w:r>
              <w:rPr>
                <w:sz w:val="18"/>
              </w:rPr>
            </w:r>
          </w:p>
        </w:tc>
        <w:tc>
          <w:tcPr>
            <w:tcW w:w="630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18"/>
              </w:rPr>
            </w:pPr>
            <w:r>
              <w:rPr>
                <w:sz w:val="18"/>
              </w:rPr>
              <w:t>Receive Hanson consumption information separate from other Aggregated EES meter data files (Actual consumption)</w:t>
            </w:r>
          </w:p>
          <w:p>
            <w:pPr>
              <w:pStyle w:val="Normal"/>
              <w:numPr>
                <w:ilvl w:val="0"/>
                <w:numId w:val="2"/>
              </w:numPr>
              <w:rPr>
                <w:sz w:val="18"/>
              </w:rPr>
            </w:pPr>
            <w:r>
              <w:rPr>
                <w:sz w:val="18"/>
              </w:rPr>
              <w:t>Develop DA customer charges (T&amp;D, Retail Gen, ISO related charges) and provide allocations and expected G/L entries to EPMI Wholesale Power Settlement</w:t>
            </w:r>
          </w:p>
          <w:p>
            <w:pPr>
              <w:pStyle w:val="Normal"/>
              <w:rPr>
                <w:sz w:val="18"/>
              </w:rPr>
            </w:pPr>
            <w:r>
              <w:rPr>
                <w:sz w:val="18"/>
              </w:rPr>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18"/>
              </w:rPr>
            </w:pPr>
            <w:r>
              <w:rPr>
                <w:sz w:val="18"/>
              </w:rPr>
              <w:t xml:space="preserve"> </w:t>
            </w:r>
          </w:p>
          <w:p>
            <w:pPr>
              <w:pStyle w:val="Normal"/>
              <w:rPr>
                <w:sz w:val="18"/>
              </w:rPr>
            </w:pPr>
            <w:r>
              <w:rPr>
                <w:sz w:val="18"/>
              </w:rPr>
            </w:r>
          </w:p>
          <w:p>
            <w:pPr>
              <w:pStyle w:val="Normal"/>
              <w:numPr>
                <w:ilvl w:val="0"/>
                <w:numId w:val="2"/>
              </w:numPr>
              <w:rPr>
                <w:sz w:val="18"/>
              </w:rPr>
            </w:pPr>
            <w:r>
              <w:rPr>
                <w:sz w:val="18"/>
              </w:rPr>
            </w:r>
          </w:p>
          <w:p>
            <w:pPr>
              <w:pStyle w:val="Normal"/>
              <w:rPr>
                <w:sz w:val="18"/>
              </w:rPr>
            </w:pPr>
            <w:r>
              <w:rPr>
                <w:sz w:val="18"/>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EPMI Wholesale Settlements</w:t>
            </w:r>
          </w:p>
        </w:tc>
        <w:tc>
          <w:tcPr>
            <w:tcW w:w="63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18"/>
              </w:rPr>
            </w:pPr>
            <w:r>
              <w:rPr>
                <w:sz w:val="18"/>
              </w:rPr>
              <w:t>Send Customer Invoice to Hanson Cement</w:t>
            </w:r>
          </w:p>
          <w:p>
            <w:pPr>
              <w:pStyle w:val="Normal"/>
              <w:numPr>
                <w:ilvl w:val="0"/>
                <w:numId w:val="4"/>
              </w:numPr>
              <w:rPr>
                <w:sz w:val="18"/>
              </w:rPr>
            </w:pPr>
            <w:r>
              <w:rPr>
                <w:sz w:val="18"/>
              </w:rPr>
              <w:t>Submit Payment to EWS to cover utility T&amp;D costs associated with Hanson Cement</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18"/>
              </w:rPr>
            </w:pPr>
            <w:r>
              <w:rPr>
                <w:sz w:val="18"/>
              </w:rPr>
              <w:t xml:space="preserve"> </w:t>
            </w:r>
          </w:p>
          <w:p>
            <w:pPr>
              <w:pStyle w:val="Normal"/>
              <w:numPr>
                <w:ilvl w:val="0"/>
                <w:numId w:val="4"/>
              </w:numPr>
              <w:rPr>
                <w:sz w:val="18"/>
              </w:rPr>
            </w:pPr>
            <w:r>
              <w:rPr>
                <w:sz w:val="18"/>
              </w:rPr>
              <w:t xml:space="preserve"> </w:t>
            </w:r>
          </w:p>
        </w:tc>
      </w:tr>
    </w:tbl>
    <w:p>
      <w:pPr>
        <w:pStyle w:val="Normal"/>
        <w:rPr/>
      </w:pPr>
      <w:r>
        <w:rPr/>
      </w:r>
    </w:p>
    <w:p>
      <w:pPr>
        <w:pStyle w:val="Normal"/>
        <w:rPr/>
      </w:pPr>
      <w:r>
        <w:rPr/>
      </w:r>
    </w:p>
    <w:p>
      <w:pPr>
        <w:pStyle w:val="Normal"/>
        <w:rPr/>
      </w:pPr>
      <w:r>
        <w:rPr/>
        <w:drawing>
          <wp:inline distT="0" distB="0" distL="0" distR="0">
            <wp:extent cx="8916035" cy="57924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8916035" cy="5792470"/>
                    </a:xfrm>
                    <a:prstGeom prst="rect">
                      <a:avLst/>
                    </a:prstGeom>
                    <a:noFill/>
                  </pic:spPr>
                </pic:pic>
              </a:graphicData>
            </a:graphic>
          </wp:inline>
        </w:drawing>
      </w:r>
    </w:p>
    <w:p>
      <w:pPr>
        <w:pStyle w:val="Normal"/>
        <w:rPr/>
      </w:pPr>
      <w:r>
        <w:rPr/>
      </w:r>
    </w:p>
    <w:sectPr>
      <w:headerReference w:type="default" r:id="rId3"/>
      <w:footerReference w:type="default" r:id="rId4"/>
      <w:type w:val="nextPage"/>
      <w:pgSz w:orient="landscape" w:w="15840" w:h="12240"/>
      <w:pgMar w:left="720" w:right="72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508" w:type="dxa"/>
      <w:jc w:val="start"/>
      <w:tblInd w:w="0" w:type="dxa"/>
      <w:tblLayout w:type="fixed"/>
      <w:tblCellMar>
        <w:top w:w="0" w:type="dxa"/>
        <w:start w:w="108" w:type="dxa"/>
        <w:bottom w:w="0" w:type="dxa"/>
        <w:end w:w="108" w:type="dxa"/>
      </w:tblCellMar>
    </w:tblPr>
    <w:tblGrid>
      <w:gridCol w:w="4584"/>
      <w:gridCol w:w="4584"/>
      <w:gridCol w:w="5340"/>
    </w:tblGrid>
    <w:tr>
      <w:trPr/>
      <w:tc>
        <w:tcPr>
          <w:tcW w:w="4584" w:type="dxa"/>
          <w:tcBorders/>
        </w:tcPr>
        <w:p>
          <w:pPr>
            <w:pStyle w:val="Footer"/>
            <w:rPr/>
          </w:pPr>
          <w:r>
            <w:rPr/>
            <w:fldChar w:fldCharType="begin"/>
          </w:r>
          <w:r>
            <w:rPr/>
            <w:instrText xml:space="preserve"> FILENAME </w:instrText>
          </w:r>
          <w:r>
            <w:rPr/>
            <w:fldChar w:fldCharType="separate"/>
          </w:r>
          <w:r>
            <w:rPr/>
            <w:t>Hanson_Cement.doc</w:t>
          </w:r>
          <w:r>
            <w:rPr/>
            <w:fldChar w:fldCharType="end"/>
          </w:r>
        </w:p>
      </w:tc>
      <w:tc>
        <w:tcPr>
          <w:tcW w:w="4584"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tc>
      <w:tc>
        <w:tcPr>
          <w:tcW w:w="5340"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8:45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Hansen Cement</w:t>
    </w:r>
  </w:p>
  <w:p>
    <w:pPr>
      <w:pStyle w:val="Header"/>
      <w:jc w:val="center"/>
      <w:rPr/>
    </w:pPr>
    <w:r>
      <w:rPr/>
      <w:t>Action Items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2001-09-17T21:10:00Z</dcterms:created>
  <dc:creator>moneil</dc:creator>
  <dc:description/>
  <dc:language>en-CA</dc:language>
  <cp:lastModifiedBy>moneil</cp:lastModifiedBy>
  <dcterms:modified xsi:type="dcterms:W3CDTF">2001-09-18T01:49:00Z</dcterms:modified>
  <cp:revision>14</cp:revision>
  <dc:subject/>
  <dc:title/>
</cp:coreProperties>
</file>