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400" w:leader="none"/>
        </w:tabs>
        <w:suppressAutoHyphens w:val="true"/>
        <w:spacing w:lineRule="exact" w:line="240"/>
        <w:jc w:val="center"/>
        <w:rPr>
          <w:b/>
          <w:spacing w:val="-3"/>
          <w:sz w:val="24"/>
        </w:rPr>
      </w:pPr>
      <w:r>
        <w:rPr>
          <w:b/>
          <w:spacing w:val="-3"/>
          <w:sz w:val="24"/>
        </w:rPr>
        <w:t>Exhibit C</w:t>
      </w:r>
    </w:p>
    <w:p>
      <w:pPr>
        <w:pStyle w:val="Normal"/>
        <w:tabs>
          <w:tab w:val="clear" w:pos="720"/>
          <w:tab w:val="center" w:pos="5400" w:leader="none"/>
        </w:tabs>
        <w:suppressAutoHyphens w:val="true"/>
        <w:spacing w:lineRule="exact" w:line="240"/>
        <w:jc w:val="center"/>
        <w:rPr>
          <w:b/>
          <w:spacing w:val="-3"/>
          <w:sz w:val="24"/>
        </w:rPr>
      </w:pPr>
      <w:r>
        <w:rPr>
          <w:b/>
          <w:spacing w:val="-3"/>
          <w:sz w:val="24"/>
        </w:rPr>
        <w:t>MINIMUM INSURNACE REQUIREMENTS</w:t>
      </w:r>
    </w:p>
    <w:p>
      <w:pPr>
        <w:pStyle w:val="Normal"/>
        <w:tabs>
          <w:tab w:val="clear" w:pos="720"/>
          <w:tab w:val="center" w:pos="5400" w:leader="none"/>
        </w:tabs>
        <w:suppressAutoHyphens w:val="true"/>
        <w:spacing w:lineRule="exact" w:line="240"/>
        <w:jc w:val="both"/>
        <w:rPr>
          <w:b/>
          <w:spacing w:val="-3"/>
          <w:sz w:val="24"/>
        </w:rPr>
      </w:pPr>
      <w:r>
        <w:rPr>
          <w:b/>
          <w:spacing w:val="-3"/>
          <w:sz w:val="24"/>
        </w:rPr>
      </w:r>
    </w:p>
    <w:p>
      <w:pPr>
        <w:pStyle w:val="Normal"/>
        <w:tabs>
          <w:tab w:val="clear" w:pos="720"/>
          <w:tab w:val="center" w:pos="5400" w:leader="none"/>
        </w:tabs>
        <w:suppressAutoHyphens w:val="true"/>
        <w:spacing w:lineRule="exact" w:line="240"/>
        <w:jc w:val="both"/>
        <w:rPr>
          <w:spacing w:val="-3"/>
          <w:sz w:val="24"/>
        </w:rPr>
      </w:pPr>
      <w:r>
        <w:rPr>
          <w:spacing w:val="-3"/>
          <w:sz w:val="24"/>
        </w:rPr>
      </w:r>
    </w:p>
    <w:p>
      <w:pPr>
        <w:pStyle w:val="Normal"/>
        <w:tabs>
          <w:tab w:val="clear" w:pos="720"/>
          <w:tab w:val="center" w:pos="5400" w:leader="none"/>
        </w:tabs>
        <w:suppressAutoHyphens w:val="true"/>
        <w:spacing w:lineRule="exact" w:line="240"/>
        <w:jc w:val="both"/>
        <w:rPr>
          <w:spacing w:val="-2"/>
          <w:sz w:val="24"/>
        </w:rPr>
      </w:pPr>
      <w:r>
        <w:rPr>
          <w:spacing w:val="-3"/>
          <w:sz w:val="24"/>
        </w:rPr>
        <w:tab/>
      </w:r>
    </w:p>
    <w:p>
      <w:pPr>
        <w:pStyle w:val="BodyText"/>
        <w:rPr>
          <w:rFonts w:ascii="Times New Roman" w:hAnsi="Times New Roman" w:cs="Times New Roman"/>
          <w:sz w:val="24"/>
        </w:rPr>
      </w:pPr>
      <w:r>
        <w:rPr>
          <w:rFonts w:cs="Times New Roman" w:ascii="Times New Roman" w:hAnsi="Times New Roman"/>
          <w:sz w:val="24"/>
        </w:rPr>
        <w:t>Hanover shall, beginning with commencement of the Services or any portion thereof, procure and maintain throughout the course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3"/>
          <w:sz w:val="24"/>
        </w:rPr>
      </w:pPr>
      <w:r>
        <w:rPr>
          <w:rFonts w:cs="Times New Roman"/>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 Insurance in full compliance with laws of the state(s)  where the Services are performed.  These policies shall be endorsed to provide: all states coverage, voluntary compensation coverage and occupational disease.  If the Services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Disease Each Employee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C.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General Liability insurance, providing coverage for: explosion, collapse and underground (“XCU”) hazards, damage to property of others; Contractual Liability (particularly the applicable provisions of the "Indemnity" section of this Agreement; Contractor's Protective Liability (if subcontracting is authorized) and Products and Completed Operations (for a minimum of two years after acceptance of the Services).  Watercraft exclusions deleted (if the Services necessitate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b/>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20,000,000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Heading2"/>
        <w:numPr>
          <w:ilvl w:val="0"/>
          <w:numId w:val="2"/>
        </w:numPr>
        <w:rPr>
          <w:rFonts w:ascii="Times New Roman" w:hAnsi="Times New Roman" w:cs="Times New Roman"/>
          <w:sz w:val="24"/>
        </w:rPr>
      </w:pPr>
      <w:r>
        <w:rPr>
          <w:rFonts w:cs="Times New Roman" w:ascii="Times New Roman" w:hAnsi="Times New Roman"/>
          <w:sz w:val="24"/>
        </w:rPr>
        <w:t>Property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3"/>
          <w:sz w:val="24"/>
          <w:u w:val="single"/>
        </w:rPr>
      </w:pPr>
      <w:r>
        <w:rPr>
          <w:rFonts w:cs="Times New Roman"/>
          <w:spacing w:val="-3"/>
          <w:sz w:val="24"/>
          <w:u w:val="single"/>
        </w:rPr>
      </w:r>
    </w:p>
    <w:p>
      <w:pPr>
        <w:pStyle w:val="BodyText"/>
        <w:tabs>
          <w:tab w:val="clear" w:pos="216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24"/>
        </w:rPr>
      </w:pPr>
      <w:r>
        <w:rPr>
          <w:rFonts w:cs="Times New Roman" w:ascii="Times New Roman" w:hAnsi="Times New Roman"/>
          <w:sz w:val="24"/>
        </w:rPr>
        <w:t>Insuring the full replacement cost of the respective property interests of each party against physical loss or damage by ‘all-risk’ perils including wind and flood coverage.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3"/>
          <w:sz w:val="24"/>
        </w:rPr>
      </w:pPr>
      <w:r>
        <w:rPr>
          <w:rFonts w:cs="Times New Roman"/>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G.  Aircraft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Aircraft Liability insurance if the Services necessitate the use of aircraft of any kind.  The policy shall be endorsed to provide coverage for non</w:t>
        <w:noBreakHyphen/>
        <w:t>owned aircraft as well as Guest Voluntary Settlement.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xml:space="preserve">  5,000,000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subcontractor at any tier, vendor, supplier, material dealer and others connected with the Services irrespective of their contractual relationship to Contractor or Company,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submit to Enron at the time Contractor executes this Agreement, a Certificate of Insurance, in form satisfactory to Enron, evidencing that satisfactory coverage of the type and limits set forth hereinabove are in effect.  Policies providing such coverages shall contain provisions that no cancellation or material changes in the policies shall become effective as to Enron’s interest except on thirty (30) days advance written notice thereof to Enron.  Irrespective of the requirements as to insurance to be carried as provided for herein, the insolvency, bankruptcy or failure of any insurance company carrying insurance of Hanover, or the failure of any insurance company to pay claims accruing, or the inadequacy of the limits of the insurance, shall not affect, negate or waive any of the provisions of this Agreement, including, without exception, the indemnity obligations of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policies of insurance, except Workers' Compensation coverages, which are in any way related to the Services and that are secured and maintained by Hanover or its subcontractors, to include Enron, its parent and affiliated companies, and their directors, officers, employees and agents, as Additional Insureds.  Furthermore, Hanover shall waive all rights of recovery against Enron, its parent and affiliated companies which Hanover may have or acquire because of deductible clauses in or inadequacy of limits of, any policies of insurance maintained by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all such policies of insurance which are in any way related to the Services and that are secured and maintained by Contractor or its subcontractors, to include clauses providing that each underwriter shall waive its rights of recovery, under subrogation or otherwise, against Enron,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BodyText"/>
        <w:tabs>
          <w:tab w:val="clear" w:pos="216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2"/>
          <w:sz w:val="24"/>
        </w:rPr>
      </w:pPr>
      <w:r>
        <w:rPr>
          <w:rFonts w:cs="Times New Roman" w:ascii="Times New Roman" w:hAnsi="Times New Roman"/>
          <w:spacing w:val="-2"/>
          <w:sz w:val="24"/>
        </w:rPr>
        <w:t>All policies to be furnished in accordance with this Exhibit C shall be endorsed to apply as primary and without right of contribution from any similar coverages which may be maintained by Enron for all work governed by this Agreement.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upperLetter"/>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outlineLvl w:val="0"/>
    </w:pPr>
    <w:rPr>
      <w:rFonts w:ascii="Arial" w:hAnsi="Arial" w:cs="Arial"/>
      <w:b/>
      <w:spacing w:val="-2"/>
      <w:sz w:val="18"/>
      <w:u w:val="single"/>
    </w:rPr>
  </w:style>
  <w:style w:type="paragraph" w:styleId="Heading2">
    <w:name w:val="heading 2"/>
    <w:basedOn w:val="Normal"/>
    <w:next w:val="Normal"/>
    <w:qFormat/>
    <w:pPr>
      <w:keepNext w:val="true"/>
      <w:numPr>
        <w:ilvl w:val="1"/>
        <w:numId w:val="1"/>
      </w:num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outlineLvl w:val="1"/>
    </w:pPr>
    <w:rPr>
      <w:rFonts w:ascii="Arial" w:hAnsi="Arial" w:cs="Arial"/>
      <w:spacing w:val="-3"/>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rFonts w:ascii="Arial" w:hAnsi="Arial" w:cs="Arial"/>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rFonts w:ascii="Arial" w:hAnsi="Arial" w:cs="Arial"/>
      <w:b/>
      <w:spacing w:val="-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1999-08-25T18:20:00Z</dcterms:created>
  <dc:creator>dmarsha</dc:creator>
  <dc:description/>
  <dc:language>en-CA</dc:language>
  <cp:lastModifiedBy>gnemec</cp:lastModifiedBy>
  <cp:lastPrinted>1999-08-26T09:17:00Z</cp:lastPrinted>
  <dcterms:modified xsi:type="dcterms:W3CDTF">1999-08-26T11:49:00Z</dcterms:modified>
  <cp:revision>6</cp:revision>
  <dc:subject/>
  <dc:title> </dc:title>
</cp:coreProperties>
</file>