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Revised 11/10/99 5:00 PM</w:t>
      </w:r>
    </w:p>
    <w:p>
      <w:pPr>
        <w:pStyle w:val="Normal"/>
        <w:rPr/>
      </w:pPr>
      <w:r>
        <w:rPr/>
        <w:t>(3</w:t>
      </w:r>
      <w:r>
        <w:rPr>
          <w:vertAlign w:val="superscript"/>
        </w:rPr>
        <w:t>rd</w:t>
      </w:r>
      <w:r>
        <w:rPr/>
        <w:t xml:space="preserve"> Amended filing 6/8/99 @ 5:00 PM)</w:t>
      </w:r>
    </w:p>
    <w:p>
      <w:pPr>
        <w:pStyle w:val="Heading1"/>
        <w:ind w:hanging="0" w:start="0"/>
        <w:rPr/>
      </w:pPr>
      <w:r>
        <w:rPr/>
        <w:t>AMENDED LIST</w:t>
      </w:r>
    </w:p>
    <w:p>
      <w:pPr>
        <w:pStyle w:val="Normal"/>
        <w:jc w:val="center"/>
        <w:rPr>
          <w:rFonts w:ascii="Arial" w:hAnsi="Arial" w:cs="Arial"/>
          <w:b/>
        </w:rPr>
      </w:pPr>
      <w:r>
        <w:rPr>
          <w:rFonts w:cs="Arial" w:ascii="Arial" w:hAnsi="Arial"/>
          <w:b/>
        </w:rPr>
        <w:t>SIGNERS OF AMBASSADOR CHARLENE BARSHEFSKY LETTER 6/8/99</w:t>
      </w:r>
    </w:p>
    <w:p>
      <w:pPr>
        <w:pStyle w:val="Normal"/>
        <w:jc w:val="center"/>
        <w:rPr>
          <w:rFonts w:ascii="Arial" w:hAnsi="Arial" w:cs="Arial"/>
          <w:b/>
        </w:rPr>
      </w:pPr>
      <w:r>
        <w:rPr>
          <w:rFonts w:cs="Arial" w:ascii="Arial" w:hAnsi="Arial"/>
          <w:b/>
        </w:rPr>
        <w:t>43 Members of the US WTO Energy Services Coalition</w:t>
      </w:r>
    </w:p>
    <w:p>
      <w:pPr>
        <w:pStyle w:val="Normal"/>
        <w:jc w:val="center"/>
        <w:rPr>
          <w:rFonts w:ascii="Arial" w:hAnsi="Arial" w:cs="Arial"/>
          <w:b/>
        </w:rPr>
      </w:pPr>
      <w:r>
        <w:rPr>
          <w:rFonts w:cs="Arial" w:ascii="Arial" w:hAnsi="Arial"/>
          <w:b/>
        </w:rPr>
      </w:r>
    </w:p>
    <w:p>
      <w:pPr>
        <w:pStyle w:val="Heading4"/>
        <w:ind w:hanging="0" w:start="0"/>
        <w:rPr>
          <w:rFonts w:ascii="Arial" w:hAnsi="Arial" w:cs="Arial"/>
          <w:lang w:val="en-US"/>
        </w:rPr>
      </w:pPr>
      <w:r>
        <w:rPr>
          <w:rFonts w:cs="Arial" w:ascii="Arial" w:hAnsi="Arial"/>
          <w:lang w:val="en-US"/>
        </w:rPr>
        <w:t>ABB</w:t>
      </w:r>
    </w:p>
    <w:p>
      <w:pPr>
        <w:pStyle w:val="Heading4"/>
        <w:ind w:hanging="0" w:start="0"/>
        <w:rPr>
          <w:rFonts w:ascii="Arial" w:hAnsi="Arial" w:cs="Arial"/>
          <w:lang w:val="en-US"/>
        </w:rPr>
      </w:pPr>
      <w:r>
        <w:rPr>
          <w:rFonts w:cs="Arial" w:ascii="Arial" w:hAnsi="Arial"/>
          <w:lang w:val="en-US"/>
        </w:rPr>
        <w:t>Allied Signal</w:t>
      </w:r>
    </w:p>
    <w:p>
      <w:pPr>
        <w:pStyle w:val="Normal"/>
        <w:rPr>
          <w:rFonts w:ascii="Arial" w:hAnsi="Arial" w:cs="Arial"/>
        </w:rPr>
      </w:pPr>
      <w:r>
        <w:rPr>
          <w:rFonts w:cs="Arial" w:ascii="Arial" w:hAnsi="Arial"/>
        </w:rPr>
        <w:t>American Wind Energy Association</w:t>
      </w:r>
    </w:p>
    <w:p>
      <w:pPr>
        <w:pStyle w:val="Normal"/>
        <w:rPr>
          <w:rFonts w:ascii="Arial" w:hAnsi="Arial" w:cs="Arial"/>
        </w:rPr>
      </w:pPr>
      <w:r>
        <w:rPr>
          <w:rFonts w:cs="Arial" w:ascii="Arial" w:hAnsi="Arial"/>
        </w:rPr>
        <w:t>American Petroleum Institute</w:t>
      </w:r>
    </w:p>
    <w:p>
      <w:pPr>
        <w:pStyle w:val="Normal"/>
        <w:rPr>
          <w:rFonts w:ascii="Arial" w:hAnsi="Arial" w:cs="Arial"/>
        </w:rPr>
      </w:pPr>
      <w:r>
        <w:rPr>
          <w:rFonts w:cs="Arial" w:ascii="Arial" w:hAnsi="Arial"/>
        </w:rPr>
        <w:t>ARCO</w:t>
      </w:r>
    </w:p>
    <w:p>
      <w:pPr>
        <w:pStyle w:val="BodyText3"/>
        <w:rPr>
          <w:rFonts w:ascii="Arial" w:hAnsi="Arial" w:cs="Arial"/>
          <w:lang w:val="en-US"/>
        </w:rPr>
      </w:pPr>
      <w:r>
        <w:rPr>
          <w:rFonts w:cs="Arial" w:ascii="Arial" w:hAnsi="Arial"/>
          <w:lang w:val="en-US"/>
        </w:rPr>
        <w:t>Baker Hughes, Inc.</w:t>
      </w:r>
    </w:p>
    <w:p>
      <w:pPr>
        <w:pStyle w:val="Heading4"/>
        <w:ind w:hanging="0" w:start="0"/>
        <w:rPr>
          <w:rFonts w:ascii="Arial" w:hAnsi="Arial" w:cs="Arial"/>
          <w:lang w:val="en-US"/>
        </w:rPr>
      </w:pPr>
      <w:r>
        <w:rPr>
          <w:rFonts w:cs="Arial" w:ascii="Arial" w:hAnsi="Arial"/>
          <w:lang w:val="en-US"/>
        </w:rPr>
        <w:t>BP AMOCO Corporation</w:t>
      </w:r>
    </w:p>
    <w:p>
      <w:pPr>
        <w:pStyle w:val="Heading4"/>
        <w:ind w:hanging="0" w:start="0"/>
        <w:rPr>
          <w:rFonts w:ascii="Arial" w:hAnsi="Arial" w:cs="Arial"/>
          <w:lang w:val="en-US"/>
        </w:rPr>
      </w:pPr>
      <w:r>
        <w:rPr>
          <w:rFonts w:cs="Arial" w:ascii="Arial" w:hAnsi="Arial"/>
          <w:lang w:val="en-US"/>
        </w:rPr>
        <w:t>Business Council for Sustainable Energy</w:t>
      </w:r>
    </w:p>
    <w:p>
      <w:pPr>
        <w:pStyle w:val="Normal"/>
        <w:rPr>
          <w:rFonts w:ascii="Arial" w:hAnsi="Arial" w:cs="Arial"/>
        </w:rPr>
      </w:pPr>
      <w:r>
        <w:rPr>
          <w:rFonts w:cs="Arial" w:ascii="Arial" w:hAnsi="Arial"/>
        </w:rPr>
        <w:t>Capitol Strategies</w:t>
      </w:r>
    </w:p>
    <w:p>
      <w:pPr>
        <w:pStyle w:val="Normal"/>
        <w:rPr>
          <w:rFonts w:ascii="Arial" w:hAnsi="Arial" w:cs="Arial"/>
        </w:rPr>
      </w:pPr>
      <w:r>
        <w:rPr>
          <w:rFonts w:cs="Arial" w:ascii="Arial" w:hAnsi="Arial"/>
        </w:rPr>
        <w:t>The Chevron Companies</w:t>
      </w:r>
    </w:p>
    <w:p>
      <w:pPr>
        <w:pStyle w:val="Heading4"/>
        <w:ind w:hanging="0" w:start="0"/>
        <w:rPr>
          <w:rFonts w:ascii="Arial" w:hAnsi="Arial" w:cs="Arial"/>
          <w:lang w:val="en-US"/>
        </w:rPr>
      </w:pPr>
      <w:r>
        <w:rPr>
          <w:rFonts w:cs="Arial" w:ascii="Arial" w:hAnsi="Arial"/>
          <w:lang w:val="en-US"/>
        </w:rPr>
        <w:t>CMS Energy</w:t>
      </w:r>
    </w:p>
    <w:p>
      <w:pPr>
        <w:pStyle w:val="Heading4"/>
        <w:ind w:hanging="0" w:start="0"/>
        <w:rPr>
          <w:rFonts w:ascii="Arial" w:hAnsi="Arial" w:cs="Arial"/>
          <w:b w:val="false"/>
          <w:lang w:val="en-US"/>
        </w:rPr>
      </w:pPr>
      <w:r>
        <w:rPr>
          <w:rFonts w:cs="Arial" w:ascii="Arial" w:hAnsi="Arial"/>
          <w:b w:val="false"/>
          <w:lang w:val="en-US"/>
        </w:rPr>
        <w:t>Consolidated Natural Gas Company</w:t>
      </w:r>
    </w:p>
    <w:p>
      <w:pPr>
        <w:pStyle w:val="Normal"/>
        <w:rPr>
          <w:rFonts w:ascii="Arial" w:hAnsi="Arial" w:cs="Arial"/>
        </w:rPr>
      </w:pPr>
      <w:r>
        <w:rPr>
          <w:rFonts w:cs="Arial" w:ascii="Arial" w:hAnsi="Arial"/>
        </w:rPr>
        <w:t>Coalition of Service Industries (CSI)</w:t>
      </w:r>
    </w:p>
    <w:p>
      <w:pPr>
        <w:pStyle w:val="Normal"/>
        <w:rPr>
          <w:rFonts w:ascii="Arial" w:hAnsi="Arial" w:cs="Arial"/>
        </w:rPr>
      </w:pPr>
      <w:r>
        <w:rPr>
          <w:rFonts w:cs="Arial" w:ascii="Arial" w:hAnsi="Arial"/>
        </w:rPr>
        <w:t>Edison Electric Institute</w:t>
      </w:r>
    </w:p>
    <w:p>
      <w:pPr>
        <w:pStyle w:val="Normal"/>
        <w:rPr>
          <w:rFonts w:ascii="Arial" w:hAnsi="Arial" w:cs="Arial"/>
        </w:rPr>
      </w:pPr>
      <w:r>
        <w:rPr>
          <w:rFonts w:cs="Arial" w:ascii="Arial" w:hAnsi="Arial"/>
        </w:rPr>
        <w:t>EDS</w:t>
      </w:r>
    </w:p>
    <w:p>
      <w:pPr>
        <w:pStyle w:val="Normal"/>
        <w:rPr>
          <w:rFonts w:ascii="Arial" w:hAnsi="Arial" w:cs="Arial"/>
        </w:rPr>
      </w:pPr>
      <w:r>
        <w:rPr>
          <w:rFonts w:cs="Arial" w:ascii="Arial" w:hAnsi="Arial"/>
        </w:rPr>
        <w:t>Electric Power Supply Association</w:t>
      </w:r>
    </w:p>
    <w:p>
      <w:pPr>
        <w:pStyle w:val="Normal"/>
        <w:rPr>
          <w:rFonts w:ascii="Arial" w:hAnsi="Arial" w:cs="Arial"/>
        </w:rPr>
      </w:pPr>
      <w:r>
        <w:rPr>
          <w:rFonts w:cs="Arial" w:ascii="Arial" w:hAnsi="Arial"/>
        </w:rPr>
        <w:t>El Paso Energy</w:t>
      </w:r>
    </w:p>
    <w:p>
      <w:pPr>
        <w:pStyle w:val="Normal"/>
        <w:rPr>
          <w:rFonts w:ascii="Arial" w:hAnsi="Arial" w:cs="Arial"/>
          <w:b/>
        </w:rPr>
      </w:pPr>
      <w:r>
        <w:rPr>
          <w:rFonts w:cs="Arial" w:ascii="Arial" w:hAnsi="Arial"/>
          <w:b/>
        </w:rPr>
        <w:t>Emerson Electric Co.</w:t>
      </w:r>
    </w:p>
    <w:p>
      <w:pPr>
        <w:pStyle w:val="Normal"/>
        <w:rPr>
          <w:rFonts w:ascii="Arial" w:hAnsi="Arial" w:cs="Arial"/>
        </w:rPr>
      </w:pPr>
      <w:r>
        <w:rPr>
          <w:rFonts w:cs="Arial" w:ascii="Arial" w:hAnsi="Arial"/>
        </w:rPr>
        <w:t>Enron Corp.</w:t>
      </w:r>
    </w:p>
    <w:p>
      <w:pPr>
        <w:pStyle w:val="BodyText3"/>
        <w:rPr>
          <w:rFonts w:ascii="Arial" w:hAnsi="Arial" w:cs="Arial"/>
          <w:lang w:val="en-US"/>
        </w:rPr>
      </w:pPr>
      <w:r>
        <w:rPr>
          <w:rFonts w:cs="Arial" w:ascii="Arial" w:hAnsi="Arial"/>
          <w:lang w:val="en-US"/>
        </w:rPr>
        <w:t>EZ Solutions, Inc.</w:t>
      </w:r>
    </w:p>
    <w:p>
      <w:pPr>
        <w:pStyle w:val="Normal"/>
        <w:rPr>
          <w:rFonts w:ascii="Arial" w:hAnsi="Arial" w:cs="Arial"/>
        </w:rPr>
      </w:pPr>
      <w:r>
        <w:rPr>
          <w:rFonts w:cs="Arial" w:ascii="Arial" w:hAnsi="Arial"/>
        </w:rPr>
        <w:t>General Electric</w:t>
      </w:r>
    </w:p>
    <w:p>
      <w:pPr>
        <w:pStyle w:val="Normal"/>
        <w:rPr>
          <w:rFonts w:ascii="Arial" w:hAnsi="Arial" w:cs="Arial"/>
        </w:rPr>
      </w:pPr>
      <w:r>
        <w:rPr>
          <w:rFonts w:cs="Arial" w:ascii="Arial" w:hAnsi="Arial"/>
        </w:rPr>
        <w:t>Halliburton Company</w:t>
      </w:r>
    </w:p>
    <w:p>
      <w:pPr>
        <w:pStyle w:val="Normal"/>
        <w:rPr>
          <w:rFonts w:ascii="Arial" w:hAnsi="Arial" w:cs="Arial"/>
        </w:rPr>
      </w:pPr>
      <w:r>
        <w:rPr>
          <w:rFonts w:cs="Arial" w:ascii="Arial" w:hAnsi="Arial"/>
        </w:rPr>
        <w:t>International Association of Drilling Contractors - IADC</w:t>
      </w:r>
    </w:p>
    <w:p>
      <w:pPr>
        <w:pStyle w:val="Normal"/>
        <w:rPr>
          <w:rFonts w:ascii="Arial" w:hAnsi="Arial" w:cs="Arial"/>
        </w:rPr>
      </w:pPr>
      <w:r>
        <w:rPr>
          <w:rFonts w:cs="Arial" w:ascii="Arial" w:hAnsi="Arial"/>
        </w:rPr>
        <w:t>Interstate Natural Gas Association of America -INGAA</w:t>
      </w:r>
    </w:p>
    <w:p>
      <w:pPr>
        <w:pStyle w:val="Normal"/>
        <w:rPr>
          <w:rFonts w:ascii="Arial" w:hAnsi="Arial" w:cs="Arial"/>
        </w:rPr>
      </w:pPr>
      <w:r>
        <w:rPr>
          <w:rFonts w:cs="Arial" w:ascii="Arial" w:hAnsi="Arial"/>
        </w:rPr>
        <w:t>International Gas Center</w:t>
      </w:r>
    </w:p>
    <w:p>
      <w:pPr>
        <w:pStyle w:val="Normal"/>
        <w:rPr>
          <w:rFonts w:ascii="Arial" w:hAnsi="Arial" w:cs="Arial"/>
        </w:rPr>
      </w:pPr>
      <w:r>
        <w:rPr>
          <w:rFonts w:cs="Arial" w:ascii="Arial" w:hAnsi="Arial"/>
        </w:rPr>
        <w:t>Independent Petroleum Association of America - IPAA</w:t>
      </w:r>
    </w:p>
    <w:p>
      <w:pPr>
        <w:pStyle w:val="Heading4"/>
        <w:ind w:hanging="0" w:start="0"/>
        <w:rPr>
          <w:rFonts w:ascii="Arial" w:hAnsi="Arial" w:cs="Arial"/>
          <w:lang w:val="en-US"/>
        </w:rPr>
      </w:pPr>
      <w:r>
        <w:rPr>
          <w:rFonts w:cs="Arial" w:ascii="Arial" w:hAnsi="Arial"/>
          <w:lang w:val="en-US"/>
        </w:rPr>
        <w:t>Kelley Drye &amp; Warren</w:t>
      </w:r>
    </w:p>
    <w:p>
      <w:pPr>
        <w:pStyle w:val="Heading4"/>
        <w:ind w:hanging="0" w:start="0"/>
        <w:rPr>
          <w:rFonts w:ascii="Arial" w:hAnsi="Arial" w:cs="Arial"/>
          <w:lang w:val="en-US"/>
        </w:rPr>
      </w:pPr>
      <w:r>
        <w:rPr>
          <w:rFonts w:cs="Arial" w:ascii="Arial" w:hAnsi="Arial"/>
          <w:lang w:val="en-US"/>
        </w:rPr>
        <w:t>McDermott Inc.</w:t>
      </w:r>
    </w:p>
    <w:p>
      <w:pPr>
        <w:pStyle w:val="Normal"/>
        <w:rPr>
          <w:rFonts w:ascii="Arial" w:hAnsi="Arial" w:cs="Arial"/>
        </w:rPr>
      </w:pPr>
      <w:r>
        <w:rPr>
          <w:rFonts w:cs="Arial" w:ascii="Arial" w:hAnsi="Arial"/>
        </w:rPr>
        <w:t>Mid-American Energy Holdings Company</w:t>
      </w:r>
    </w:p>
    <w:p>
      <w:pPr>
        <w:pStyle w:val="BodyText3"/>
        <w:rPr>
          <w:rFonts w:ascii="Arial" w:hAnsi="Arial" w:cs="Arial"/>
          <w:lang w:val="en-US"/>
        </w:rPr>
      </w:pPr>
      <w:r>
        <w:rPr>
          <w:rFonts w:cs="Arial" w:ascii="Arial" w:hAnsi="Arial"/>
          <w:lang w:val="en-US"/>
        </w:rPr>
        <w:t>National Association of Energy Services Companies (NAESCO)</w:t>
      </w:r>
    </w:p>
    <w:p>
      <w:pPr>
        <w:pStyle w:val="Normal"/>
        <w:rPr>
          <w:rFonts w:ascii="Arial" w:hAnsi="Arial" w:cs="Arial"/>
        </w:rPr>
      </w:pPr>
      <w:r>
        <w:rPr>
          <w:rFonts w:cs="Arial" w:ascii="Arial" w:hAnsi="Arial"/>
        </w:rPr>
        <w:t>National Foreign Trade Council - NFTC</w:t>
      </w:r>
    </w:p>
    <w:p>
      <w:pPr>
        <w:pStyle w:val="Normal"/>
        <w:rPr>
          <w:rFonts w:ascii="Arial" w:hAnsi="Arial" w:cs="Arial"/>
          <w:b/>
        </w:rPr>
      </w:pPr>
      <w:r>
        <w:rPr>
          <w:rFonts w:cs="Arial" w:ascii="Arial" w:hAnsi="Arial"/>
          <w:b/>
        </w:rPr>
        <w:t>National Electrical Manufacturers Association (NEMA)</w:t>
      </w:r>
    </w:p>
    <w:p>
      <w:pPr>
        <w:pStyle w:val="Normal"/>
        <w:rPr>
          <w:rFonts w:ascii="Arial" w:hAnsi="Arial" w:cs="Arial"/>
        </w:rPr>
      </w:pPr>
      <w:r>
        <w:rPr>
          <w:rFonts w:cs="Arial" w:ascii="Arial" w:hAnsi="Arial"/>
        </w:rPr>
        <w:t>New York Mercantile Exchange</w:t>
      </w:r>
    </w:p>
    <w:p>
      <w:pPr>
        <w:pStyle w:val="Heading4"/>
        <w:ind w:hanging="0" w:start="0"/>
        <w:rPr>
          <w:rFonts w:ascii="Arial" w:hAnsi="Arial" w:cs="Arial"/>
          <w:lang w:val="en-US"/>
        </w:rPr>
      </w:pPr>
      <w:r>
        <w:rPr>
          <w:rFonts w:cs="Arial" w:ascii="Arial" w:hAnsi="Arial"/>
          <w:lang w:val="en-US"/>
        </w:rPr>
        <w:t>Rockwell Automation</w:t>
      </w:r>
    </w:p>
    <w:p>
      <w:pPr>
        <w:pStyle w:val="Normal"/>
        <w:rPr>
          <w:rFonts w:ascii="Arial" w:hAnsi="Arial" w:cs="Arial"/>
        </w:rPr>
      </w:pPr>
      <w:r>
        <w:rPr>
          <w:rFonts w:cs="Arial" w:ascii="Arial" w:hAnsi="Arial"/>
        </w:rPr>
        <w:t>Sarkeys Energy Center, University of Oklahoma</w:t>
      </w:r>
    </w:p>
    <w:p>
      <w:pPr>
        <w:pStyle w:val="Normal"/>
        <w:rPr>
          <w:rFonts w:ascii="Arial" w:hAnsi="Arial" w:cs="Arial"/>
        </w:rPr>
      </w:pPr>
      <w:r>
        <w:rPr>
          <w:rFonts w:cs="Arial" w:ascii="Arial" w:hAnsi="Arial"/>
        </w:rPr>
        <w:t>Siemens</w:t>
      </w:r>
    </w:p>
    <w:p>
      <w:pPr>
        <w:pStyle w:val="Normal"/>
        <w:rPr>
          <w:rFonts w:ascii="Arial" w:hAnsi="Arial" w:cs="Arial"/>
        </w:rPr>
      </w:pPr>
      <w:r>
        <w:rPr>
          <w:rFonts w:cs="Arial" w:ascii="Arial" w:hAnsi="Arial"/>
        </w:rPr>
        <w:t>United States Energy Association - USEA</w:t>
      </w:r>
    </w:p>
    <w:p>
      <w:pPr>
        <w:pStyle w:val="Normal"/>
        <w:rPr>
          <w:rFonts w:ascii="Arial" w:hAnsi="Arial" w:cs="Arial"/>
        </w:rPr>
      </w:pPr>
      <w:r>
        <w:rPr>
          <w:rFonts w:cs="Arial" w:ascii="Arial" w:hAnsi="Arial"/>
        </w:rPr>
        <w:t>US ASEAN Business Council</w:t>
      </w:r>
    </w:p>
    <w:p>
      <w:pPr>
        <w:pStyle w:val="Normal"/>
        <w:rPr>
          <w:rFonts w:ascii="Arial" w:hAnsi="Arial" w:cs="Arial"/>
        </w:rPr>
      </w:pPr>
      <w:r>
        <w:rPr>
          <w:rFonts w:cs="Arial" w:ascii="Arial" w:hAnsi="Arial"/>
        </w:rPr>
        <w:t>US Chamber of Commerce</w:t>
      </w:r>
    </w:p>
    <w:p>
      <w:pPr>
        <w:pStyle w:val="Normal"/>
        <w:rPr>
          <w:rFonts w:ascii="Arial" w:hAnsi="Arial" w:cs="Arial"/>
        </w:rPr>
      </w:pPr>
      <w:r>
        <w:rPr>
          <w:rFonts w:cs="Arial" w:ascii="Arial" w:hAnsi="Arial"/>
        </w:rPr>
        <w:t>United States Council for International Business (USCIB)</w:t>
      </w:r>
    </w:p>
    <w:p>
      <w:pPr>
        <w:pStyle w:val="Normal"/>
        <w:rPr>
          <w:rFonts w:ascii="Arial" w:hAnsi="Arial" w:cs="Arial"/>
        </w:rPr>
      </w:pPr>
      <w:r>
        <w:rPr>
          <w:rFonts w:cs="Arial" w:ascii="Arial" w:hAnsi="Arial"/>
        </w:rPr>
        <w:t>U.S. Oil &amp; Gas Association</w:t>
      </w:r>
    </w:p>
    <w:p>
      <w:pPr>
        <w:pStyle w:val="Normal"/>
        <w:rPr>
          <w:rFonts w:ascii="Arial" w:hAnsi="Arial" w:cs="Arial"/>
        </w:rPr>
      </w:pPr>
      <w:r>
        <w:rPr>
          <w:rFonts w:cs="Arial" w:ascii="Arial" w:hAnsi="Arial"/>
        </w:rPr>
        <w:t>US Pacific Economic Cooperation Council – US-PECC</w:t>
      </w:r>
    </w:p>
    <w:p>
      <w:pPr>
        <w:pStyle w:val="Normal"/>
        <w:rPr>
          <w:rFonts w:ascii="Arial" w:hAnsi="Arial" w:cs="Arial"/>
        </w:rPr>
      </w:pPr>
      <w:r>
        <w:rPr>
          <w:rFonts w:cs="Arial" w:ascii="Arial" w:hAnsi="Arial"/>
        </w:rPr>
        <w:t>Westinghouse</w:t>
      </w:r>
    </w:p>
    <w:p>
      <w:pPr>
        <w:pStyle w:val="Normal"/>
        <w:rPr>
          <w:rFonts w:ascii="Arial" w:hAnsi="Arial" w:cs="Arial"/>
        </w:rPr>
      </w:pPr>
      <w:r>
        <w:rPr>
          <w:rFonts w:cs="Arial" w:ascii="Arial" w:hAnsi="Arial"/>
        </w:rPr>
      </w:r>
    </w:p>
    <w:p>
      <w:pPr>
        <w:pStyle w:val="Normal"/>
        <w:rPr>
          <w:rFonts w:ascii="Arial" w:hAnsi="Arial" w:cs="Arial"/>
          <w:b/>
          <w:sz w:val="18"/>
          <w:u w:val="single"/>
        </w:rPr>
      </w:pPr>
      <w:r>
        <w:rPr>
          <w:rFonts w:cs="Arial" w:ascii="Arial" w:hAnsi="Arial"/>
          <w:b/>
          <w:sz w:val="18"/>
          <w:u w:val="single"/>
        </w:rPr>
        <w:t>(New members are in bold)</w:t>
      </w:r>
      <w:r>
        <w:br w:type="page"/>
      </w:r>
    </w:p>
    <w:p>
      <w:pPr>
        <w:pStyle w:val="Normal"/>
        <w:rPr>
          <w:rFonts w:ascii="Arial" w:hAnsi="Arial" w:cs="Arial"/>
          <w:b/>
          <w:color w:val="000000"/>
          <w:sz w:val="18"/>
          <w:u w:val="single"/>
          <w:lang w:val="en-CA" w:eastAsia="en-US"/>
        </w:rPr>
      </w:pPr>
      <w:r>
        <w:rPr>
          <w:rFonts w:cs="Arial" w:ascii="Arial" w:hAnsi="Arial"/>
          <w:b/>
          <w:color w:val="000000"/>
          <w:sz w:val="18"/>
          <w:u w:val="single"/>
          <w:lang w:val="en-CA" w:eastAsia="en-US"/>
        </w:rPr>
      </w:r>
    </w:p>
    <w:p>
      <w:pPr>
        <w:pStyle w:val="Heading"/>
        <w:rPr>
          <w:rFonts w:ascii="Arial" w:hAnsi="Arial" w:cs="Arial"/>
          <w:sz w:val="22"/>
        </w:rPr>
      </w:pPr>
      <w:r>
        <w:rPr>
          <w:rFonts w:cs="Arial" w:ascii="Arial" w:hAnsi="Arial"/>
          <w:sz w:val="22"/>
        </w:rPr>
        <w:t>ENERGY SERVICES: OPEN MARKETS BENEFIT ALL</w:t>
      </w:r>
    </w:p>
    <w:p>
      <w:pPr>
        <w:pStyle w:val="Normal"/>
        <w:ind w:hanging="720" w:start="720" w:end="0"/>
        <w:rPr>
          <w:rFonts w:ascii="Arial" w:hAnsi="Arial" w:cs="Arial"/>
          <w:sz w:val="22"/>
        </w:rPr>
      </w:pPr>
      <w:r>
        <w:rPr>
          <w:rFonts w:cs="Arial" w:ascii="Arial" w:hAnsi="Arial"/>
          <w:sz w:val="22"/>
        </w:rPr>
      </w:r>
    </w:p>
    <w:p>
      <w:pPr>
        <w:pStyle w:val="Normal"/>
        <w:ind w:hanging="720" w:start="720" w:end="0"/>
        <w:rPr/>
      </w:pPr>
      <w:r>
        <w:rPr>
          <w:rFonts w:eastAsia="Symbol" w:cs="Symbol" w:ascii="Symbol" w:hAnsi="Symbol"/>
          <w:sz w:val="22"/>
        </w:rPr>
        <w:sym w:font="Symbol" w:char="f0b7"/>
      </w:r>
      <w:r>
        <w:rPr>
          <w:rFonts w:cs="Arial" w:ascii="Arial" w:hAnsi="Arial"/>
          <w:sz w:val="22"/>
        </w:rPr>
        <w:tab/>
      </w:r>
      <w:r>
        <w:rPr>
          <w:rFonts w:cs="Arial" w:ascii="Arial" w:hAnsi="Arial"/>
          <w:b/>
          <w:sz w:val="22"/>
        </w:rPr>
        <w:t>Energy services comprise service activities related to the development, extraction, production, distribution, marketing, consumption and management of energy products, including coal, electricity, gas, nuclear, oil, and renewables.</w:t>
      </w:r>
      <w:r>
        <w:rPr>
          <w:rFonts w:cs="Arial" w:ascii="Arial" w:hAnsi="Arial"/>
          <w:sz w:val="22"/>
        </w:rPr>
        <w:t xml:space="preserve">  As such, energy services cut across a variety of other services, including consulting, engineering, environmental, equipment-related, financial, information technology, and resource assessment.</w:t>
      </w:r>
    </w:p>
    <w:p>
      <w:pPr>
        <w:pStyle w:val="Normal"/>
        <w:ind w:hanging="720" w:start="720" w:end="0"/>
        <w:rPr>
          <w:rFonts w:ascii="Arial" w:hAnsi="Arial" w:cs="Arial"/>
          <w:sz w:val="22"/>
        </w:rPr>
      </w:pPr>
      <w:r>
        <w:rPr>
          <w:rFonts w:cs="Arial" w:ascii="Arial" w:hAnsi="Arial"/>
          <w:sz w:val="22"/>
        </w:rPr>
      </w:r>
    </w:p>
    <w:p>
      <w:pPr>
        <w:pStyle w:val="Normal"/>
        <w:ind w:hanging="720" w:start="720" w:end="0"/>
        <w:rPr/>
      </w:pPr>
      <w:r>
        <w:rPr>
          <w:rFonts w:eastAsia="Symbol" w:cs="Symbol" w:ascii="Symbol" w:hAnsi="Symbol"/>
          <w:sz w:val="22"/>
        </w:rPr>
        <w:sym w:font="Symbol" w:char="f0b7"/>
      </w:r>
      <w:r>
        <w:rPr>
          <w:rFonts w:cs="Arial" w:ascii="Arial" w:hAnsi="Arial"/>
          <w:sz w:val="22"/>
        </w:rPr>
        <w:tab/>
      </w:r>
      <w:r>
        <w:rPr>
          <w:rFonts w:cs="Arial" w:ascii="Arial" w:hAnsi="Arial"/>
          <w:b/>
          <w:sz w:val="22"/>
        </w:rPr>
        <w:t>A thriving energy services sector is critical to economic well-being.</w:t>
      </w:r>
      <w:r>
        <w:rPr>
          <w:rFonts w:cs="Arial" w:ascii="Arial" w:hAnsi="Arial"/>
          <w:sz w:val="22"/>
        </w:rPr>
        <w:t xml:space="preserve">  Global energy demand is projected to grow by about 45 percent by 2015.  Some 2 billion people – mostly in the developing world – do not have access to commercial energy.  There is a high correlation between growth of prudent energy usage and increased economic growth, life expectancy, and standards of living.  According to the World Bank, increased efficiencies of infrastructure provision – including energy – could generate hundreds of billion of dollars in annual savings to governments and energy users.</w:t>
      </w:r>
    </w:p>
    <w:p>
      <w:pPr>
        <w:pStyle w:val="Normal"/>
        <w:ind w:hanging="720" w:start="720" w:end="0"/>
        <w:rPr>
          <w:rFonts w:ascii="Arial" w:hAnsi="Arial" w:cs="Arial"/>
          <w:sz w:val="22"/>
        </w:rPr>
      </w:pPr>
      <w:r>
        <w:rPr>
          <w:rFonts w:cs="Arial" w:ascii="Arial" w:hAnsi="Arial"/>
          <w:sz w:val="22"/>
        </w:rPr>
      </w:r>
    </w:p>
    <w:p>
      <w:pPr>
        <w:pStyle w:val="Normal"/>
        <w:ind w:hanging="720" w:start="720" w:end="0"/>
        <w:rPr/>
      </w:pPr>
      <w:r>
        <w:rPr>
          <w:rFonts w:eastAsia="Symbol" w:cs="Symbol" w:ascii="Symbol" w:hAnsi="Symbol"/>
          <w:sz w:val="22"/>
        </w:rPr>
        <w:sym w:font="Symbol" w:char="f0b7"/>
      </w:r>
      <w:r>
        <w:rPr>
          <w:rFonts w:cs="Arial" w:ascii="Arial" w:hAnsi="Arial"/>
          <w:sz w:val="22"/>
        </w:rPr>
        <w:tab/>
      </w:r>
      <w:r>
        <w:rPr>
          <w:rFonts w:cs="Arial" w:ascii="Arial" w:hAnsi="Arial"/>
          <w:b/>
          <w:sz w:val="22"/>
        </w:rPr>
        <w:t>A growing energy services sector helps protect the environment.</w:t>
      </w:r>
      <w:r>
        <w:rPr>
          <w:rFonts w:cs="Arial" w:ascii="Arial" w:hAnsi="Arial"/>
          <w:sz w:val="22"/>
        </w:rPr>
        <w:t xml:space="preserve">  Energy services today promote the efficient management and use of energy resources and the development of renewable energy sources.  Extending commercial energy services to the poorest would help reduce “poverty pollution”.  Open, competitive markets in energy services can help ensure access to clean, efficient products and processes and encourage local producers to enhance their operations.  And boosting efficiency of energy utilization lowers pollutant emissions.  </w:t>
      </w:r>
    </w:p>
    <w:p>
      <w:pPr>
        <w:pStyle w:val="Normal"/>
        <w:ind w:hanging="720" w:start="720" w:end="0"/>
        <w:rPr>
          <w:rFonts w:ascii="Arial" w:hAnsi="Arial" w:cs="Arial"/>
          <w:sz w:val="22"/>
        </w:rPr>
      </w:pPr>
      <w:r>
        <w:rPr>
          <w:rFonts w:cs="Arial" w:ascii="Arial" w:hAnsi="Arial"/>
          <w:sz w:val="22"/>
        </w:rPr>
      </w:r>
    </w:p>
    <w:p>
      <w:pPr>
        <w:pStyle w:val="Normal"/>
        <w:ind w:hanging="720" w:start="720" w:end="0"/>
        <w:rPr/>
      </w:pPr>
      <w:r>
        <w:rPr>
          <w:rFonts w:eastAsia="Symbol" w:cs="Symbol" w:ascii="Symbol" w:hAnsi="Symbol"/>
          <w:sz w:val="22"/>
        </w:rPr>
        <w:sym w:font="Symbol" w:char="f0b7"/>
      </w:r>
      <w:r>
        <w:rPr>
          <w:rFonts w:cs="Arial" w:ascii="Arial" w:hAnsi="Arial"/>
          <w:sz w:val="22"/>
        </w:rPr>
        <w:tab/>
      </w:r>
      <w:r>
        <w:rPr>
          <w:rFonts w:cs="Arial" w:ascii="Arial" w:hAnsi="Arial"/>
          <w:b/>
          <w:sz w:val="22"/>
        </w:rPr>
        <w:t>Open markets promote a vibrant global energy services sector.</w:t>
      </w:r>
      <w:r>
        <w:rPr>
          <w:rFonts w:cs="Arial" w:ascii="Arial" w:hAnsi="Arial"/>
          <w:sz w:val="22"/>
        </w:rPr>
        <w:t xml:space="preserve">  As with other goods and services, competition in the energy services sector offers purchasers access to the highest quality services on a cost-efficient basis.  Energy services largely were omitted from the Uruguay Round, in part because the sector was in its infancy during that negotiation and because in many countries the energy sector was still under the control of state monopolies or monopoly franchises.  </w:t>
      </w:r>
      <w:r>
        <w:rPr>
          <w:rFonts w:cs="Arial" w:ascii="Arial" w:hAnsi="Arial"/>
          <w:i/>
          <w:sz w:val="22"/>
        </w:rPr>
        <w:t>One of the key goals for a new round of WTO services negotiations must be to substantially increase global market access opportunities for energy services providers.</w:t>
      </w:r>
    </w:p>
    <w:p>
      <w:pPr>
        <w:pStyle w:val="Normal"/>
        <w:ind w:hanging="720" w:start="720" w:end="0"/>
        <w:rPr>
          <w:rFonts w:ascii="Arial" w:hAnsi="Arial" w:cs="Arial"/>
          <w:i/>
          <w:i/>
          <w:sz w:val="22"/>
        </w:rPr>
      </w:pPr>
      <w:r>
        <w:rPr>
          <w:rFonts w:cs="Arial" w:ascii="Arial" w:hAnsi="Arial"/>
          <w:i/>
          <w:sz w:val="22"/>
        </w:rPr>
      </w:r>
    </w:p>
    <w:p>
      <w:pPr>
        <w:pStyle w:val="Normal"/>
        <w:ind w:hanging="720" w:start="720" w:end="0"/>
        <w:rPr>
          <w:rFonts w:ascii="Arial" w:hAnsi="Arial" w:cs="Arial"/>
          <w:i/>
          <w:i/>
          <w:sz w:val="22"/>
        </w:rPr>
      </w:pPr>
      <w:r>
        <w:rPr>
          <w:rFonts w:cs="Arial" w:ascii="Arial" w:hAnsi="Arial"/>
          <w:i/>
          <w:sz w:val="22"/>
        </w:rPr>
        <w:tab/>
        <w:t xml:space="preserve">For further information contact Joe Hillings, Chairman, US WTO Energy Services Coalition, c/o Enron, 1775 Eye Street, NW, Suite 800, Washington, DC  20006; 202-466-9145; 202-828-3372 (fax); e-mail:  </w:t>
      </w:r>
      <w:hyperlink r:id="rId2">
        <w:r>
          <w:rPr>
            <w:rStyle w:val="Hyperlink"/>
          </w:rPr>
          <w:t>jhillin@enron.com</w:t>
        </w:r>
      </w:hyperlink>
    </w:p>
    <w:p>
      <w:pPr>
        <w:pStyle w:val="Normal"/>
        <w:ind w:hanging="720" w:start="720" w:end="0"/>
        <w:rPr>
          <w:rFonts w:ascii="Arial" w:hAnsi="Arial" w:cs="Arial"/>
          <w:i/>
          <w:i/>
          <w:sz w:val="22"/>
        </w:rPr>
      </w:pPr>
      <w:r>
        <w:rPr>
          <w:rFonts w:cs="Arial" w:ascii="Arial" w:hAnsi="Arial"/>
          <w:i/>
          <w:sz w:val="22"/>
        </w:rPr>
      </w:r>
    </w:p>
    <w:p>
      <w:pPr>
        <w:pStyle w:val="Normal"/>
        <w:ind w:hanging="720" w:start="720" w:end="0"/>
        <w:rPr>
          <w:rFonts w:ascii="Arial" w:hAnsi="Arial" w:cs="Arial"/>
          <w:i/>
          <w:i/>
          <w:sz w:val="22"/>
        </w:rPr>
      </w:pPr>
      <w:r>
        <w:rPr>
          <w:rFonts w:cs="Arial" w:ascii="Arial" w:hAnsi="Arial"/>
          <w:i/>
          <w:sz w:val="22"/>
        </w:rPr>
      </w:r>
      <w:r>
        <w:br w:type="page"/>
      </w:r>
    </w:p>
    <w:p>
      <w:pPr>
        <w:pStyle w:val="Heading5"/>
        <w:ind w:hanging="0" w:start="0"/>
        <w:rPr/>
      </w:pPr>
      <w:r>
        <w:rPr/>
        <w:t>VIA MESSENGER</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Energy Services Coalition</w:t>
      </w:r>
    </w:p>
    <w:p>
      <w:pPr>
        <w:pStyle w:val="Normal"/>
        <w:spacing w:lineRule="atLeast" w:line="240"/>
        <w:rPr>
          <w:rFonts w:ascii="Arial" w:hAnsi="Arial" w:cs="Arial"/>
          <w:color w:val="000000"/>
          <w:lang w:eastAsia="en-US"/>
        </w:rPr>
      </w:pPr>
      <w:r>
        <w:rPr>
          <w:rFonts w:cs="Arial" w:ascii="Arial" w:hAnsi="Arial"/>
          <w:color w:val="000000"/>
          <w:lang w:eastAsia="en-US"/>
        </w:rPr>
        <w:t>c/o Enron Corp.</w:t>
      </w:r>
    </w:p>
    <w:p>
      <w:pPr>
        <w:pStyle w:val="Normal"/>
        <w:spacing w:lineRule="atLeast" w:line="240"/>
        <w:rPr>
          <w:rFonts w:ascii="Arial" w:hAnsi="Arial" w:cs="Arial"/>
          <w:color w:val="000000"/>
          <w:lang w:eastAsia="en-US"/>
        </w:rPr>
      </w:pPr>
      <w:r>
        <w:rPr>
          <w:rFonts w:cs="Arial" w:ascii="Arial" w:hAnsi="Arial"/>
          <w:color w:val="000000"/>
          <w:lang w:eastAsia="en-US"/>
        </w:rPr>
        <w:t>1775 Eye Street, NW</w:t>
      </w:r>
    </w:p>
    <w:p>
      <w:pPr>
        <w:pStyle w:val="Normal"/>
        <w:spacing w:lineRule="atLeast" w:line="240"/>
        <w:rPr>
          <w:rFonts w:ascii="Arial" w:hAnsi="Arial" w:cs="Arial"/>
          <w:color w:val="000000"/>
          <w:lang w:eastAsia="en-US"/>
        </w:rPr>
      </w:pPr>
      <w:r>
        <w:rPr>
          <w:rFonts w:cs="Arial" w:ascii="Arial" w:hAnsi="Arial"/>
          <w:color w:val="000000"/>
          <w:lang w:eastAsia="en-US"/>
        </w:rPr>
        <w:t>Suite 800</w:t>
      </w:r>
    </w:p>
    <w:p>
      <w:pPr>
        <w:pStyle w:val="Normal"/>
        <w:spacing w:lineRule="atLeast" w:line="240"/>
        <w:rPr>
          <w:rFonts w:ascii="Arial" w:hAnsi="Arial" w:cs="Arial"/>
          <w:color w:val="000000"/>
          <w:lang w:eastAsia="en-US"/>
        </w:rPr>
      </w:pPr>
      <w:r>
        <w:rPr>
          <w:rFonts w:cs="Arial" w:ascii="Arial" w:hAnsi="Arial"/>
          <w:color w:val="000000"/>
          <w:lang w:eastAsia="en-US"/>
        </w:rPr>
        <w:t>Washington, DC  20006</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May 26, 1999</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rPr>
          <w:rFonts w:ascii="Arial" w:hAnsi="Arial" w:cs="Arial"/>
        </w:rPr>
      </w:pPr>
      <w:r>
        <w:rPr>
          <w:rFonts w:cs="Arial" w:ascii="Arial" w:hAnsi="Arial"/>
        </w:rPr>
        <w:t>The Honorable Charlene Barshefsky</w:t>
      </w:r>
    </w:p>
    <w:p>
      <w:pPr>
        <w:pStyle w:val="Normal"/>
        <w:rPr>
          <w:rFonts w:ascii="Arial" w:hAnsi="Arial" w:cs="Arial"/>
        </w:rPr>
      </w:pPr>
      <w:r>
        <w:rPr>
          <w:rFonts w:cs="Arial" w:ascii="Arial" w:hAnsi="Arial"/>
        </w:rPr>
        <w:t>US Trade Representative</w:t>
      </w:r>
    </w:p>
    <w:p>
      <w:pPr>
        <w:pStyle w:val="Normal"/>
        <w:rPr>
          <w:rFonts w:ascii="Arial" w:hAnsi="Arial" w:cs="Arial"/>
        </w:rPr>
      </w:pPr>
      <w:r>
        <w:rPr>
          <w:rFonts w:cs="Arial" w:ascii="Arial" w:hAnsi="Arial"/>
        </w:rPr>
        <w:t>Office of United States Trade Representative</w:t>
      </w:r>
    </w:p>
    <w:p>
      <w:pPr>
        <w:pStyle w:val="Normal"/>
        <w:rPr>
          <w:rFonts w:ascii="Arial" w:hAnsi="Arial" w:cs="Arial"/>
        </w:rPr>
      </w:pPr>
      <w:r>
        <w:rPr>
          <w:rFonts w:cs="Arial" w:ascii="Arial" w:hAnsi="Arial"/>
        </w:rPr>
        <w:t>600 17th Street, NW</w:t>
      </w:r>
    </w:p>
    <w:p>
      <w:pPr>
        <w:pStyle w:val="Normal"/>
        <w:rPr>
          <w:rFonts w:ascii="Arial" w:hAnsi="Arial" w:cs="Arial"/>
        </w:rPr>
      </w:pPr>
      <w:r>
        <w:rPr>
          <w:rFonts w:cs="Arial" w:ascii="Arial" w:hAnsi="Arial"/>
        </w:rPr>
        <w:t>Room 209</w:t>
      </w:r>
    </w:p>
    <w:p>
      <w:pPr>
        <w:pStyle w:val="Normal"/>
        <w:rPr>
          <w:rFonts w:ascii="Arial" w:hAnsi="Arial" w:cs="Arial"/>
        </w:rPr>
      </w:pPr>
      <w:r>
        <w:rPr>
          <w:rFonts w:cs="Arial" w:ascii="Arial" w:hAnsi="Arial"/>
        </w:rPr>
        <w:t>Washington, DC  20508</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Dear Ambassador Barshefsky:</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BodyText2"/>
        <w:rPr>
          <w:sz w:val="20"/>
        </w:rPr>
      </w:pPr>
      <w:r>
        <w:rPr>
          <w:sz w:val="20"/>
        </w:rPr>
        <w:t>A growing group of American energy companies, associations and national organizations has been meeting to discuss the importance to our nation of pursuing liberalized trade provisions for energy services in the World Trade Organization services negotiations, GATS 2000.</w:t>
      </w:r>
    </w:p>
    <w:p>
      <w:pPr>
        <w:pStyle w:val="Normal"/>
        <w:spacing w:lineRule="atLeast" w:line="240"/>
        <w:rPr>
          <w:rFonts w:ascii="Arial" w:hAnsi="Arial" w:cs="Arial"/>
          <w:color w:val="000000"/>
          <w:sz w:val="20"/>
          <w:lang w:eastAsia="en-US"/>
        </w:rPr>
      </w:pPr>
      <w:r>
        <w:rPr>
          <w:rFonts w:cs="Arial" w:ascii="Arial" w:hAnsi="Arial"/>
          <w:color w:val="000000"/>
          <w:sz w:val="20"/>
          <w:lang w:eastAsia="en-US"/>
        </w:rPr>
      </w:r>
    </w:p>
    <w:p>
      <w:pPr>
        <w:pStyle w:val="Normal"/>
        <w:spacing w:lineRule="atLeast" w:line="240"/>
        <w:rPr/>
      </w:pPr>
      <w:r>
        <w:rPr>
          <w:rFonts w:cs="Arial" w:ascii="Arial" w:hAnsi="Arial"/>
          <w:color w:val="000000"/>
          <w:lang w:eastAsia="en-US"/>
        </w:rPr>
        <w:t xml:space="preserve">Your agency with the help of Don Phillips, Don Eiss, Joe Damond, </w:t>
      </w:r>
      <w:r>
        <w:rPr>
          <w:rFonts w:cs="Arial" w:ascii="Arial" w:hAnsi="Arial"/>
        </w:rPr>
        <w:t>Carol Balassa,</w:t>
      </w:r>
      <w:r>
        <w:rPr>
          <w:rFonts w:cs="Arial" w:ascii="Arial" w:hAnsi="Arial"/>
          <w:color w:val="000000"/>
          <w:lang w:eastAsia="en-US"/>
        </w:rPr>
        <w:t xml:space="preserve"> Barbara Norton, and Bill Greene have pursued energy liberalization in the APEC process which continues to address these opportunities to open energy markets in Asian economies.  The recent statement by the Prime Minister of Japan advocating continued discussions to promote energy restructuring and deregulation of the energy industry in Japan was welcomed and should be helpful in achieving the US position as the APEC process continues.  We desire that you aggressively continue these efforts.</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Heading1"/>
        <w:ind w:hanging="0" w:start="0"/>
        <w:jc w:val="start"/>
        <w:rPr>
          <w:b w:val="false"/>
        </w:rPr>
      </w:pPr>
      <w:r>
        <w:rPr>
          <w:b w:val="false"/>
        </w:rPr>
        <w:t>Now that the 135 members of the World Trade Organization are planning their agendas for the upcoming Seattle Ministerial launching the GATS 2000 services negotiations, our group of energy companies, associations and organizations would recommend a strong United States position on liberalizing non-tariff barriers to energy services.  As state-owned vertically integrated energy companies around the world become disaggregated and privatized and regulations liberalized, economic activities which we consider services will be developed and supplied by independent operators under competitive conditions.  These should now be included in multilateral trade negotiations.  We would strongly urge you to include the attached matrix definition of energy services which we consider to be accurate and complete.  This matrix is the product of the APEC EVSL exercise, suggesting that a consensus of support for this definition of energy services may already exist among the 21 members of APEC.  Some countries may seek to define energy services in more constrictive ways than we would, and exclude coverage under the GATS for some American energy services companies who are global leaders in this sector.</w:t>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Therefore, we ask you to pursue this issue with continued diligence and offer our support and assistance as a functioning energy resource group.</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Sincerely,</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Encl.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18"/>
    </w:rPr>
  </w:style>
  <w:style w:type="paragraph" w:styleId="Heading4">
    <w:name w:val="heading 4"/>
    <w:basedOn w:val="Normal"/>
    <w:next w:val="Normal"/>
    <w:qFormat/>
    <w:pPr>
      <w:keepNext w:val="true"/>
      <w:numPr>
        <w:ilvl w:val="3"/>
        <w:numId w:val="1"/>
      </w:numPr>
      <w:outlineLvl w:val="3"/>
    </w:pPr>
    <w:rPr>
      <w:b/>
      <w:lang w:val="en-CA"/>
    </w:rPr>
  </w:style>
  <w:style w:type="paragraph" w:styleId="Heading5">
    <w:name w:val="heading 5"/>
    <w:basedOn w:val="Normal"/>
    <w:next w:val="Normal"/>
    <w:qFormat/>
    <w:pPr>
      <w:keepNext w:val="true"/>
      <w:numPr>
        <w:ilvl w:val="4"/>
        <w:numId w:val="1"/>
      </w:numPr>
      <w:spacing w:lineRule="atLeast" w:line="240"/>
      <w:outlineLvl w:val="4"/>
    </w:pPr>
    <w:rPr>
      <w:rFonts w:ascii="Arial" w:hAnsi="Arial" w:cs="Arial"/>
      <w:b/>
      <w:color w:val="000000"/>
      <w:lang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ind w:hanging="720" w:start="720" w:end="0"/>
      <w:jc w:val="center"/>
    </w:pPr>
    <w:rPr>
      <w:b/>
      <w:sz w:val="24"/>
    </w:rPr>
  </w:style>
  <w:style w:type="paragraph" w:styleId="BodyText">
    <w:name w:val="Body Text"/>
    <w:basedOn w:val="Normal"/>
    <w:pPr>
      <w:spacing w:lineRule="atLeast" w:line="240"/>
    </w:pPr>
    <w:rPr>
      <w:rFonts w:ascii="Arial" w:hAnsi="Arial" w:cs="Arial"/>
      <w:b/>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b/>
      <w:lang w:val="en-CA"/>
    </w:rPr>
  </w:style>
  <w:style w:type="paragraph" w:styleId="BodyText2">
    <w:name w:val="Body Text 2"/>
    <w:basedOn w:val="Normal"/>
    <w:qFormat/>
    <w:pPr>
      <w:spacing w:lineRule="atLeast" w:line="240"/>
    </w:pPr>
    <w:rPr>
      <w:rFonts w:ascii="Arial" w:hAnsi="Arial" w:cs="Arial"/>
      <w:color w:val="000000"/>
      <w:sz w:val="22"/>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hillin@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1999-10-20T18:48:00Z</dcterms:created>
  <dc:creator>Lora A. Sulliva</dc:creator>
  <dc:description/>
  <dc:language>en-CA</dc:language>
  <cp:lastModifiedBy>Lora A. Sulliva</cp:lastModifiedBy>
  <dcterms:modified xsi:type="dcterms:W3CDTF">1999-11-11T13:38:00Z</dcterms:modified>
  <cp:revision>4</cp:revision>
  <dc:subject/>
  <dc:title>Revised 10/19/99 5:00 PM</dc:title>
</cp:coreProperties>
</file>