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Mark Haedicke</w:t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</w:tc>
        <w:tc>
          <w:tcPr>
            <w:tcW w:w="3955" w:type="dxa"/>
            <w:gridSpan w:val="2"/>
            <w:tcBorders/>
          </w:tcPr>
          <w:p>
            <w:pPr>
              <w:pStyle w:val="Normal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Privileged and Confidential; </w:t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mallCaps/>
                <w:sz w:val="16"/>
              </w:rPr>
            </w:pPr>
            <w:r>
              <w:rPr>
                <w:b/>
                <w:smallCaps/>
                <w:sz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  <w:t>Lance Schuler</w:t>
            </w:r>
          </w:p>
        </w:tc>
        <w:tc>
          <w:tcPr>
            <w:tcW w:w="3955" w:type="dxa"/>
            <w:gridSpan w:val="2"/>
            <w:tcBorders/>
          </w:tcPr>
          <w:p>
            <w:pPr>
              <w:pStyle w:val="Normal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Attorney Client Work Product; </w:t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Cc: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Mark Taylor</w:t>
            </w:r>
          </w:p>
        </w:tc>
        <w:tc>
          <w:tcPr>
            <w:tcW w:w="3955" w:type="dxa"/>
            <w:gridSpan w:val="2"/>
            <w:tcBorders/>
          </w:tcPr>
          <w:p>
            <w:pPr>
              <w:pStyle w:val="Normal"/>
              <w:rPr>
                <w:b/>
                <w:smallCaps/>
              </w:rPr>
            </w:pPr>
            <w:r>
              <w:rPr>
                <w:b/>
                <w:smallCaps/>
              </w:rPr>
              <w:t>Not Discoverable</w:t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mallCaps/>
                <w:sz w:val="16"/>
              </w:rPr>
            </w:pPr>
            <w:r>
              <w:rPr>
                <w:b/>
                <w:smallCaps/>
                <w:sz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Bob Bruce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ENA Legal</w:t>
            </w:r>
          </w:p>
          <w:p>
            <w:pPr>
              <w:pStyle w:val="Department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Agricultural options – proposed control procedures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jc w:val="both"/>
        <w:rPr>
          <w:sz w:val="22"/>
        </w:rPr>
      </w:pPr>
      <w:r>
        <w:rPr>
          <w:sz w:val="22"/>
        </w:rPr>
      </w:r>
      <w:bookmarkStart w:id="1" w:name="StartOfMemo"/>
      <w:bookmarkStart w:id="2" w:name="StartOfMemo"/>
      <w:bookmarkEnd w:id="2"/>
    </w:p>
    <w:p>
      <w:pPr>
        <w:pStyle w:val="Body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/>
      </w:pPr>
      <w:r>
        <w:rPr>
          <w:sz w:val="22"/>
        </w:rPr>
        <w:t xml:space="preserve">Mark Taylor and I have discussed some control procedures relating to OTC agricultural option trading; for the time being, the procedures assume we will </w:t>
      </w:r>
      <w:r>
        <w:rPr>
          <w:sz w:val="22"/>
          <w:u w:val="single"/>
        </w:rPr>
        <w:t>not</w:t>
      </w:r>
      <w:r>
        <w:rPr>
          <w:sz w:val="22"/>
        </w:rPr>
        <w:t xml:space="preserve"> be a licensed ATOM. Each time we are presented with a new counterparty (“CP”), we would have to determine the following: 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  <w:t>To trade options on “softs” (coffee, sugar, cocoa) – insure that counterparty (“CP”) physically handles the commodity in question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  <w:t>To trade options on other ag commodities – (1) insure that CP has a net worth of at least $10 million, and (2) physically handles the underlying commodity in question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  <w:t>These are the control procedures Mark and I have discussed:</w:t>
      </w:r>
    </w:p>
    <w:p>
      <w:pPr>
        <w:pStyle w:val="Body"/>
        <w:ind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numPr>
          <w:ilvl w:val="0"/>
          <w:numId w:val="2"/>
        </w:numPr>
        <w:ind w:hanging="360" w:start="1008" w:end="720"/>
        <w:jc w:val="both"/>
        <w:rPr>
          <w:sz w:val="22"/>
        </w:rPr>
      </w:pPr>
      <w:r>
        <w:rPr>
          <w:sz w:val="22"/>
        </w:rPr>
        <w:t xml:space="preserve">Dealmaker fills out form checklist for each new CP.  The checklist indicates which agricultural commodities, if any, CP physically handles in its course of business.  Dealmaker sends filled-out checklist directly to legal. </w:t>
      </w:r>
    </w:p>
    <w:p>
      <w:pPr>
        <w:pStyle w:val="Body"/>
        <w:ind w:start="648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numPr>
          <w:ilvl w:val="0"/>
          <w:numId w:val="2"/>
        </w:numPr>
        <w:ind w:hanging="360" w:start="1008" w:end="720"/>
        <w:jc w:val="both"/>
        <w:rPr>
          <w:sz w:val="22"/>
        </w:rPr>
      </w:pPr>
      <w:r>
        <w:rPr>
          <w:sz w:val="22"/>
        </w:rPr>
        <w:t>Dealmaker submits CP to credit, which determines whether CP has net worth of at least $10 million.  This “yes” or “no” determination will be indicated by a new line item on our form of credit profile that credit sends to legal.</w:t>
      </w:r>
    </w:p>
    <w:p>
      <w:pPr>
        <w:pStyle w:val="Body"/>
        <w:ind w:start="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numPr>
          <w:ilvl w:val="0"/>
          <w:numId w:val="2"/>
        </w:numPr>
        <w:ind w:hanging="360" w:start="1008" w:end="720"/>
        <w:jc w:val="both"/>
        <w:rPr>
          <w:sz w:val="22"/>
        </w:rPr>
      </w:pPr>
      <w:r>
        <w:rPr>
          <w:sz w:val="22"/>
        </w:rPr>
        <w:t xml:space="preserve">Legal uses this collective information to fill out the authorization form attached to this memo. </w:t>
      </w:r>
    </w:p>
    <w:p>
      <w:pPr>
        <w:pStyle w:val="Body"/>
        <w:ind w:start="648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numPr>
          <w:ilvl w:val="0"/>
          <w:numId w:val="2"/>
        </w:numPr>
        <w:ind w:hanging="360" w:start="1008" w:end="720"/>
        <w:jc w:val="both"/>
        <w:rPr>
          <w:sz w:val="22"/>
        </w:rPr>
      </w:pPr>
      <w:r>
        <w:rPr>
          <w:sz w:val="22"/>
        </w:rPr>
        <w:t xml:space="preserve">The authorization form is initialled by legal and sent to dealmaker, who is responsible for seeing that </w:t>
      </w:r>
      <w:r>
        <w:rPr>
          <w:sz w:val="22"/>
          <w:u w:val="single"/>
        </w:rPr>
        <w:t>only</w:t>
      </w:r>
      <w:r>
        <w:rPr>
          <w:sz w:val="22"/>
        </w:rPr>
        <w:t xml:space="preserve"> authorized options are traded with this CP.  Back-office personnel could provide support in terms of maintaining an easily referenced CP/ag option authorization database.</w:t>
      </w:r>
    </w:p>
    <w:p>
      <w:pPr>
        <w:pStyle w:val="Body"/>
        <w:ind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76" w:end="720"/>
        <w:jc w:val="both"/>
        <w:rPr>
          <w:sz w:val="22"/>
        </w:rPr>
      </w:pPr>
      <w:r>
        <w:rPr>
          <w:sz w:val="22"/>
        </w:rPr>
        <w:t>I wanted to run these by you before proposing these to Gary.  Obviously, these procedures would require some training of the traders involved.</w:t>
      </w:r>
    </w:p>
    <w:p>
      <w:pPr>
        <w:pStyle w:val="Body"/>
        <w:ind w:firstLine="576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76" w:end="720"/>
        <w:jc w:val="both"/>
        <w:rPr>
          <w:sz w:val="22"/>
        </w:rPr>
      </w:pPr>
      <w:r>
        <w:rPr>
          <w:sz w:val="22"/>
        </w:rPr>
        <w:t>Of course, please feel free to call me with any comments or questions.</w:t>
        <w:tab/>
        <w:tab/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 xml:space="preserve">REB   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ENRON NORTH AMERICA LEGAL DEPARTMENT</w:t>
      </w:r>
    </w:p>
    <w:p>
      <w:pPr>
        <w:pStyle w:val="Heading2"/>
        <w:ind w:hanging="0" w:start="0"/>
        <w:rPr/>
      </w:pPr>
      <w:r>
        <w:rPr/>
        <w:t>Authorization For Trading of Agricultural Options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[Name of Counterparty]</w:t>
      </w:r>
    </w:p>
    <w:p>
      <w:pPr>
        <w:pStyle w:val="Normal"/>
        <w:jc w:val="center"/>
        <w:rPr/>
      </w:pPr>
      <w:r>
        <w:rPr/>
        <w:t>[Deal No., if applicable, or recite draft master agreement]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BodyTextIndent"/>
        <w:rPr/>
      </w:pPr>
      <w:r>
        <w:rPr>
          <w:rFonts w:cs="Arial" w:ascii="Arial" w:hAnsi="Arial"/>
        </w:rPr>
        <w:t xml:space="preserve">[   ]  THIS COUNTERPARTY HAS </w:t>
      </w:r>
      <w:r>
        <w:rPr>
          <w:rFonts w:cs="Arial" w:ascii="Arial" w:hAnsi="Arial"/>
          <w:u w:val="single"/>
        </w:rPr>
        <w:t>NOT</w:t>
      </w:r>
      <w:r>
        <w:rPr>
          <w:rFonts w:cs="Arial" w:ascii="Arial" w:hAnsi="Arial"/>
        </w:rPr>
        <w:t xml:space="preserve"> BEEN APPROVED FOR THE TRADING OF AGRICULTURAL OPTIONS</w:t>
      </w:r>
    </w:p>
    <w:p>
      <w:pPr>
        <w:pStyle w:val="Normal"/>
        <w:ind w:hanging="360" w:start="360" w:end="0"/>
        <w:rPr>
          <w:rFonts w:ascii="Arial" w:hAnsi="Arial"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ind w:hanging="360" w:start="360" w:end="0"/>
        <w:rPr/>
      </w:pPr>
      <w:r>
        <w:rPr>
          <w:b/>
          <w:bCs/>
        </w:rPr>
        <w:t xml:space="preserve">[   ]  THIS COUNTERPARTY HAS BEEN APPROVED FOR THE TRADING OF AGRICULTURAL OPTIONS </w:t>
      </w:r>
      <w:r>
        <w:rPr>
          <w:b/>
          <w:bCs/>
          <w:u w:val="single"/>
        </w:rPr>
        <w:t>ONLY</w:t>
      </w:r>
      <w:r>
        <w:rPr>
          <w:b/>
          <w:bCs/>
        </w:rPr>
        <w:t xml:space="preserve"> ON THE COMMODITIES CHECKED BELOW:</w:t>
      </w:r>
    </w:p>
    <w:p>
      <w:pPr>
        <w:pStyle w:val="Normal"/>
        <w:ind w:hanging="360"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  <w:t>[   ]   Wheat</w:t>
        <w:tab/>
        <w:tab/>
        <w:tab/>
        <w:t>[   ]   Cotton</w:t>
        <w:tab/>
        <w:tab/>
        <w:tab/>
        <w:t>[   ]   Rice</w:t>
        <w:tab/>
        <w:tab/>
        <w:tab/>
        <w:t>[   ]   Solanum tuberosum</w:t>
      </w:r>
    </w:p>
    <w:p>
      <w:pPr>
        <w:pStyle w:val="Normal"/>
        <w:ind w:hanging="360" w:start="360" w:end="0"/>
        <w:rPr/>
      </w:pPr>
      <w:r>
        <w:rPr>
          <w:b/>
          <w:bCs/>
          <w:sz w:val="18"/>
        </w:rPr>
        <w:t>[</w:t>
      </w:r>
      <w:r>
        <w:rPr>
          <w:b/>
          <w:bCs/>
          <w:sz w:val="18"/>
          <w:u w:val="single"/>
        </w:rPr>
        <w:t>blanks under each</w:t>
      </w:r>
      <w:r>
        <w:rPr>
          <w:b/>
          <w:bCs/>
          <w:sz w:val="18"/>
        </w:rPr>
        <w:tab/>
        <w:tab/>
        <w:t>__________________</w:t>
        <w:tab/>
        <w:tab/>
        <w:t>_____________________</w:t>
        <w:tab/>
        <w:tab/>
        <w:t xml:space="preserve">         (Irish potatoes)</w:t>
        <w:tab/>
      </w:r>
    </w:p>
    <w:p>
      <w:pPr>
        <w:pStyle w:val="Normal"/>
        <w:ind w:hanging="360" w:start="360" w:end="0"/>
        <w:rPr/>
      </w:pPr>
      <w:r>
        <w:rPr>
          <w:b/>
          <w:bCs/>
          <w:sz w:val="18"/>
          <w:u w:val="single"/>
        </w:rPr>
        <w:t>commodity to be used for</w:t>
      </w:r>
      <w:r>
        <w:rPr>
          <w:b/>
          <w:bCs/>
          <w:sz w:val="18"/>
        </w:rPr>
        <w:tab/>
        <w:t>__________________</w:t>
        <w:tab/>
        <w:tab/>
        <w:t>_____________________</w:t>
        <w:tab/>
        <w:tab/>
        <w:t>____________________</w:t>
      </w:r>
    </w:p>
    <w:p>
      <w:pPr>
        <w:pStyle w:val="Normal"/>
        <w:ind w:hanging="360" w:start="360" w:end="0"/>
        <w:rPr/>
      </w:pPr>
      <w:r>
        <w:rPr>
          <w:b/>
          <w:bCs/>
          <w:sz w:val="18"/>
          <w:u w:val="single"/>
        </w:rPr>
        <w:t>more detail if needed]</w:t>
      </w:r>
      <w:r>
        <w:rPr>
          <w:b/>
          <w:bCs/>
          <w:sz w:val="18"/>
        </w:rPr>
        <w:tab/>
        <w:tab/>
        <w:t>__________________</w:t>
        <w:tab/>
        <w:tab/>
        <w:t>_____________________</w:t>
        <w:tab/>
        <w:tab/>
        <w:t>____________________</w:t>
      </w:r>
    </w:p>
    <w:p>
      <w:pPr>
        <w:pStyle w:val="Normal"/>
        <w:ind w:hanging="360" w:start="360" w:end="0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  <w:t>[   ]    Corn</w:t>
        <w:tab/>
        <w:tab/>
        <w:tab/>
        <w:t>[   ]   Oats</w:t>
        <w:tab/>
        <w:tab/>
        <w:tab/>
        <w:t>[   ]   Barley</w:t>
        <w:tab/>
        <w:tab/>
        <w:tab/>
        <w:t>[   ]   Wool</w:t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  <w:t>____________________</w:t>
        <w:tab/>
        <w:tab/>
        <w:t>___________________</w:t>
        <w:tab/>
        <w:tab/>
        <w:t>_____________________</w:t>
        <w:tab/>
        <w:tab/>
        <w:t>____________________</w:t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  <w:t>____________________</w:t>
        <w:tab/>
        <w:tab/>
        <w:t>___________________</w:t>
        <w:tab/>
        <w:tab/>
        <w:t>_____________________</w:t>
        <w:tab/>
        <w:tab/>
        <w:t>____________________</w:t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  <w:t>____________________</w:t>
        <w:tab/>
        <w:tab/>
        <w:t>___________________</w:t>
        <w:tab/>
        <w:tab/>
        <w:t>_____________________</w:t>
        <w:tab/>
        <w:tab/>
        <w:t>____________________</w:t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  <w:t>[   ]    Rye</w:t>
        <w:tab/>
        <w:tab/>
        <w:tab/>
        <w:t>[   ]   Flaxseed</w:t>
        <w:tab/>
        <w:tab/>
        <w:tab/>
        <w:t>[   ]   Grain sorghums</w:t>
        <w:tab/>
        <w:tab/>
        <w:t>[   ]   Wool tops</w:t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  <w:t>____________________</w:t>
        <w:tab/>
        <w:tab/>
        <w:t>___________________</w:t>
        <w:tab/>
        <w:tab/>
        <w:t>_____________________</w:t>
        <w:tab/>
        <w:tab/>
        <w:t>____________________</w:t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  <w:t>____________________</w:t>
        <w:tab/>
        <w:tab/>
        <w:t>___________________</w:t>
        <w:tab/>
        <w:tab/>
        <w:t>_____________________</w:t>
        <w:tab/>
        <w:tab/>
        <w:t>____________________</w:t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  <w:t>____________________</w:t>
        <w:tab/>
        <w:tab/>
        <w:t>___________________</w:t>
        <w:tab/>
        <w:tab/>
        <w:t>_____________________</w:t>
        <w:tab/>
        <w:tab/>
        <w:t>____________________</w:t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  <w:t>[   ]    Mill feeds</w:t>
        <w:tab/>
        <w:tab/>
        <w:tab/>
        <w:t>[   ]   Butter</w:t>
        <w:tab/>
        <w:tab/>
        <w:tab/>
        <w:t>[   ]    Eggs</w:t>
        <w:tab/>
        <w:tab/>
        <w:tab/>
        <w:t>[   ]  Cottonseed meal</w:t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  <w:t>____________________</w:t>
        <w:tab/>
        <w:tab/>
        <w:t>___________________</w:t>
        <w:tab/>
        <w:tab/>
        <w:t>_____________________</w:t>
        <w:tab/>
        <w:tab/>
        <w:t>____________________</w:t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  <w:t>____________________</w:t>
        <w:tab/>
        <w:tab/>
        <w:t>___________________</w:t>
        <w:tab/>
        <w:tab/>
        <w:t>_____________________</w:t>
        <w:tab/>
        <w:tab/>
        <w:t>____________________</w:t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  <w:t>____________________</w:t>
        <w:tab/>
        <w:tab/>
        <w:t>___________________</w:t>
        <w:tab/>
        <w:tab/>
        <w:t>_____________________</w:t>
        <w:tab/>
        <w:tab/>
        <w:t>____________________</w:t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</w:r>
    </w:p>
    <w:p>
      <w:pPr>
        <w:pStyle w:val="Normal"/>
        <w:ind w:hanging="360" w:start="360" w:end="0"/>
        <w:rPr/>
      </w:pPr>
      <w:r>
        <w:rPr>
          <w:sz w:val="18"/>
        </w:rPr>
        <w:t>[   ]</w:t>
        <w:tab/>
        <w:t xml:space="preserve"> Fats and Oils</w:t>
      </w:r>
      <w:r>
        <w:rPr>
          <w:rStyle w:val="FootnoteCharacters"/>
          <w:rStyle w:val="FootnoteReference"/>
          <w:sz w:val="18"/>
        </w:rPr>
        <w:footnoteReference w:id="2"/>
      </w:r>
      <w:r>
        <w:rPr>
          <w:sz w:val="18"/>
        </w:rPr>
        <w:tab/>
        <w:tab/>
        <w:t>[   ]    Cottonseed</w:t>
        <w:tab/>
        <w:tab/>
        <w:tab/>
        <w:t>[   ]   Peanuts</w:t>
        <w:tab/>
        <w:tab/>
        <w:tab/>
        <w:t>[   ]    Soybeans</w:t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  <w:t>____________________</w:t>
        <w:tab/>
        <w:tab/>
        <w:t>___________________</w:t>
        <w:tab/>
        <w:tab/>
        <w:t>_____________________</w:t>
        <w:tab/>
        <w:tab/>
        <w:t>____________________</w:t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  <w:t>____________________</w:t>
        <w:tab/>
        <w:tab/>
        <w:t>___________________</w:t>
        <w:tab/>
        <w:tab/>
        <w:t>_____________________</w:t>
        <w:tab/>
        <w:tab/>
        <w:t>____________________</w:t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  <w:t>____________________</w:t>
        <w:tab/>
        <w:tab/>
        <w:t>___________________</w:t>
        <w:tab/>
        <w:tab/>
        <w:t>_____________________</w:t>
        <w:tab/>
        <w:tab/>
        <w:t>____________________</w:t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</w:r>
    </w:p>
    <w:p>
      <w:pPr>
        <w:pStyle w:val="Normal"/>
        <w:ind w:hanging="360" w:start="360" w:end="0"/>
        <w:rPr>
          <w:sz w:val="18"/>
        </w:rPr>
      </w:pPr>
      <w:r>
        <w:rPr>
          <w:sz w:val="18"/>
        </w:rPr>
        <w:t>[   ]    Soybean meal</w:t>
        <w:tab/>
        <w:tab/>
        <w:t>[   ]     Livestock</w:t>
        <w:tab/>
        <w:tab/>
        <w:tab/>
        <w:t>[   ]    Livestock products</w:t>
        <w:tab/>
        <w:tab/>
        <w:t xml:space="preserve">[   ]    Frozen concentrated </w:t>
      </w:r>
    </w:p>
    <w:p>
      <w:pPr>
        <w:pStyle w:val="Normal"/>
        <w:rPr>
          <w:sz w:val="18"/>
        </w:rPr>
      </w:pPr>
      <w:r>
        <w:rPr>
          <w:sz w:val="18"/>
        </w:rPr>
        <w:t>____________________</w:t>
        <w:tab/>
        <w:tab/>
        <w:t>___________________</w:t>
        <w:tab/>
        <w:tab/>
        <w:t>______________________</w:t>
        <w:tab/>
        <w:t xml:space="preserve">           orange juice</w:t>
      </w:r>
    </w:p>
    <w:p>
      <w:pPr>
        <w:pStyle w:val="Normal"/>
        <w:rPr>
          <w:sz w:val="18"/>
        </w:rPr>
      </w:pPr>
      <w:r>
        <w:rPr>
          <w:sz w:val="18"/>
        </w:rPr>
        <w:t>____________________</w:t>
        <w:tab/>
        <w:tab/>
        <w:t>___________________</w:t>
        <w:tab/>
        <w:tab/>
        <w:t>______________________</w:t>
        <w:tab/>
        <w:t>____________________</w:t>
      </w:r>
    </w:p>
    <w:p>
      <w:pPr>
        <w:pStyle w:val="Normal"/>
        <w:rPr>
          <w:sz w:val="18"/>
        </w:rPr>
      </w:pPr>
      <w:r>
        <w:rPr>
          <w:sz w:val="18"/>
        </w:rPr>
        <w:t>____________________</w:t>
        <w:tab/>
        <w:tab/>
        <w:t>___________________</w:t>
        <w:tab/>
        <w:tab/>
        <w:t>______________________</w:t>
        <w:tab/>
        <w:t>____________________</w:t>
        <w:tab/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  <w:t>[   ]     Coffee</w:t>
        <w:tab/>
        <w:tab/>
        <w:tab/>
        <w:t>[   ]    Sugar</w:t>
        <w:tab/>
        <w:tab/>
        <w:tab/>
        <w:t>[   ]    Cocoa</w:t>
      </w:r>
    </w:p>
    <w:p>
      <w:pPr>
        <w:pStyle w:val="Normal"/>
        <w:rPr>
          <w:sz w:val="18"/>
        </w:rPr>
      </w:pPr>
      <w:r>
        <w:rPr>
          <w:sz w:val="18"/>
        </w:rPr>
        <w:t>____________________</w:t>
        <w:tab/>
        <w:tab/>
        <w:t>___________________</w:t>
        <w:tab/>
        <w:tab/>
        <w:t>______________________</w:t>
        <w:tab/>
      </w:r>
    </w:p>
    <w:p>
      <w:pPr>
        <w:pStyle w:val="Normal"/>
        <w:rPr>
          <w:b/>
          <w:bCs/>
        </w:rPr>
      </w:pPr>
      <w:r>
        <w:rPr>
          <w:sz w:val="18"/>
        </w:rPr>
        <w:t>____________________</w:t>
        <w:tab/>
        <w:tab/>
        <w:t>___________________</w:t>
        <w:tab/>
        <w:tab/>
        <w:t>______________________</w:t>
        <w:tab/>
      </w:r>
    </w:p>
    <w:p>
      <w:pPr>
        <w:pStyle w:val="Normal"/>
        <w:rPr>
          <w:b/>
          <w:bCs/>
        </w:rPr>
      </w:pPr>
      <w:r>
        <w:rPr>
          <w:b/>
          <w:bCs/>
        </w:rPr>
        <w:t>_______________</w:t>
        <w:tab/>
        <w:tab/>
        <w:t>______________</w:t>
        <w:tab/>
        <w:tab/>
        <w:t>________________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>
          <w:bCs/>
          <w:caps w:val="false"/>
          <w:smallCaps w:val="false"/>
        </w:rPr>
      </w:pPr>
      <w:r>
        <w:rPr>
          <w:bCs/>
          <w:caps w:val="false"/>
          <w:smallCaps w:val="false"/>
        </w:rPr>
        <w:t>APPROVED BY ENA LEGAL DEPARTMENT: __________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 xml:space="preserve">  Initials</w:t>
      </w:r>
    </w:p>
    <w:sectPr>
      <w:headerReference w:type="default" r:id="rId3"/>
      <w:headerReference w:type="first" r:id="rId4"/>
      <w:footerReference w:type="default" r:id="rId5"/>
      <w:footerReference w:type="first" r:id="rId6"/>
      <w:footnotePr>
        <w:numFmt w:val="decimal"/>
      </w:footnotePr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spacing w:before="240" w:after="0"/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spacing w:before="240" w:after="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/mnt/main-storage/datasets/enron-docs/doc/Haedicke_et_al_101700-3bf31ee41017a3b825c86ab5cf193abbba4abdf6e94d0c5bfb6f99c3d9d21a80.doc</w:t>
    </w:r>
    <w:r>
      <w:rPr>
        <w:sz w:val="12"/>
      </w:rPr>
      <w:fldChar w:fldCharType="end"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spacing w:before="240" w:after="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/mnt/main-storage/datasets/enron-docs/doc/Haedicke_et_al_101700-3bf31ee41017a3b825c86ab5cf193abbba4abdf6e94d0c5bfb6f99c3d9d21a80.doc</w:t>
    </w:r>
    <w:r>
      <w:rPr>
        <w:sz w:val="12"/>
      </w:rPr>
      <w:fldChar w:fldCharType="end"/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includes lard, tallow, cottonseed oil, peanut oil, soybean oil and all other fats and oils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>
        <w:sz w:val="20"/>
      </w:rPr>
      <w:tab/>
    </w:r>
    <w:r>
      <w:rPr>
        <w:b/>
        <w:smallCaps/>
        <w:sz w:val="20"/>
      </w:rPr>
      <w:t>Privileged and Confidential;</w:t>
    </w:r>
  </w:p>
  <w:p>
    <w:pPr>
      <w:pStyle w:val="Header"/>
      <w:tabs>
        <w:tab w:val="clear" w:pos="4320"/>
        <w:tab w:val="clear" w:pos="8640"/>
        <w:tab w:val="right" w:pos="9360" w:leader="none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DATE \@"MMMM\ d', 'yyyy" </w:instrText>
    </w:r>
    <w:r>
      <w:rPr>
        <w:sz w:val="20"/>
      </w:rPr>
      <w:fldChar w:fldCharType="separate"/>
    </w:r>
    <w:r>
      <w:rPr>
        <w:sz w:val="20"/>
      </w:rPr>
      <w:t>September 28, 2025</w:t>
    </w:r>
    <w:r>
      <w:rPr>
        <w:sz w:val="20"/>
      </w:rPr>
      <w:fldChar w:fldCharType="end"/>
    </w:r>
    <w:r>
      <w:rPr>
        <w:sz w:val="20"/>
      </w:rPr>
      <w:tab/>
    </w:r>
    <w:r>
      <w:rPr>
        <w:b/>
        <w:smallCaps/>
        <w:sz w:val="20"/>
      </w:rPr>
      <w:t>Attorney Client Work Product;</w:t>
    </w:r>
  </w:p>
  <w:p>
    <w:pPr>
      <w:pStyle w:val="Header"/>
      <w:tabs>
        <w:tab w:val="clear" w:pos="4320"/>
        <w:tab w:val="clear" w:pos="8640"/>
        <w:tab w:val="right" w:pos="9360" w:leader="none"/>
      </w:tabs>
      <w:spacing w:before="0" w:after="240"/>
      <w:rPr/>
    </w:pP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ab/>
    </w:r>
    <w:r>
      <w:rPr>
        <w:b/>
        <w:smallCaps/>
        <w:sz w:val="20"/>
      </w:rPr>
      <w:t>Not Discoverable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before="240" w:after="0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spacing w:before="240" w:after="0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bullet"/>
      <w:lvlText w:val=""/>
      <w:lvlJc w:val="start"/>
      <w:pPr>
        <w:tabs>
          <w:tab w:val="num" w:pos="1008"/>
        </w:tabs>
        <w:ind w:start="100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Wingdings" w:hAnsi="Wingdings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tabs>
        <w:tab w:val="clear" w:pos="540"/>
      </w:tabs>
      <w:ind w:hanging="360" w:start="360" w:end="0"/>
    </w:pPr>
    <w:rPr>
      <w:rFonts w:ascii="Times New Roman" w:hAnsi="Times New Roman" w:cs="Times New Roman"/>
      <w:b/>
      <w:bCs/>
      <w:szCs w:val="24"/>
    </w:rPr>
  </w:style>
  <w:style w:type="paragraph" w:styleId="FootnoteText">
    <w:name w:val="footnote text"/>
    <w:basedOn w:val="Normal"/>
    <w:pPr>
      <w:tabs>
        <w:tab w:val="clear" w:pos="540"/>
      </w:tabs>
    </w:pPr>
    <w:rPr>
      <w:rFonts w:ascii="Times New Roman" w:hAnsi="Times New Roman" w:cs="Times New Roman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</Template>
  <TotalTime>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2000-10-17T19:28:00Z</dcterms:created>
  <dc:creator>Jeff Ford</dc:creator>
  <dc:description/>
  <dc:language>en-CA</dc:language>
  <cp:lastModifiedBy>rbruce2</cp:lastModifiedBy>
  <cp:lastPrinted>2000-09-21T16:15:00Z</cp:lastPrinted>
  <dcterms:modified xsi:type="dcterms:W3CDTF">2000-10-17T20:47:00Z</dcterms:modified>
  <cp:revision>7</cp:revision>
  <dc:subject>Analysis of ECT's Financial, Power and Gas Forms</dc:subject>
  <dc:title>Eron Capital &amp; Trade Resources Memo</dc:title>
</cp:coreProperties>
</file>